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78" w:rsidRPr="002F4623" w:rsidRDefault="00503478" w:rsidP="00503478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 w:rsidR="00503478" w:rsidRPr="00CE6828" w:rsidRDefault="00503478" w:rsidP="00503478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CE6828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城管委政府信息公开工作年度报告</w:t>
      </w:r>
    </w:p>
    <w:p w:rsidR="00503478" w:rsidRPr="000C2E1C" w:rsidRDefault="00503478" w:rsidP="00503478">
      <w:pPr>
        <w:widowControl/>
        <w:shd w:val="clear" w:color="auto" w:fill="FFFFFF"/>
        <w:jc w:val="center"/>
        <w:rPr>
          <w:rFonts w:ascii="楷体_GB2312" w:eastAsia="楷体_GB2312" w:hAnsi="宋体" w:cs="宋体"/>
          <w:kern w:val="0"/>
          <w:sz w:val="24"/>
        </w:rPr>
      </w:pPr>
      <w:r w:rsidRPr="000C2E1C">
        <w:rPr>
          <w:rFonts w:ascii="楷体_GB2312" w:eastAsia="楷体_GB2312" w:hAnsi="宋体" w:cs="宋体" w:hint="eastAsia"/>
          <w:bCs/>
          <w:kern w:val="0"/>
          <w:sz w:val="36"/>
          <w:szCs w:val="36"/>
        </w:rPr>
        <w:t>（2019年</w:t>
      </w:r>
      <w:r>
        <w:rPr>
          <w:rFonts w:ascii="楷体_GB2312" w:eastAsia="楷体_GB2312" w:hAnsi="宋体" w:cs="宋体" w:hint="eastAsia"/>
          <w:bCs/>
          <w:kern w:val="0"/>
          <w:sz w:val="36"/>
          <w:szCs w:val="36"/>
        </w:rPr>
        <w:t>度</w:t>
      </w:r>
      <w:r w:rsidRPr="000C2E1C">
        <w:rPr>
          <w:rFonts w:ascii="楷体_GB2312" w:eastAsia="楷体_GB2312" w:hAnsi="宋体" w:cs="宋体" w:hint="eastAsia"/>
          <w:bCs/>
          <w:kern w:val="0"/>
          <w:sz w:val="36"/>
          <w:szCs w:val="36"/>
        </w:rPr>
        <w:t>）</w:t>
      </w:r>
    </w:p>
    <w:p w:rsidR="00503478" w:rsidRPr="002F4623" w:rsidRDefault="00503478" w:rsidP="00503478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 w:rsidR="00503478" w:rsidRPr="003257D6" w:rsidRDefault="00503478" w:rsidP="00503478">
      <w:pPr>
        <w:widowControl/>
        <w:shd w:val="clear" w:color="auto" w:fill="FFFFFF"/>
        <w:ind w:firstLine="480"/>
        <w:rPr>
          <w:rFonts w:ascii="黑体" w:eastAsia="黑体" w:hAnsi="宋体" w:cs="宋体"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一、总体情况</w:t>
      </w:r>
    </w:p>
    <w:p w:rsidR="00503478" w:rsidRPr="003257D6" w:rsidRDefault="00503478" w:rsidP="00503478">
      <w:pPr>
        <w:widowControl/>
        <w:shd w:val="clear" w:color="auto" w:fill="FFFFFF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2019年，城管委严格按照</w:t>
      </w:r>
      <w:r w:rsidRPr="00503478">
        <w:rPr>
          <w:rFonts w:ascii="仿宋_GB2312" w:eastAsia="仿宋_GB2312" w:hAnsi="仿宋" w:hint="eastAsia"/>
          <w:sz w:val="32"/>
          <w:szCs w:val="32"/>
        </w:rPr>
        <w:t>修订后的《中华人民共和国政府信息公开条例》、《中华人民共和国政府信息公开工作年度报告格式（试行）》贯彻落实信息公开工作，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结合机构改革和职能转变，</w:t>
      </w:r>
      <w:r w:rsidRPr="003257D6">
        <w:rPr>
          <w:rFonts w:ascii="仿宋_GB2312" w:eastAsia="仿宋_GB2312" w:hAnsi="宋体" w:cs="宋体" w:hint="eastAsia"/>
          <w:kern w:val="0"/>
          <w:sz w:val="32"/>
          <w:szCs w:val="32"/>
        </w:rPr>
        <w:t>聚焦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社会发展</w:t>
      </w:r>
      <w:r w:rsidRPr="003257D6">
        <w:rPr>
          <w:rFonts w:ascii="仿宋_GB2312" w:eastAsia="仿宋_GB2312" w:hAnsi="宋体" w:cs="宋体" w:hint="eastAsia"/>
          <w:kern w:val="0"/>
          <w:sz w:val="32"/>
          <w:szCs w:val="32"/>
        </w:rPr>
        <w:t>主线，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关注民计民生和生态环境改善，认真做好本单位信息公开工作，分类别对主动公开、依申请公开的文件进行及时公开，进一步加强政府信息管理</w:t>
      </w:r>
      <w:r w:rsidRPr="003257D6">
        <w:rPr>
          <w:rFonts w:ascii="仿宋_GB2312" w:eastAsia="仿宋_GB2312" w:hAnsi="宋体" w:cs="宋体" w:hint="eastAsia"/>
          <w:kern w:val="0"/>
          <w:sz w:val="32"/>
          <w:szCs w:val="32"/>
        </w:rPr>
        <w:t>平台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Pr="003257D6">
        <w:rPr>
          <w:rFonts w:ascii="仿宋_GB2312" w:eastAsia="仿宋_GB2312" w:hAnsi="宋体" w:cs="宋体" w:hint="eastAsia"/>
          <w:kern w:val="0"/>
          <w:sz w:val="32"/>
          <w:szCs w:val="32"/>
        </w:rPr>
        <w:t>建设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和管理，确保公开信息及时有效</w:t>
      </w:r>
      <w:r w:rsidRPr="003257D6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03478" w:rsidRPr="003257D6" w:rsidRDefault="00503478" w:rsidP="00503478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503478" w:rsidRPr="002F4623" w:rsidTr="00652E04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503478" w:rsidRPr="002F4623" w:rsidTr="00652E04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F4623"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F4623"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503478" w:rsidRPr="002F4623" w:rsidTr="00652E04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03478" w:rsidRPr="002F4623" w:rsidTr="00652E04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927</w:t>
            </w:r>
          </w:p>
        </w:tc>
      </w:tr>
      <w:tr w:rsidR="00503478" w:rsidRPr="002F4623" w:rsidTr="00652E04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503478" w:rsidRPr="002F4623" w:rsidTr="00652E04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503478" w:rsidRPr="002F4623" w:rsidTr="00652E04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03478" w:rsidRPr="002F4623" w:rsidTr="00652E04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03478" w:rsidRPr="002F4623" w:rsidTr="00652E04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503478" w:rsidRPr="002F4623" w:rsidTr="00652E04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503478" w:rsidRPr="002F4623" w:rsidTr="00652E04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03478" w:rsidRPr="002F4623" w:rsidTr="00652E04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03478" w:rsidRPr="002F4623" w:rsidTr="00652E04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503478" w:rsidRPr="002F4623" w:rsidTr="00652E04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503478" w:rsidRPr="002F4623" w:rsidTr="00652E04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03478" w:rsidRPr="002F4623" w:rsidTr="00652E04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503478" w:rsidRPr="002F4623" w:rsidTr="00652E04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503478" w:rsidRPr="002F4623" w:rsidTr="00652E04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2F4623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7049.487598万元</w:t>
            </w:r>
          </w:p>
        </w:tc>
      </w:tr>
    </w:tbl>
    <w:p w:rsidR="00503478" w:rsidRPr="002F4623" w:rsidRDefault="00503478" w:rsidP="00503478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 w:rsidR="00503478" w:rsidRDefault="00503478" w:rsidP="00503478">
      <w:pPr>
        <w:widowControl/>
        <w:shd w:val="clear" w:color="auto" w:fill="FFFFFF"/>
        <w:spacing w:after="240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</w:p>
    <w:p w:rsidR="00503478" w:rsidRDefault="00503478" w:rsidP="00503478">
      <w:pPr>
        <w:widowControl/>
        <w:shd w:val="clear" w:color="auto" w:fill="FFFFFF"/>
        <w:spacing w:after="240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</w:p>
    <w:p w:rsidR="00503478" w:rsidRPr="003257D6" w:rsidRDefault="00503478" w:rsidP="00503478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503478" w:rsidRPr="003257D6" w:rsidTr="00652E04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503478" w:rsidRPr="003257D6" w:rsidTr="00652E04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503478" w:rsidRPr="003257D6" w:rsidTr="00652E04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3478" w:rsidRPr="003257D6" w:rsidTr="00652E04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503478" w:rsidRPr="003257D6" w:rsidTr="00652E04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03478" w:rsidRPr="003257D6" w:rsidTr="00652E04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03478" w:rsidRPr="003257D6" w:rsidTr="00652E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03478" w:rsidRPr="003257D6" w:rsidTr="00652E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DF25C8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DF25C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03478" w:rsidRPr="003257D6" w:rsidTr="00652E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DF25C8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DF25C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03478" w:rsidRPr="003257D6" w:rsidTr="00652E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DF25C8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DF25C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03478" w:rsidRPr="003257D6" w:rsidTr="00652E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DF25C8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DF25C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03478" w:rsidRPr="003257D6" w:rsidTr="00652E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DF25C8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DF25C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03478" w:rsidRPr="003257D6" w:rsidTr="00652E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DF25C8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DF25C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03478" w:rsidRPr="003257D6" w:rsidTr="00652E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DF25C8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DF25C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03478" w:rsidRPr="003257D6" w:rsidTr="00652E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DF25C8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DF25C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03478" w:rsidRPr="003257D6" w:rsidTr="00652E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DF25C8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DF25C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03478" w:rsidRPr="003257D6" w:rsidTr="00652E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DF25C8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DF25C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03478" w:rsidRPr="003257D6" w:rsidTr="00652E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DF25C8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DF25C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03478" w:rsidRPr="003257D6" w:rsidTr="00652E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DF25C8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DF25C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03478" w:rsidRPr="003257D6" w:rsidTr="00652E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DF25C8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DF25C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03478" w:rsidRPr="003257D6" w:rsidTr="00652E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DF25C8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DF25C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03478" w:rsidRPr="003257D6" w:rsidTr="00652E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DF25C8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DF25C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03478" w:rsidRPr="003257D6" w:rsidTr="00652E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A4980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DF25C8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DF25C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03478" w:rsidRPr="003257D6" w:rsidTr="00652E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03478" w:rsidRPr="003257D6" w:rsidTr="00652E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503478" w:rsidRPr="003257D6" w:rsidTr="00652E04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1101F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1101F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503478" w:rsidRPr="003257D6" w:rsidRDefault="00503478" w:rsidP="00503478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p w:rsidR="00503478" w:rsidRPr="003257D6" w:rsidRDefault="00503478" w:rsidP="00503478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p w:rsidR="00503478" w:rsidRPr="003257D6" w:rsidRDefault="00503478" w:rsidP="00503478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p w:rsidR="00503478" w:rsidRPr="003257D6" w:rsidRDefault="00503478" w:rsidP="00503478">
      <w:pPr>
        <w:widowControl/>
        <w:shd w:val="clear" w:color="auto" w:fill="FFFFFF"/>
        <w:ind w:firstLine="482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lastRenderedPageBreak/>
        <w:t>四、政府信息公开行政复议、行政诉讼情况</w:t>
      </w:r>
    </w:p>
    <w:p w:rsidR="00503478" w:rsidRPr="003257D6" w:rsidRDefault="00503478" w:rsidP="00503478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503478" w:rsidRPr="003257D6" w:rsidTr="00652E04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503478" w:rsidRPr="003257D6" w:rsidTr="00652E04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503478" w:rsidRPr="003257D6" w:rsidTr="00652E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478" w:rsidRPr="003257D6" w:rsidRDefault="00503478" w:rsidP="00652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78" w:rsidRPr="003257D6" w:rsidRDefault="00503478" w:rsidP="00652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503478" w:rsidRPr="003257D6" w:rsidTr="00652E04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30F8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A30F8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30F8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A30F8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30F8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A30F8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30F8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A30F8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30F8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A30F8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30F8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A30F8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30F8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A30F8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30F8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A30F8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30F8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A30F8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30F8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A30F8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30F8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A30F8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30F8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A30F8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30F8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A30F8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30F8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A30F8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78" w:rsidRDefault="00503478" w:rsidP="00652E04">
            <w:r w:rsidRPr="00A30F8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A30F8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503478" w:rsidRDefault="00503478" w:rsidP="00503478">
      <w:pPr>
        <w:widowControl/>
        <w:shd w:val="clear" w:color="auto" w:fill="FFFFFF"/>
        <w:spacing w:after="240"/>
        <w:ind w:firstLineChars="150" w:firstLine="48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五、存在的主要问题及改进情况</w:t>
      </w:r>
    </w:p>
    <w:p w:rsidR="00503478" w:rsidRPr="00F746BD" w:rsidRDefault="00503478" w:rsidP="00503478">
      <w:pPr>
        <w:widowControl/>
        <w:shd w:val="clear" w:color="auto" w:fill="FFFFFF"/>
        <w:spacing w:after="240"/>
        <w:ind w:firstLineChars="150" w:firstLine="48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2019年，城管委</w:t>
      </w:r>
      <w:r w:rsidRPr="003257D6">
        <w:rPr>
          <w:rFonts w:ascii="仿宋_GB2312" w:eastAsia="仿宋_GB2312" w:hAnsi="宋体" w:cs="宋体" w:hint="eastAsia"/>
          <w:kern w:val="0"/>
          <w:sz w:val="32"/>
          <w:szCs w:val="32"/>
        </w:rPr>
        <w:t>政府信息公开工作中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因为系统更新、管理人员更换等原因，造成信息公开工作不够及时，文件正文存在措辞和描述不准确的情况，经过改进工作、加强管理，以上问题全部整改完毕，下一步城管委将继续加强工作管理，细致严谨的做好政府信息公开工作。</w:t>
      </w:r>
    </w:p>
    <w:p w:rsidR="00503478" w:rsidRPr="003257D6" w:rsidRDefault="00503478" w:rsidP="00503478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六、其他需要报告的事项</w:t>
      </w:r>
    </w:p>
    <w:p w:rsidR="00503478" w:rsidRPr="003257D6" w:rsidRDefault="00503478" w:rsidP="00503478">
      <w:pPr>
        <w:widowControl/>
        <w:shd w:val="clear" w:color="auto" w:fill="FFFFFF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无。</w:t>
      </w:r>
    </w:p>
    <w:p w:rsidR="00503478" w:rsidRDefault="00503478" w:rsidP="00503478"/>
    <w:p w:rsidR="00290CF7" w:rsidRDefault="00290CF7"/>
    <w:sectPr w:rsidR="00290CF7" w:rsidSect="00256627">
      <w:headerReference w:type="default" r:id="rId4"/>
      <w:footerReference w:type="even" r:id="rId5"/>
      <w:footerReference w:type="default" r:id="rId6"/>
      <w:pgSz w:w="11906" w:h="16838" w:code="9"/>
      <w:pgMar w:top="1440" w:right="1797" w:bottom="155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627" w:rsidRPr="00864144" w:rsidRDefault="00503478" w:rsidP="00256627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864144">
      <w:rPr>
        <w:rStyle w:val="a5"/>
        <w:sz w:val="28"/>
        <w:szCs w:val="28"/>
      </w:rPr>
      <w:fldChar w:fldCharType="begin"/>
    </w:r>
    <w:r w:rsidRPr="00864144">
      <w:rPr>
        <w:rStyle w:val="a5"/>
        <w:sz w:val="28"/>
        <w:szCs w:val="28"/>
      </w:rPr>
      <w:instrText xml:space="preserve">PAGE  </w:instrText>
    </w:r>
    <w:r w:rsidRPr="0086414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864144">
      <w:rPr>
        <w:rStyle w:val="a5"/>
        <w:sz w:val="28"/>
        <w:szCs w:val="28"/>
      </w:rPr>
      <w:fldChar w:fldCharType="end"/>
    </w:r>
  </w:p>
  <w:p w:rsidR="00256627" w:rsidRDefault="00503478" w:rsidP="0025662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627" w:rsidRPr="00864144" w:rsidRDefault="00503478" w:rsidP="00256627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864144">
      <w:rPr>
        <w:rStyle w:val="a5"/>
        <w:sz w:val="28"/>
        <w:szCs w:val="28"/>
      </w:rPr>
      <w:fldChar w:fldCharType="begin"/>
    </w:r>
    <w:r w:rsidRPr="00864144">
      <w:rPr>
        <w:rStyle w:val="a5"/>
        <w:sz w:val="28"/>
        <w:szCs w:val="28"/>
      </w:rPr>
      <w:instrText xml:space="preserve">PAGE  </w:instrText>
    </w:r>
    <w:r w:rsidRPr="0086414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4</w:t>
    </w:r>
    <w:r w:rsidRPr="00864144">
      <w:rPr>
        <w:rStyle w:val="a5"/>
        <w:sz w:val="28"/>
        <w:szCs w:val="28"/>
      </w:rPr>
      <w:fldChar w:fldCharType="end"/>
    </w:r>
  </w:p>
  <w:p w:rsidR="00256627" w:rsidRDefault="00503478" w:rsidP="00256627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627" w:rsidRDefault="00503478" w:rsidP="0025662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478"/>
    <w:rsid w:val="001D2D56"/>
    <w:rsid w:val="00290CF7"/>
    <w:rsid w:val="00503478"/>
    <w:rsid w:val="00EE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3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347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03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47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03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政府办信息公开</dc:creator>
  <cp:lastModifiedBy>政府办信息公开</cp:lastModifiedBy>
  <cp:revision>1</cp:revision>
  <dcterms:created xsi:type="dcterms:W3CDTF">2020-03-02T01:08:00Z</dcterms:created>
  <dcterms:modified xsi:type="dcterms:W3CDTF">2020-03-02T01:10:00Z</dcterms:modified>
</cp:coreProperties>
</file>