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36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9"/>
        <w:gridCol w:w="847"/>
        <w:gridCol w:w="1385"/>
        <w:gridCol w:w="7446"/>
        <w:gridCol w:w="2087"/>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9" w:type="dxa"/>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黑体" w:hAnsi="黑体" w:eastAsia="黑体" w:cs="黑体"/>
                <w:i w:val="0"/>
                <w:color w:val="000000"/>
                <w:sz w:val="32"/>
                <w:szCs w:val="32"/>
                <w:u w:val="none"/>
                <w:lang w:eastAsia="zh-CN"/>
              </w:rPr>
              <w:t>附件</w:t>
            </w:r>
          </w:p>
        </w:tc>
        <w:tc>
          <w:tcPr>
            <w:tcW w:w="847" w:type="dxa"/>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1385" w:type="dxa"/>
            <w:tcBorders>
              <w:top w:val="nil"/>
              <w:left w:val="nil"/>
              <w:bottom w:val="nil"/>
              <w:right w:val="nil"/>
            </w:tcBorders>
            <w:noWrap/>
            <w:vAlign w:val="center"/>
          </w:tcPr>
          <w:p>
            <w:pPr>
              <w:jc w:val="center"/>
              <w:rPr>
                <w:rFonts w:hint="eastAsia" w:ascii="宋体" w:hAnsi="宋体" w:eastAsia="宋体" w:cs="宋体"/>
                <w:i w:val="0"/>
                <w:color w:val="000000"/>
                <w:sz w:val="22"/>
                <w:szCs w:val="22"/>
                <w:u w:val="none"/>
              </w:rPr>
            </w:pPr>
          </w:p>
        </w:tc>
        <w:tc>
          <w:tcPr>
            <w:tcW w:w="7446" w:type="dxa"/>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2087" w:type="dxa"/>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c>
          <w:tcPr>
            <w:tcW w:w="825" w:type="dxa"/>
            <w:tcBorders>
              <w:top w:val="nil"/>
              <w:left w:val="nil"/>
              <w:bottom w:val="nil"/>
              <w:right w:val="nil"/>
            </w:tcBorders>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3669" w:type="dxa"/>
            <w:gridSpan w:val="6"/>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ascii="华文楷体" w:hAnsi="华文楷体" w:eastAsia="华文楷体" w:cs="华文楷体"/>
                <w:b/>
                <w:i w:val="0"/>
                <w:color w:val="000000"/>
                <w:sz w:val="40"/>
                <w:szCs w:val="40"/>
                <w:u w:val="none"/>
              </w:rPr>
            </w:pPr>
            <w:r>
              <w:rPr>
                <w:rFonts w:hint="default" w:ascii="华文楷体" w:hAnsi="华文楷体" w:eastAsia="华文楷体" w:cs="华文楷体"/>
                <w:b/>
                <w:i w:val="0"/>
                <w:color w:val="000000"/>
                <w:kern w:val="0"/>
                <w:sz w:val="40"/>
                <w:szCs w:val="40"/>
                <w:u w:val="none"/>
                <w:lang w:val="en-US" w:eastAsia="zh-CN" w:bidi="ar"/>
              </w:rPr>
              <w:t>天津市进一步加强城市树木保护任务分工表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1079"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目标</w:t>
            </w:r>
          </w:p>
        </w:tc>
        <w:tc>
          <w:tcPr>
            <w:tcW w:w="84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序号</w:t>
            </w:r>
          </w:p>
        </w:tc>
        <w:tc>
          <w:tcPr>
            <w:tcW w:w="138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工作任务</w:t>
            </w:r>
          </w:p>
        </w:tc>
        <w:tc>
          <w:tcPr>
            <w:tcW w:w="744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具体内容</w:t>
            </w:r>
          </w:p>
        </w:tc>
        <w:tc>
          <w:tcPr>
            <w:tcW w:w="20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责任单位</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079"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一、重点任务</w:t>
            </w:r>
          </w:p>
        </w:tc>
        <w:tc>
          <w:tcPr>
            <w:tcW w:w="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注重保护原有树木</w:t>
            </w:r>
          </w:p>
        </w:tc>
        <w:tc>
          <w:tcPr>
            <w:tcW w:w="7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开展具体地块规划策划、土地出让时，</w:t>
            </w:r>
            <w:r>
              <w:rPr>
                <w:rFonts w:hint="eastAsia" w:ascii="宋体" w:hAnsi="宋体" w:eastAsia="宋体" w:cs="宋体"/>
                <w:i w:val="0"/>
                <w:color w:val="000000"/>
                <w:kern w:val="0"/>
                <w:sz w:val="22"/>
                <w:szCs w:val="22"/>
                <w:u w:val="none"/>
                <w:lang w:val="en" w:eastAsia="zh-CN" w:bidi="ar"/>
              </w:rPr>
              <w:t>规划审批部门应结合原地块树木情况审批规划建设方案，</w:t>
            </w:r>
            <w:r>
              <w:rPr>
                <w:rFonts w:hint="eastAsia" w:ascii="宋体" w:hAnsi="宋体" w:eastAsia="宋体" w:cs="宋体"/>
                <w:i w:val="0"/>
                <w:color w:val="000000"/>
                <w:kern w:val="0"/>
                <w:sz w:val="22"/>
                <w:szCs w:val="22"/>
                <w:u w:val="none"/>
                <w:lang w:val="en-US" w:eastAsia="zh-CN" w:bidi="ar"/>
              </w:rPr>
              <w:t>注重对城市树木，尤其是胸径在30厘米以上的城市大树的保护，坚持能保留不迁移的原则，最大限度保护现状城市大树。在历史文化传承保护中，对承载城市历史和公众记忆的城市大树予以重点保护。</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市规划资源局、市城市管理委、各区人民政府按责任分工负责</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1079"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22"/>
                <w:szCs w:val="22"/>
                <w:u w:val="none"/>
              </w:rPr>
            </w:pPr>
          </w:p>
        </w:tc>
        <w:tc>
          <w:tcPr>
            <w:tcW w:w="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22"/>
                <w:szCs w:val="22"/>
                <w:u w:val="none"/>
              </w:rPr>
            </w:pPr>
          </w:p>
        </w:tc>
        <w:tc>
          <w:tcPr>
            <w:tcW w:w="7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结合</w:t>
            </w:r>
            <w:r>
              <w:rPr>
                <w:rFonts w:hint="eastAsia" w:ascii="宋体" w:hAnsi="宋体" w:eastAsia="宋体" w:cs="宋体"/>
                <w:i w:val="0"/>
                <w:color w:val="000000"/>
                <w:kern w:val="0"/>
                <w:sz w:val="22"/>
                <w:szCs w:val="22"/>
                <w:u w:val="none"/>
                <w:lang w:val="en" w:eastAsia="zh-CN" w:bidi="ar"/>
              </w:rPr>
              <w:t>天津市“植物园链”</w:t>
            </w:r>
            <w:r>
              <w:rPr>
                <w:rFonts w:hint="eastAsia" w:ascii="宋体" w:hAnsi="宋体" w:cs="宋体"/>
                <w:i w:val="0"/>
                <w:color w:val="000000"/>
                <w:kern w:val="0"/>
                <w:sz w:val="22"/>
                <w:szCs w:val="22"/>
                <w:u w:val="none"/>
                <w:lang w:val="en" w:eastAsia="zh-CN" w:bidi="ar"/>
              </w:rPr>
              <w:t>建设</w:t>
            </w:r>
            <w:r>
              <w:rPr>
                <w:rFonts w:hint="eastAsia" w:ascii="宋体" w:hAnsi="宋体" w:eastAsia="宋体" w:cs="宋体"/>
                <w:i w:val="0"/>
                <w:color w:val="000000"/>
                <w:kern w:val="0"/>
                <w:sz w:val="22"/>
                <w:szCs w:val="22"/>
                <w:u w:val="none"/>
                <w:lang w:val="en" w:eastAsia="zh-CN" w:bidi="ar"/>
              </w:rPr>
              <w:t>及其它市政工程规划建设</w:t>
            </w:r>
            <w:r>
              <w:rPr>
                <w:rFonts w:hint="eastAsia" w:ascii="宋体" w:hAnsi="宋体" w:eastAsia="宋体" w:cs="宋体"/>
                <w:i w:val="0"/>
                <w:color w:val="000000"/>
                <w:kern w:val="0"/>
                <w:sz w:val="22"/>
                <w:szCs w:val="22"/>
                <w:u w:val="none"/>
                <w:lang w:val="en-US" w:eastAsia="zh-CN" w:bidi="ar"/>
              </w:rPr>
              <w:t>，开展城市大树调查保护工作，对规划用地范围中</w:t>
            </w:r>
            <w:r>
              <w:rPr>
                <w:rFonts w:hint="eastAsia" w:ascii="宋体" w:hAnsi="宋体" w:cs="宋体"/>
                <w:i w:val="0"/>
                <w:color w:val="000000"/>
                <w:kern w:val="0"/>
                <w:sz w:val="22"/>
                <w:szCs w:val="22"/>
                <w:u w:val="none"/>
                <w:lang w:val="en-US" w:eastAsia="zh-CN" w:bidi="ar"/>
              </w:rPr>
              <w:t>的</w:t>
            </w:r>
            <w:r>
              <w:rPr>
                <w:rFonts w:hint="eastAsia" w:ascii="宋体" w:hAnsi="宋体" w:eastAsia="宋体" w:cs="宋体"/>
                <w:i w:val="0"/>
                <w:color w:val="000000"/>
                <w:kern w:val="0"/>
                <w:sz w:val="22"/>
                <w:szCs w:val="22"/>
                <w:u w:val="none"/>
                <w:lang w:val="en-US" w:eastAsia="zh-CN" w:bidi="ar"/>
              </w:rPr>
              <w:t>城市大树进行调查摸底，做到保护前置。</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市城市管理委、各区人民政府按责任分工负责</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079"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22"/>
                <w:szCs w:val="22"/>
                <w:u w:val="none"/>
              </w:rPr>
            </w:pPr>
          </w:p>
        </w:tc>
        <w:tc>
          <w:tcPr>
            <w:tcW w:w="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科学做好树木迁移</w:t>
            </w:r>
          </w:p>
        </w:tc>
        <w:tc>
          <w:tcPr>
            <w:tcW w:w="7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在城市各类建设项目中，严格落实树木保护要求，对确需迁移的城市树木要科学迁移保护。</w:t>
            </w:r>
            <w:r>
              <w:rPr>
                <w:rFonts w:hint="eastAsia" w:ascii="宋体" w:hAnsi="宋体" w:eastAsia="宋体" w:cs="宋体"/>
                <w:i w:val="0"/>
                <w:color w:val="000000"/>
                <w:kern w:val="0"/>
                <w:sz w:val="22"/>
                <w:szCs w:val="22"/>
                <w:u w:val="none"/>
                <w:lang w:val="en" w:eastAsia="zh-CN" w:bidi="ar"/>
              </w:rPr>
              <w:t>经营性土地出让</w:t>
            </w:r>
            <w:r>
              <w:rPr>
                <w:rFonts w:hint="eastAsia" w:ascii="宋体" w:hAnsi="宋体" w:cs="宋体"/>
                <w:i w:val="0"/>
                <w:color w:val="000000"/>
                <w:kern w:val="0"/>
                <w:sz w:val="22"/>
                <w:szCs w:val="22"/>
                <w:u w:val="none"/>
                <w:lang w:val="en" w:eastAsia="zh-CN" w:bidi="ar"/>
              </w:rPr>
              <w:t>后</w:t>
            </w:r>
            <w:r>
              <w:rPr>
                <w:rFonts w:hint="eastAsia" w:ascii="宋体" w:hAnsi="宋体" w:eastAsia="宋体" w:cs="宋体"/>
                <w:i w:val="0"/>
                <w:color w:val="000000"/>
                <w:kern w:val="0"/>
                <w:sz w:val="22"/>
                <w:szCs w:val="22"/>
                <w:u w:val="none"/>
                <w:lang w:val="en" w:eastAsia="zh-CN" w:bidi="ar"/>
              </w:rPr>
              <w:t>，由土地储备机构委托第三方开展树木迁移工作，迁移养管费用纳入该地块或者成片地块中后续供应地块的土地整理成本中；划拨土地内树木迁移由建设单位按照城市管理主管部门要求组织实施。树木迁移应尽量在原地块内进行；确需迁出的，迁入地优先选择规划公园、公共绿地、苗圃等生长环境；确实无法迁回的，应在迁入地</w:t>
            </w:r>
            <w:r>
              <w:rPr>
                <w:rFonts w:hint="eastAsia" w:ascii="宋体" w:hAnsi="宋体" w:eastAsia="宋体" w:cs="宋体"/>
                <w:i w:val="0"/>
                <w:color w:val="000000"/>
                <w:kern w:val="0"/>
                <w:sz w:val="22"/>
                <w:szCs w:val="22"/>
                <w:u w:val="none"/>
                <w:lang w:val="en-US" w:eastAsia="zh-CN" w:bidi="ar"/>
              </w:rPr>
              <w:t>做好树木养管，确保成活。实施城市更新过程中，做到不随意迁移、砍伐城市大树，切实保护好城市树木。</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市城市管理委、市规划资源局、市住房城乡建设委、市交通运输委、市水务局、城投集团、各区人民政府按责任分工负责</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079"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一、重点任务</w:t>
            </w:r>
          </w:p>
        </w:tc>
        <w:tc>
          <w:tcPr>
            <w:tcW w:w="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22"/>
                <w:szCs w:val="22"/>
                <w:u w:val="none"/>
              </w:rPr>
            </w:pPr>
          </w:p>
        </w:tc>
        <w:tc>
          <w:tcPr>
            <w:tcW w:w="7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城市管理部门应当依法履行绿化监督管理职责，加强对绿化活动的监督检查，发现绿化违法行为及时制止。</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市城市管理委、各区人民政府按责任分工负责</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1079" w:type="dxa"/>
            <w:vMerge w:val="continue"/>
            <w:tcBorders>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p>
        </w:tc>
        <w:tc>
          <w:tcPr>
            <w:tcW w:w="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科学增加城市大树</w:t>
            </w:r>
          </w:p>
        </w:tc>
        <w:tc>
          <w:tcPr>
            <w:tcW w:w="7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化建设严格按照适地适树的原则，科学增绿补绿，选择国槐、白蜡、栾树等适宜我市生长环境的乡土树种，并保证树木栽植留有充足的生长空间和树穴营养面积。同时，注重大树的应用和栽植，发挥大树点景的作用，丰富城市树木资源。</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市城市管理委、各区人民政府按责任分工负责</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79"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22"/>
                <w:szCs w:val="22"/>
                <w:u w:val="none"/>
              </w:rPr>
            </w:pPr>
          </w:p>
        </w:tc>
        <w:tc>
          <w:tcPr>
            <w:tcW w:w="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加大城市古树名木保护力度</w:t>
            </w:r>
          </w:p>
        </w:tc>
        <w:tc>
          <w:tcPr>
            <w:tcW w:w="7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在现有城市古树名木养护管理中，摸索推行“树长制”，做到“一树一档、责任到长”。</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市城市管理委、各区人民政府按责任分工负责</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079"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22"/>
                <w:szCs w:val="22"/>
                <w:u w:val="none"/>
              </w:rPr>
            </w:pPr>
          </w:p>
        </w:tc>
        <w:tc>
          <w:tcPr>
            <w:tcW w:w="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22"/>
                <w:szCs w:val="22"/>
                <w:u w:val="none"/>
              </w:rPr>
            </w:pPr>
          </w:p>
        </w:tc>
        <w:tc>
          <w:tcPr>
            <w:tcW w:w="7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组织园林专家定期检查城市古树名木，确保每株古树名木都挂牌保护，档案信息更新及时，养管台账管理规范。</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市城市管理委、各区人民政府按责任分工负责</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079"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22"/>
                <w:szCs w:val="22"/>
                <w:u w:val="none"/>
              </w:rPr>
            </w:pPr>
          </w:p>
        </w:tc>
        <w:tc>
          <w:tcPr>
            <w:tcW w:w="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22"/>
                <w:szCs w:val="22"/>
                <w:u w:val="none"/>
              </w:rPr>
            </w:pPr>
          </w:p>
        </w:tc>
        <w:tc>
          <w:tcPr>
            <w:tcW w:w="7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各区定期监测古树名木生长状况和立地环境，对树体不稳或树势减弱的古树名木及时加固、及时复壮。根据古树</w:t>
            </w:r>
            <w:r>
              <w:rPr>
                <w:rFonts w:hint="eastAsia" w:ascii="宋体" w:hAnsi="宋体" w:cs="宋体"/>
                <w:i w:val="0"/>
                <w:color w:val="000000"/>
                <w:kern w:val="0"/>
                <w:sz w:val="22"/>
                <w:szCs w:val="22"/>
                <w:u w:val="none"/>
                <w:lang w:val="en-US" w:eastAsia="zh-CN" w:bidi="ar"/>
              </w:rPr>
              <w:t>名木</w:t>
            </w:r>
            <w:r>
              <w:rPr>
                <w:rFonts w:hint="eastAsia" w:ascii="宋体" w:hAnsi="宋体" w:eastAsia="宋体" w:cs="宋体"/>
                <w:i w:val="0"/>
                <w:color w:val="000000"/>
                <w:kern w:val="0"/>
                <w:sz w:val="22"/>
                <w:szCs w:val="22"/>
                <w:u w:val="none"/>
                <w:lang w:val="en-US" w:eastAsia="zh-CN" w:bidi="ar"/>
              </w:rPr>
              <w:t>实际状况，采用适当的技术保护手段，如设置围栏，铺设透水砖，设置树穴铁篦子，监控摄像头等，做到“一树一策”</w:t>
            </w:r>
            <w:r>
              <w:rPr>
                <w:rFonts w:hint="eastAsia" w:ascii="宋体" w:hAnsi="宋体" w:cs="宋体"/>
                <w:i w:val="0"/>
                <w:color w:val="000000"/>
                <w:kern w:val="0"/>
                <w:sz w:val="22"/>
                <w:szCs w:val="22"/>
                <w:u w:val="none"/>
                <w:lang w:val="en-US" w:eastAsia="zh-CN" w:bidi="ar"/>
              </w:rPr>
              <w:t>，科学管护</w:t>
            </w:r>
            <w:r>
              <w:rPr>
                <w:rFonts w:hint="eastAsia" w:ascii="宋体" w:hAnsi="宋体" w:eastAsia="宋体" w:cs="宋体"/>
                <w:i w:val="0"/>
                <w:color w:val="000000"/>
                <w:kern w:val="0"/>
                <w:sz w:val="22"/>
                <w:szCs w:val="22"/>
                <w:u w:val="none"/>
                <w:lang w:val="en-US" w:eastAsia="zh-CN" w:bidi="ar"/>
              </w:rPr>
              <w:t>。</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市城市管理委、各区人民政府按责任分工负责</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9" w:hRule="atLeast"/>
        </w:trPr>
        <w:tc>
          <w:tcPr>
            <w:tcW w:w="1079"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22"/>
                <w:szCs w:val="22"/>
                <w:u w:val="none"/>
              </w:rPr>
            </w:pPr>
          </w:p>
        </w:tc>
        <w:tc>
          <w:tcPr>
            <w:tcW w:w="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建立城市古树后备资源库</w:t>
            </w:r>
          </w:p>
        </w:tc>
        <w:tc>
          <w:tcPr>
            <w:tcW w:w="7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将树龄在50年以上或者胸径40厘米以上的慢生树、长寿树全部纳入古树后备资源库，建档立卡，编号登记，以古树的标准进行养护管理。在调查建库中，坚持多走访、多调研，摸清栽植时间，确定大树树龄。重点做好五大道、意式风情街、大运河保护区域等历史古迹和文化遗址地以及公园、学校等较易保护大树的场所调查登记。</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市城市管理委、各区人民政府按责任分工负责</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1079" w:type="dxa"/>
            <w:vMerge w:val="restart"/>
            <w:tcBorders>
              <w:top w:val="single" w:color="auto" w:sz="4" w:space="0"/>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一、重点任务</w:t>
            </w:r>
          </w:p>
        </w:tc>
        <w:tc>
          <w:tcPr>
            <w:tcW w:w="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加强城市大树养护管理</w:t>
            </w:r>
          </w:p>
        </w:tc>
        <w:tc>
          <w:tcPr>
            <w:tcW w:w="7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对胸径30厘米以上的城市大树进行登记造册，完善大树保护管理台账，对树木品种、规格、数量、坐落位置、栽植历史、生长势等情况进行详细记录，实行动态管理，为树木精细化管理奠定基础。</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市城市管理委、各区人民政府按责任分工负责</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79" w:type="dxa"/>
            <w:vMerge w:val="continue"/>
            <w:tcBorders>
              <w:left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p>
        </w:tc>
        <w:tc>
          <w:tcPr>
            <w:tcW w:w="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加强城市大树养护管理</w:t>
            </w:r>
          </w:p>
        </w:tc>
        <w:tc>
          <w:tcPr>
            <w:tcW w:w="7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定期组织开展城市大树养护管理技术培训，培养一批修剪技术过硬、懂大树复壮的专业技工队伍，严禁对大树进行“抹头”修剪。</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市城市管理委、各区人民政府按责任分工负责</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079"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22"/>
                <w:szCs w:val="22"/>
                <w:u w:val="none"/>
              </w:rPr>
            </w:pPr>
          </w:p>
        </w:tc>
        <w:tc>
          <w:tcPr>
            <w:tcW w:w="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22"/>
                <w:szCs w:val="22"/>
                <w:u w:val="none"/>
              </w:rPr>
            </w:pPr>
          </w:p>
        </w:tc>
        <w:tc>
          <w:tcPr>
            <w:tcW w:w="7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做好大树病虫害防治工作，定期对大树进行巡视体检，有病治病，无病防病。</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市城市管理委、各区人民政府按责任分工负责</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1079" w:type="dxa"/>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22"/>
                <w:szCs w:val="22"/>
                <w:u w:val="none"/>
              </w:rPr>
            </w:pPr>
          </w:p>
        </w:tc>
        <w:tc>
          <w:tcPr>
            <w:tcW w:w="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严格城市树木审批和执法</w:t>
            </w:r>
          </w:p>
        </w:tc>
        <w:tc>
          <w:tcPr>
            <w:tcW w:w="7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 w:eastAsia="zh-CN" w:bidi="ar"/>
              </w:rPr>
              <w:t>坚持科学决策，严格审批把关，做好树木砍伐的事前审批、事中和事后监管。</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市城市管理委、各区人民政府按责任分工负责</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79" w:type="dxa"/>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22"/>
                <w:szCs w:val="22"/>
                <w:u w:val="none"/>
              </w:rPr>
            </w:pPr>
          </w:p>
        </w:tc>
        <w:tc>
          <w:tcPr>
            <w:tcW w:w="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22"/>
                <w:szCs w:val="22"/>
                <w:u w:val="none"/>
              </w:rPr>
            </w:pPr>
          </w:p>
        </w:tc>
        <w:tc>
          <w:tcPr>
            <w:tcW w:w="7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坚持属地管理和谁主管谁负责的原则，加大城市绿化执法力度，</w:t>
            </w:r>
            <w:r>
              <w:rPr>
                <w:rFonts w:hint="eastAsia" w:ascii="宋体" w:hAnsi="宋体" w:eastAsia="宋体" w:cs="宋体"/>
                <w:i w:val="0"/>
                <w:color w:val="000000"/>
                <w:kern w:val="0"/>
                <w:sz w:val="22"/>
                <w:szCs w:val="22"/>
                <w:u w:val="none"/>
                <w:lang w:val="en" w:eastAsia="zh-CN" w:bidi="ar"/>
              </w:rPr>
              <w:t>依法依规打击违规迁移砍伐城市树木、损害城市树木、侵占绿地等违法行为，</w:t>
            </w:r>
            <w:r>
              <w:rPr>
                <w:rFonts w:hint="eastAsia" w:ascii="宋体" w:hAnsi="宋体" w:eastAsia="宋体" w:cs="宋体"/>
                <w:i w:val="0"/>
                <w:color w:val="000000"/>
                <w:kern w:val="0"/>
                <w:sz w:val="22"/>
                <w:szCs w:val="22"/>
                <w:u w:val="none"/>
                <w:lang w:val="en-US" w:eastAsia="zh-CN" w:bidi="ar"/>
              </w:rPr>
              <w:t>切实维护城市绿化环境，增强城市生态系统功能。</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市城市管理委、各区人民政府按责任分工负责</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2" w:hRule="atLeast"/>
        </w:trPr>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二、保障措施</w:t>
            </w:r>
          </w:p>
        </w:tc>
        <w:tc>
          <w:tcPr>
            <w:tcW w:w="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加强组织领导</w:t>
            </w:r>
          </w:p>
        </w:tc>
        <w:tc>
          <w:tcPr>
            <w:tcW w:w="7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rPr>
            </w:pPr>
            <w:r>
              <w:rPr>
                <w:rFonts w:hint="eastAsia" w:ascii="宋体" w:hAnsi="宋体" w:eastAsia="宋体" w:cs="宋体"/>
                <w:i w:val="0"/>
                <w:color w:val="000000"/>
                <w:kern w:val="0"/>
                <w:sz w:val="22"/>
                <w:szCs w:val="22"/>
                <w:u w:val="none"/>
                <w:lang w:val="en-US" w:eastAsia="zh-CN" w:bidi="ar"/>
              </w:rPr>
              <w:t>各区、各相关部门要高度重视，严格按照有关工作要求，扎实推进城市树木保护工作，确保方案落实到位。市城市管理委将牵头成立工作专班，市规划资源局、市住房城乡建设委、市交通运输委、市水务局、城投集团等相关单位为成员单位，统筹做好城市规划建设施工中涉及的城市树木保护工作，定期召开会议，加强沟通协调，形成城市树木保护合力。</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市城市管理委、市规划资源</w:t>
            </w:r>
            <w:r>
              <w:rPr>
                <w:rFonts w:hint="eastAsia" w:ascii="宋体" w:hAnsi="宋体" w:cs="宋体"/>
                <w:i w:val="0"/>
                <w:color w:val="000000"/>
                <w:kern w:val="0"/>
                <w:sz w:val="22"/>
                <w:szCs w:val="22"/>
                <w:u w:val="none"/>
                <w:lang w:val="en-US" w:eastAsia="zh-CN" w:bidi="ar"/>
              </w:rPr>
              <w:t>局</w:t>
            </w:r>
            <w:r>
              <w:rPr>
                <w:rFonts w:hint="eastAsia" w:ascii="宋体" w:hAnsi="宋体" w:eastAsia="宋体" w:cs="宋体"/>
                <w:i w:val="0"/>
                <w:color w:val="000000"/>
                <w:kern w:val="0"/>
                <w:sz w:val="22"/>
                <w:szCs w:val="22"/>
                <w:u w:val="none"/>
                <w:lang w:val="en-US" w:eastAsia="zh-CN" w:bidi="ar"/>
              </w:rPr>
              <w:t>、市住房城乡建设</w:t>
            </w:r>
            <w:r>
              <w:rPr>
                <w:rFonts w:hint="eastAsia" w:ascii="宋体" w:hAnsi="宋体" w:cs="宋体"/>
                <w:i w:val="0"/>
                <w:color w:val="000000"/>
                <w:kern w:val="0"/>
                <w:sz w:val="22"/>
                <w:szCs w:val="22"/>
                <w:u w:val="none"/>
                <w:lang w:val="en-US" w:eastAsia="zh-CN" w:bidi="ar"/>
              </w:rPr>
              <w:t>委</w:t>
            </w:r>
            <w:r>
              <w:rPr>
                <w:rFonts w:hint="eastAsia" w:ascii="宋体" w:hAnsi="宋体" w:eastAsia="宋体" w:cs="宋体"/>
                <w:i w:val="0"/>
                <w:color w:val="000000"/>
                <w:kern w:val="0"/>
                <w:sz w:val="22"/>
                <w:szCs w:val="22"/>
                <w:u w:val="none"/>
                <w:lang w:val="en-US" w:eastAsia="zh-CN" w:bidi="ar"/>
              </w:rPr>
              <w:t>、市交通运输</w:t>
            </w:r>
            <w:r>
              <w:rPr>
                <w:rFonts w:hint="eastAsia" w:ascii="宋体" w:hAnsi="宋体" w:cs="宋体"/>
                <w:i w:val="0"/>
                <w:color w:val="000000"/>
                <w:kern w:val="0"/>
                <w:sz w:val="22"/>
                <w:szCs w:val="22"/>
                <w:u w:val="none"/>
                <w:lang w:val="en-US" w:eastAsia="zh-CN" w:bidi="ar"/>
              </w:rPr>
              <w:t>委</w:t>
            </w:r>
            <w:r>
              <w:rPr>
                <w:rFonts w:hint="eastAsia" w:ascii="宋体" w:hAnsi="宋体" w:eastAsia="宋体" w:cs="宋体"/>
                <w:i w:val="0"/>
                <w:color w:val="000000"/>
                <w:kern w:val="0"/>
                <w:sz w:val="22"/>
                <w:szCs w:val="22"/>
                <w:u w:val="none"/>
                <w:lang w:val="en-US" w:eastAsia="zh-CN" w:bidi="ar"/>
              </w:rPr>
              <w:t>、市水务局、城投集团、各区人民政府按责任分工负责</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107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二、保障措施</w:t>
            </w:r>
          </w:p>
        </w:tc>
        <w:tc>
          <w:tcPr>
            <w:tcW w:w="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6</w:t>
            </w:r>
          </w:p>
        </w:tc>
        <w:tc>
          <w:tcPr>
            <w:tcW w:w="13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22"/>
                <w:szCs w:val="22"/>
                <w:u w:val="none"/>
              </w:rPr>
            </w:pPr>
          </w:p>
        </w:tc>
        <w:tc>
          <w:tcPr>
            <w:tcW w:w="7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各区要落实好属地责任，做好辖区内城市树木养护工作。</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各区人民政府按责任分工负责</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1079"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p>
        </w:tc>
        <w:tc>
          <w:tcPr>
            <w:tcW w:w="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17</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加强宣传引导</w:t>
            </w:r>
          </w:p>
        </w:tc>
        <w:tc>
          <w:tcPr>
            <w:tcW w:w="7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各区、各</w:t>
            </w:r>
            <w:r>
              <w:rPr>
                <w:rFonts w:hint="eastAsia" w:ascii="宋体" w:hAnsi="宋体" w:cs="宋体"/>
                <w:i w:val="0"/>
                <w:color w:val="000000"/>
                <w:kern w:val="0"/>
                <w:sz w:val="22"/>
                <w:szCs w:val="22"/>
                <w:u w:val="none"/>
                <w:lang w:val="en-US" w:eastAsia="zh-CN" w:bidi="ar"/>
              </w:rPr>
              <w:t>相关</w:t>
            </w:r>
            <w:r>
              <w:rPr>
                <w:rFonts w:hint="eastAsia" w:ascii="宋体" w:hAnsi="宋体" w:eastAsia="宋体" w:cs="宋体"/>
                <w:i w:val="0"/>
                <w:color w:val="000000"/>
                <w:kern w:val="0"/>
                <w:sz w:val="22"/>
                <w:szCs w:val="22"/>
                <w:u w:val="none"/>
                <w:lang w:val="en-US" w:eastAsia="zh-CN" w:bidi="ar"/>
              </w:rPr>
              <w:t>部门要做好城市树木保护的宣传工作，充分发挥主流媒体的舆论引导作用，主动发声、正面宣传，激发市民群众爱绿护绿热情，不断提高市民保护树木的意识，形成人人都是监督员、全社会共同保护的舆论氛围。</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市城市管理委、各区人民政府按责任分工负责</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07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22"/>
                <w:szCs w:val="22"/>
                <w:u w:val="none"/>
              </w:rPr>
            </w:pPr>
          </w:p>
        </w:tc>
        <w:tc>
          <w:tcPr>
            <w:tcW w:w="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18</w:t>
            </w:r>
          </w:p>
        </w:tc>
        <w:tc>
          <w:tcPr>
            <w:tcW w:w="13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完善政策机制</w:t>
            </w:r>
          </w:p>
        </w:tc>
        <w:tc>
          <w:tcPr>
            <w:tcW w:w="7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加快推动修订《天津市绿化条例》，将城市树木迁移管理纳入《天津市绿化条例》，依法严格管理树木迁移工作，对不规范迁移造成树木死亡的进行处罚。</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市司法局、市城市管理委</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107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22"/>
                <w:szCs w:val="22"/>
                <w:u w:val="none"/>
              </w:rPr>
            </w:pPr>
          </w:p>
        </w:tc>
        <w:tc>
          <w:tcPr>
            <w:tcW w:w="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19</w:t>
            </w:r>
          </w:p>
        </w:tc>
        <w:tc>
          <w:tcPr>
            <w:tcW w:w="13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22"/>
                <w:szCs w:val="22"/>
                <w:u w:val="none"/>
              </w:rPr>
            </w:pPr>
          </w:p>
        </w:tc>
        <w:tc>
          <w:tcPr>
            <w:tcW w:w="7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市、区两级财政结合实际统筹安排园林养管资金，加大对城市大树、古树的专项养管资金投入，并纳入财政预算管理，为提升城市树木养管水平提供保障。</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市财政局、各区人民政府按责任分工负责</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107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rPr>
                <w:rFonts w:hint="eastAsia" w:ascii="宋体" w:hAnsi="宋体" w:eastAsia="宋体" w:cs="宋体"/>
                <w:i w:val="0"/>
                <w:color w:val="000000"/>
                <w:sz w:val="22"/>
                <w:szCs w:val="22"/>
                <w:u w:val="none"/>
              </w:rPr>
            </w:pPr>
          </w:p>
        </w:tc>
        <w:tc>
          <w:tcPr>
            <w:tcW w:w="84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20</w:t>
            </w:r>
          </w:p>
        </w:tc>
        <w:tc>
          <w:tcPr>
            <w:tcW w:w="13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w:t>
            </w:r>
            <w:r>
              <w:rPr>
                <w:rFonts w:hint="eastAsia" w:ascii="宋体" w:hAnsi="宋体" w:cs="宋体"/>
                <w:i w:val="0"/>
                <w:color w:val="000000"/>
                <w:kern w:val="0"/>
                <w:sz w:val="22"/>
                <w:szCs w:val="22"/>
                <w:u w:val="none"/>
                <w:lang w:val="en-US" w:eastAsia="zh-CN" w:bidi="ar"/>
              </w:rPr>
              <w:t>监督</w:t>
            </w:r>
            <w:r>
              <w:rPr>
                <w:rFonts w:hint="eastAsia" w:ascii="宋体" w:hAnsi="宋体" w:eastAsia="宋体" w:cs="宋体"/>
                <w:i w:val="0"/>
                <w:color w:val="000000"/>
                <w:kern w:val="0"/>
                <w:sz w:val="22"/>
                <w:szCs w:val="22"/>
                <w:u w:val="none"/>
                <w:lang w:val="en-US" w:eastAsia="zh-CN" w:bidi="ar"/>
              </w:rPr>
              <w:t>检查</w:t>
            </w:r>
          </w:p>
        </w:tc>
        <w:tc>
          <w:tcPr>
            <w:tcW w:w="7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各区、各</w:t>
            </w:r>
            <w:r>
              <w:rPr>
                <w:rFonts w:hint="eastAsia" w:ascii="宋体" w:hAnsi="宋体" w:cs="宋体"/>
                <w:i w:val="0"/>
                <w:color w:val="000000"/>
                <w:kern w:val="0"/>
                <w:sz w:val="22"/>
                <w:szCs w:val="22"/>
                <w:u w:val="none"/>
                <w:lang w:val="en-US" w:eastAsia="zh-CN" w:bidi="ar"/>
              </w:rPr>
              <w:t>相关</w:t>
            </w:r>
            <w:r>
              <w:rPr>
                <w:rFonts w:hint="eastAsia" w:ascii="宋体" w:hAnsi="宋体" w:eastAsia="宋体" w:cs="宋体"/>
                <w:i w:val="0"/>
                <w:color w:val="000000"/>
                <w:kern w:val="0"/>
                <w:sz w:val="22"/>
                <w:szCs w:val="22"/>
                <w:u w:val="none"/>
                <w:lang w:val="en-US" w:eastAsia="zh-CN" w:bidi="ar"/>
              </w:rPr>
              <w:t>部门要加大对城市树木保护工作的</w:t>
            </w:r>
            <w:r>
              <w:rPr>
                <w:rFonts w:hint="eastAsia" w:ascii="宋体" w:hAnsi="宋体" w:cs="宋体"/>
                <w:i w:val="0"/>
                <w:color w:val="000000"/>
                <w:kern w:val="0"/>
                <w:sz w:val="22"/>
                <w:szCs w:val="22"/>
                <w:u w:val="none"/>
                <w:lang w:val="en-US" w:eastAsia="zh-CN" w:bidi="ar"/>
              </w:rPr>
              <w:t>监督</w:t>
            </w:r>
            <w:r>
              <w:rPr>
                <w:rFonts w:hint="eastAsia" w:ascii="宋体" w:hAnsi="宋体" w:eastAsia="宋体" w:cs="宋体"/>
                <w:i w:val="0"/>
                <w:color w:val="000000"/>
                <w:kern w:val="0"/>
                <w:sz w:val="22"/>
                <w:szCs w:val="22"/>
                <w:u w:val="none"/>
                <w:lang w:val="en-US" w:eastAsia="zh-CN" w:bidi="ar"/>
              </w:rPr>
              <w:t>检查力度，重点督查城市</w:t>
            </w:r>
            <w:r>
              <w:rPr>
                <w:rFonts w:hint="eastAsia" w:ascii="宋体" w:hAnsi="宋体" w:cs="宋体"/>
                <w:i w:val="0"/>
                <w:color w:val="000000"/>
                <w:kern w:val="0"/>
                <w:sz w:val="22"/>
                <w:szCs w:val="22"/>
                <w:u w:val="none"/>
                <w:lang w:val="en-US" w:eastAsia="zh-CN" w:bidi="ar"/>
              </w:rPr>
              <w:t>大树和古树名木管护</w:t>
            </w:r>
            <w:r>
              <w:rPr>
                <w:rFonts w:hint="eastAsia" w:ascii="宋体" w:hAnsi="宋体" w:eastAsia="宋体" w:cs="宋体"/>
                <w:i w:val="0"/>
                <w:color w:val="000000"/>
                <w:kern w:val="0"/>
                <w:sz w:val="22"/>
                <w:szCs w:val="22"/>
                <w:u w:val="none"/>
                <w:lang w:val="en-US" w:eastAsia="zh-CN" w:bidi="ar"/>
              </w:rPr>
              <w:t>、树木迁移监管、树木砍伐审批、执法监督等是否落实到位，及时跟踪工作进度，研究解决实际工作中出现的问题，确保取得扎实成效。</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市城市管理委、各区人民政府按责任分工负责</w:t>
            </w:r>
          </w:p>
        </w:tc>
        <w:tc>
          <w:tcPr>
            <w:tcW w:w="8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i w:val="0"/>
                <w:color w:val="000000"/>
                <w:sz w:val="22"/>
                <w:szCs w:val="22"/>
                <w:u w:val="none"/>
              </w:rPr>
            </w:pPr>
          </w:p>
        </w:tc>
      </w:tr>
    </w:tbl>
    <w:p>
      <w:pPr>
        <w:pBdr>
          <w:top w:val="none" w:color="auto" w:sz="0" w:space="0"/>
          <w:left w:val="none" w:color="auto" w:sz="0" w:space="0"/>
          <w:bottom w:val="none" w:color="auto" w:sz="0" w:space="0"/>
          <w:right w:val="none" w:color="auto" w:sz="0" w:space="0"/>
          <w:between w:val="none" w:color="auto" w:sz="0" w:space="0"/>
        </w:pBdr>
        <w:spacing w:line="380" w:lineRule="exact"/>
        <w:ind w:left="0" w:leftChars="0" w:firstLine="276" w:firstLineChars="100"/>
        <w:rPr>
          <w:rFonts w:ascii="仿宋_GB2312" w:eastAsia="仿宋_GB2312"/>
          <w:sz w:val="28"/>
          <w:szCs w:val="28"/>
        </w:rPr>
      </w:pPr>
      <w:bookmarkStart w:id="0" w:name="_GoBack"/>
      <w:bookmarkEnd w:id="0"/>
    </w:p>
    <w:sectPr>
      <w:footerReference r:id="rId3" w:type="default"/>
      <w:pgSz w:w="16838" w:h="11906" w:orient="landscape"/>
      <w:pgMar w:top="1531" w:right="2268" w:bottom="1531" w:left="1418" w:header="851" w:footer="1587" w:gutter="0"/>
      <w:paperSrc/>
      <w:pgNumType w:fmt="numberInDash" w:start="13"/>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文星标宋">
    <w:panose1 w:val="0201060900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1"/>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72E"/>
    <w:rsid w:val="00004CFB"/>
    <w:rsid w:val="000053DD"/>
    <w:rsid w:val="00013B8A"/>
    <w:rsid w:val="00017A03"/>
    <w:rsid w:val="00025D80"/>
    <w:rsid w:val="00026FBE"/>
    <w:rsid w:val="000302AB"/>
    <w:rsid w:val="00033ADA"/>
    <w:rsid w:val="0003611A"/>
    <w:rsid w:val="000368E0"/>
    <w:rsid w:val="00053657"/>
    <w:rsid w:val="00064632"/>
    <w:rsid w:val="00070362"/>
    <w:rsid w:val="00072FFA"/>
    <w:rsid w:val="00080A25"/>
    <w:rsid w:val="000872A7"/>
    <w:rsid w:val="000A0928"/>
    <w:rsid w:val="000A482A"/>
    <w:rsid w:val="000B0969"/>
    <w:rsid w:val="000B51A6"/>
    <w:rsid w:val="000B5BEF"/>
    <w:rsid w:val="000B6676"/>
    <w:rsid w:val="000D1B77"/>
    <w:rsid w:val="000D1CF7"/>
    <w:rsid w:val="000F15FD"/>
    <w:rsid w:val="00101AB3"/>
    <w:rsid w:val="0010289C"/>
    <w:rsid w:val="00117F2E"/>
    <w:rsid w:val="00131F95"/>
    <w:rsid w:val="00135027"/>
    <w:rsid w:val="001357C7"/>
    <w:rsid w:val="001360DC"/>
    <w:rsid w:val="00147A53"/>
    <w:rsid w:val="00150FA0"/>
    <w:rsid w:val="0015163C"/>
    <w:rsid w:val="00153DF2"/>
    <w:rsid w:val="00157A30"/>
    <w:rsid w:val="00164A76"/>
    <w:rsid w:val="0016587E"/>
    <w:rsid w:val="0016764E"/>
    <w:rsid w:val="00167B14"/>
    <w:rsid w:val="00174753"/>
    <w:rsid w:val="001760B9"/>
    <w:rsid w:val="00176F3A"/>
    <w:rsid w:val="00180EB3"/>
    <w:rsid w:val="00181389"/>
    <w:rsid w:val="00181BAB"/>
    <w:rsid w:val="00185F9A"/>
    <w:rsid w:val="00193D63"/>
    <w:rsid w:val="001A036F"/>
    <w:rsid w:val="001B3C53"/>
    <w:rsid w:val="001C07D6"/>
    <w:rsid w:val="001C455A"/>
    <w:rsid w:val="001E1379"/>
    <w:rsid w:val="001E59D7"/>
    <w:rsid w:val="001F3124"/>
    <w:rsid w:val="00202EFF"/>
    <w:rsid w:val="002118D7"/>
    <w:rsid w:val="00213CC3"/>
    <w:rsid w:val="00224171"/>
    <w:rsid w:val="002255CE"/>
    <w:rsid w:val="00226F71"/>
    <w:rsid w:val="00232EDF"/>
    <w:rsid w:val="00235B5D"/>
    <w:rsid w:val="00251207"/>
    <w:rsid w:val="00256F16"/>
    <w:rsid w:val="00260F12"/>
    <w:rsid w:val="00264F30"/>
    <w:rsid w:val="002915C6"/>
    <w:rsid w:val="00291677"/>
    <w:rsid w:val="002A344C"/>
    <w:rsid w:val="002B0114"/>
    <w:rsid w:val="002B2C13"/>
    <w:rsid w:val="002C730B"/>
    <w:rsid w:val="002E23BD"/>
    <w:rsid w:val="002E40AB"/>
    <w:rsid w:val="002E4EE5"/>
    <w:rsid w:val="002E70A8"/>
    <w:rsid w:val="002F29BC"/>
    <w:rsid w:val="002F6483"/>
    <w:rsid w:val="002F7F24"/>
    <w:rsid w:val="003100A0"/>
    <w:rsid w:val="00313161"/>
    <w:rsid w:val="00314C84"/>
    <w:rsid w:val="00317BA2"/>
    <w:rsid w:val="003313E5"/>
    <w:rsid w:val="003339F1"/>
    <w:rsid w:val="00336CA6"/>
    <w:rsid w:val="00344B76"/>
    <w:rsid w:val="0034559D"/>
    <w:rsid w:val="003459A3"/>
    <w:rsid w:val="0037023F"/>
    <w:rsid w:val="003748F1"/>
    <w:rsid w:val="00374964"/>
    <w:rsid w:val="00375BB8"/>
    <w:rsid w:val="00392A2C"/>
    <w:rsid w:val="00395F41"/>
    <w:rsid w:val="003A0017"/>
    <w:rsid w:val="003B5C9A"/>
    <w:rsid w:val="003C16A8"/>
    <w:rsid w:val="003D1490"/>
    <w:rsid w:val="003D2336"/>
    <w:rsid w:val="003D2F8F"/>
    <w:rsid w:val="003D3B41"/>
    <w:rsid w:val="003E143C"/>
    <w:rsid w:val="003E7607"/>
    <w:rsid w:val="003E7920"/>
    <w:rsid w:val="003F1571"/>
    <w:rsid w:val="003F2DCC"/>
    <w:rsid w:val="003F6867"/>
    <w:rsid w:val="00402485"/>
    <w:rsid w:val="00402BA5"/>
    <w:rsid w:val="004048B4"/>
    <w:rsid w:val="00410A7F"/>
    <w:rsid w:val="0042772E"/>
    <w:rsid w:val="00435786"/>
    <w:rsid w:val="00442A59"/>
    <w:rsid w:val="00447D0B"/>
    <w:rsid w:val="0046113E"/>
    <w:rsid w:val="00462386"/>
    <w:rsid w:val="00462BA9"/>
    <w:rsid w:val="00462F4B"/>
    <w:rsid w:val="00466350"/>
    <w:rsid w:val="00466641"/>
    <w:rsid w:val="0048205A"/>
    <w:rsid w:val="0048288F"/>
    <w:rsid w:val="00490241"/>
    <w:rsid w:val="004A67DD"/>
    <w:rsid w:val="004E028F"/>
    <w:rsid w:val="004E1E98"/>
    <w:rsid w:val="004E2E1F"/>
    <w:rsid w:val="004E57F3"/>
    <w:rsid w:val="004E72E6"/>
    <w:rsid w:val="004F3DD3"/>
    <w:rsid w:val="0051024A"/>
    <w:rsid w:val="0053483F"/>
    <w:rsid w:val="005428E3"/>
    <w:rsid w:val="0055225F"/>
    <w:rsid w:val="00553C47"/>
    <w:rsid w:val="00562384"/>
    <w:rsid w:val="00576DC0"/>
    <w:rsid w:val="00582DCC"/>
    <w:rsid w:val="00590FCF"/>
    <w:rsid w:val="005925D2"/>
    <w:rsid w:val="00594DDF"/>
    <w:rsid w:val="005B3553"/>
    <w:rsid w:val="005C1ECF"/>
    <w:rsid w:val="005C391B"/>
    <w:rsid w:val="005C7802"/>
    <w:rsid w:val="005C7A61"/>
    <w:rsid w:val="005D036F"/>
    <w:rsid w:val="005D200E"/>
    <w:rsid w:val="005D2D6B"/>
    <w:rsid w:val="005E2480"/>
    <w:rsid w:val="005F4955"/>
    <w:rsid w:val="00603AD8"/>
    <w:rsid w:val="00610081"/>
    <w:rsid w:val="00612DB0"/>
    <w:rsid w:val="00623906"/>
    <w:rsid w:val="006341DD"/>
    <w:rsid w:val="00635458"/>
    <w:rsid w:val="00641231"/>
    <w:rsid w:val="00642543"/>
    <w:rsid w:val="006512CF"/>
    <w:rsid w:val="006778B8"/>
    <w:rsid w:val="00681DE6"/>
    <w:rsid w:val="00693CE1"/>
    <w:rsid w:val="006A3A1D"/>
    <w:rsid w:val="006A3D84"/>
    <w:rsid w:val="006A5D03"/>
    <w:rsid w:val="006B4957"/>
    <w:rsid w:val="006B63EA"/>
    <w:rsid w:val="006C6811"/>
    <w:rsid w:val="006E13FB"/>
    <w:rsid w:val="006E3267"/>
    <w:rsid w:val="00705EDB"/>
    <w:rsid w:val="00721677"/>
    <w:rsid w:val="00721F5F"/>
    <w:rsid w:val="007278C4"/>
    <w:rsid w:val="00744C52"/>
    <w:rsid w:val="0075275E"/>
    <w:rsid w:val="00753303"/>
    <w:rsid w:val="007547CA"/>
    <w:rsid w:val="00757538"/>
    <w:rsid w:val="00761456"/>
    <w:rsid w:val="0076231E"/>
    <w:rsid w:val="00764332"/>
    <w:rsid w:val="007734B4"/>
    <w:rsid w:val="007742EF"/>
    <w:rsid w:val="00790C53"/>
    <w:rsid w:val="00792FD0"/>
    <w:rsid w:val="007A3C19"/>
    <w:rsid w:val="007A7468"/>
    <w:rsid w:val="007C1752"/>
    <w:rsid w:val="007C4A4F"/>
    <w:rsid w:val="007C728F"/>
    <w:rsid w:val="007D561D"/>
    <w:rsid w:val="007E17A1"/>
    <w:rsid w:val="007E604A"/>
    <w:rsid w:val="007F33E4"/>
    <w:rsid w:val="008059B9"/>
    <w:rsid w:val="008131FB"/>
    <w:rsid w:val="00820C14"/>
    <w:rsid w:val="00825CED"/>
    <w:rsid w:val="00833CA9"/>
    <w:rsid w:val="008367CB"/>
    <w:rsid w:val="008442BF"/>
    <w:rsid w:val="0085407F"/>
    <w:rsid w:val="00857071"/>
    <w:rsid w:val="008657D6"/>
    <w:rsid w:val="00867630"/>
    <w:rsid w:val="00884CB4"/>
    <w:rsid w:val="00896CE0"/>
    <w:rsid w:val="008A0A26"/>
    <w:rsid w:val="008A2C0D"/>
    <w:rsid w:val="008B0591"/>
    <w:rsid w:val="008B120D"/>
    <w:rsid w:val="008B62A0"/>
    <w:rsid w:val="008D312F"/>
    <w:rsid w:val="008D53AB"/>
    <w:rsid w:val="008D5AE4"/>
    <w:rsid w:val="008F7D8E"/>
    <w:rsid w:val="009043A3"/>
    <w:rsid w:val="00911FE8"/>
    <w:rsid w:val="0091606B"/>
    <w:rsid w:val="009177C6"/>
    <w:rsid w:val="00922AB8"/>
    <w:rsid w:val="00923240"/>
    <w:rsid w:val="009268AE"/>
    <w:rsid w:val="00927E74"/>
    <w:rsid w:val="009307DA"/>
    <w:rsid w:val="00940894"/>
    <w:rsid w:val="009461A5"/>
    <w:rsid w:val="00954196"/>
    <w:rsid w:val="00993587"/>
    <w:rsid w:val="009A0BDF"/>
    <w:rsid w:val="009A54F2"/>
    <w:rsid w:val="009B39DA"/>
    <w:rsid w:val="009C38C8"/>
    <w:rsid w:val="009D548D"/>
    <w:rsid w:val="009D6AB3"/>
    <w:rsid w:val="009D7A62"/>
    <w:rsid w:val="009E0B9E"/>
    <w:rsid w:val="009E4270"/>
    <w:rsid w:val="009E5393"/>
    <w:rsid w:val="009E6D5B"/>
    <w:rsid w:val="00A054D6"/>
    <w:rsid w:val="00A06900"/>
    <w:rsid w:val="00A2491B"/>
    <w:rsid w:val="00A301BB"/>
    <w:rsid w:val="00A42376"/>
    <w:rsid w:val="00A4454C"/>
    <w:rsid w:val="00A61CE4"/>
    <w:rsid w:val="00A66A2A"/>
    <w:rsid w:val="00A75400"/>
    <w:rsid w:val="00A85FBA"/>
    <w:rsid w:val="00A945B9"/>
    <w:rsid w:val="00AA15BC"/>
    <w:rsid w:val="00AA5C2D"/>
    <w:rsid w:val="00AC2F46"/>
    <w:rsid w:val="00AD0DE5"/>
    <w:rsid w:val="00AD7CAF"/>
    <w:rsid w:val="00AE392E"/>
    <w:rsid w:val="00AE6563"/>
    <w:rsid w:val="00AF1575"/>
    <w:rsid w:val="00AF24F8"/>
    <w:rsid w:val="00AF2BE1"/>
    <w:rsid w:val="00B107FD"/>
    <w:rsid w:val="00B205C0"/>
    <w:rsid w:val="00B4498C"/>
    <w:rsid w:val="00B44B77"/>
    <w:rsid w:val="00B453A1"/>
    <w:rsid w:val="00B54FE9"/>
    <w:rsid w:val="00B66729"/>
    <w:rsid w:val="00B727E8"/>
    <w:rsid w:val="00B7409B"/>
    <w:rsid w:val="00B76F65"/>
    <w:rsid w:val="00B95D01"/>
    <w:rsid w:val="00B979D7"/>
    <w:rsid w:val="00BA230F"/>
    <w:rsid w:val="00BD3A21"/>
    <w:rsid w:val="00BE0D0B"/>
    <w:rsid w:val="00BE62DD"/>
    <w:rsid w:val="00BF0D15"/>
    <w:rsid w:val="00BF7C48"/>
    <w:rsid w:val="00C16B42"/>
    <w:rsid w:val="00C16BE6"/>
    <w:rsid w:val="00C45EF6"/>
    <w:rsid w:val="00C5096A"/>
    <w:rsid w:val="00C5297B"/>
    <w:rsid w:val="00C7102C"/>
    <w:rsid w:val="00C737CA"/>
    <w:rsid w:val="00C74D0A"/>
    <w:rsid w:val="00C9171C"/>
    <w:rsid w:val="00CA464A"/>
    <w:rsid w:val="00CB36C0"/>
    <w:rsid w:val="00CC2625"/>
    <w:rsid w:val="00CF489E"/>
    <w:rsid w:val="00CF5E38"/>
    <w:rsid w:val="00D001C9"/>
    <w:rsid w:val="00D12B23"/>
    <w:rsid w:val="00D140F9"/>
    <w:rsid w:val="00D219F2"/>
    <w:rsid w:val="00D2555C"/>
    <w:rsid w:val="00D27A87"/>
    <w:rsid w:val="00D354F1"/>
    <w:rsid w:val="00D41FD1"/>
    <w:rsid w:val="00D44300"/>
    <w:rsid w:val="00D45063"/>
    <w:rsid w:val="00D537E0"/>
    <w:rsid w:val="00D74488"/>
    <w:rsid w:val="00D81506"/>
    <w:rsid w:val="00D817EF"/>
    <w:rsid w:val="00D824D3"/>
    <w:rsid w:val="00D9104F"/>
    <w:rsid w:val="00D932D1"/>
    <w:rsid w:val="00D944C4"/>
    <w:rsid w:val="00DA70EF"/>
    <w:rsid w:val="00DB4D2C"/>
    <w:rsid w:val="00DC4AA6"/>
    <w:rsid w:val="00DD10CE"/>
    <w:rsid w:val="00DD7168"/>
    <w:rsid w:val="00DE28D2"/>
    <w:rsid w:val="00DF7CC4"/>
    <w:rsid w:val="00DF7D21"/>
    <w:rsid w:val="00E069E0"/>
    <w:rsid w:val="00E21B3D"/>
    <w:rsid w:val="00E276AB"/>
    <w:rsid w:val="00E3045C"/>
    <w:rsid w:val="00E345ED"/>
    <w:rsid w:val="00E3469E"/>
    <w:rsid w:val="00E43CB3"/>
    <w:rsid w:val="00E46CB6"/>
    <w:rsid w:val="00E53819"/>
    <w:rsid w:val="00E62A97"/>
    <w:rsid w:val="00E63301"/>
    <w:rsid w:val="00E640B7"/>
    <w:rsid w:val="00E6707A"/>
    <w:rsid w:val="00E73795"/>
    <w:rsid w:val="00E7775C"/>
    <w:rsid w:val="00E92ED0"/>
    <w:rsid w:val="00E932EA"/>
    <w:rsid w:val="00EA1B1E"/>
    <w:rsid w:val="00EB0F37"/>
    <w:rsid w:val="00EB1304"/>
    <w:rsid w:val="00EC2219"/>
    <w:rsid w:val="00EE04D4"/>
    <w:rsid w:val="00EE7296"/>
    <w:rsid w:val="00EF1F6A"/>
    <w:rsid w:val="00EF2E9E"/>
    <w:rsid w:val="00F05165"/>
    <w:rsid w:val="00F054A5"/>
    <w:rsid w:val="00F1716B"/>
    <w:rsid w:val="00F2267E"/>
    <w:rsid w:val="00F270D9"/>
    <w:rsid w:val="00F339B3"/>
    <w:rsid w:val="00F345D7"/>
    <w:rsid w:val="00F402AE"/>
    <w:rsid w:val="00F44437"/>
    <w:rsid w:val="00F50B84"/>
    <w:rsid w:val="00F55275"/>
    <w:rsid w:val="00F6443D"/>
    <w:rsid w:val="00F84031"/>
    <w:rsid w:val="00FC2224"/>
    <w:rsid w:val="00FE45E4"/>
    <w:rsid w:val="00FF21B3"/>
    <w:rsid w:val="00FF39F9"/>
    <w:rsid w:val="00FF4EB2"/>
    <w:rsid w:val="113150EF"/>
    <w:rsid w:val="15FF6077"/>
    <w:rsid w:val="1DE86446"/>
    <w:rsid w:val="1EDF215D"/>
    <w:rsid w:val="20A63934"/>
    <w:rsid w:val="20BA6C6E"/>
    <w:rsid w:val="27FD38CF"/>
    <w:rsid w:val="2B5B798C"/>
    <w:rsid w:val="30E60347"/>
    <w:rsid w:val="367ECFEC"/>
    <w:rsid w:val="4A9C7DD2"/>
    <w:rsid w:val="5F0434D8"/>
    <w:rsid w:val="5F44EFC2"/>
    <w:rsid w:val="63FF3434"/>
    <w:rsid w:val="681B1C82"/>
    <w:rsid w:val="77BF9918"/>
    <w:rsid w:val="7BFFF02E"/>
    <w:rsid w:val="7EBB807C"/>
    <w:rsid w:val="7EF7B876"/>
    <w:rsid w:val="9DDD03FD"/>
    <w:rsid w:val="BEE55F87"/>
    <w:rsid w:val="D5EF3672"/>
    <w:rsid w:val="EEE77AFC"/>
    <w:rsid w:val="F7DD347F"/>
    <w:rsid w:val="FBFFFF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spacing w:after="0" w:line="360" w:lineRule="auto"/>
      <w:ind w:left="0" w:leftChars="0" w:firstLine="420" w:firstLineChars="200"/>
    </w:pPr>
    <w:rPr>
      <w:rFonts w:ascii="宋体" w:hAnsi="宋体"/>
      <w:sz w:val="20"/>
      <w:szCs w:val="20"/>
    </w:rPr>
  </w:style>
  <w:style w:type="paragraph" w:styleId="3">
    <w:name w:val="Body Text Indent"/>
    <w:basedOn w:val="1"/>
    <w:next w:val="2"/>
    <w:qFormat/>
    <w:uiPriority w:val="99"/>
    <w:pPr>
      <w:spacing w:after="120"/>
      <w:ind w:left="420" w:leftChars="200"/>
    </w:pPr>
    <w:rPr>
      <w:kern w:val="0"/>
      <w:sz w:val="24"/>
    </w:rPr>
  </w:style>
  <w:style w:type="paragraph" w:styleId="4">
    <w:name w:val="annotation text"/>
    <w:basedOn w:val="1"/>
    <w:unhideWhenUsed/>
    <w:qFormat/>
    <w:uiPriority w:val="99"/>
    <w:pPr>
      <w:jc w:val="left"/>
    </w:pPr>
  </w:style>
  <w:style w:type="paragraph" w:styleId="5">
    <w:name w:val="Date"/>
    <w:basedOn w:val="1"/>
    <w:next w:val="1"/>
    <w:link w:val="15"/>
    <w:semiHidden/>
    <w:unhideWhenUsed/>
    <w:qFormat/>
    <w:uiPriority w:val="99"/>
    <w:pPr>
      <w:ind w:left="100" w:leftChars="2500"/>
    </w:pPr>
  </w:style>
  <w:style w:type="paragraph" w:styleId="6">
    <w:name w:val="Balloon Text"/>
    <w:basedOn w:val="1"/>
    <w:link w:val="14"/>
    <w:semiHidden/>
    <w:unhideWhenUsed/>
    <w:qFormat/>
    <w:uiPriority w:val="99"/>
    <w:rPr>
      <w:sz w:val="18"/>
      <w:szCs w:val="18"/>
    </w:rPr>
  </w:style>
  <w:style w:type="paragraph" w:styleId="7">
    <w:name w:val="footer"/>
    <w:basedOn w:val="1"/>
    <w:link w:val="12"/>
    <w:qFormat/>
    <w:uiPriority w:val="0"/>
    <w:pPr>
      <w:tabs>
        <w:tab w:val="center" w:pos="4153"/>
        <w:tab w:val="right" w:pos="8306"/>
      </w:tabs>
      <w:snapToGrid w:val="0"/>
      <w:jc w:val="left"/>
    </w:pPr>
    <w:rPr>
      <w:rFonts w:ascii="Times New Roman" w:hAnsi="Times New Roman" w:eastAsia="仿宋_GB2312"/>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页脚 Char"/>
    <w:link w:val="7"/>
    <w:qFormat/>
    <w:uiPriority w:val="0"/>
    <w:rPr>
      <w:rFonts w:ascii="Times New Roman" w:hAnsi="Times New Roman" w:eastAsia="仿宋_GB2312"/>
      <w:kern w:val="2"/>
      <w:sz w:val="18"/>
      <w:szCs w:val="18"/>
    </w:rPr>
  </w:style>
  <w:style w:type="paragraph" w:customStyle="1" w:styleId="13">
    <w:name w:val="无间隔1"/>
    <w:qFormat/>
    <w:uiPriority w:val="0"/>
    <w:pPr>
      <w:widowControl w:val="0"/>
      <w:jc w:val="both"/>
    </w:pPr>
    <w:rPr>
      <w:rFonts w:ascii="Calibri" w:hAnsi="Calibri" w:eastAsia="宋体" w:cs="Calibri"/>
      <w:szCs w:val="21"/>
      <w:lang w:val="en-US" w:eastAsia="zh-CN" w:bidi="ar-SA"/>
    </w:rPr>
  </w:style>
  <w:style w:type="character" w:customStyle="1" w:styleId="14">
    <w:name w:val="批注框文本 Char"/>
    <w:link w:val="6"/>
    <w:semiHidden/>
    <w:qFormat/>
    <w:uiPriority w:val="99"/>
    <w:rPr>
      <w:kern w:val="2"/>
      <w:sz w:val="18"/>
      <w:szCs w:val="18"/>
    </w:rPr>
  </w:style>
  <w:style w:type="character" w:customStyle="1" w:styleId="15">
    <w:name w:val="日期 Char"/>
    <w:link w:val="5"/>
    <w:semiHidden/>
    <w:qFormat/>
    <w:uiPriority w:val="99"/>
    <w:rPr>
      <w:kern w:val="2"/>
      <w:sz w:val="21"/>
      <w:szCs w:val="22"/>
    </w:rPr>
  </w:style>
  <w:style w:type="character" w:customStyle="1" w:styleId="16">
    <w:name w:val="页眉 Char"/>
    <w:basedOn w:val="10"/>
    <w:link w:val="8"/>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380</Words>
  <Characters>2170</Characters>
  <Lines>18</Lines>
  <Paragraphs>5</Paragraphs>
  <TotalTime>1</TotalTime>
  <ScaleCrop>false</ScaleCrop>
  <LinksUpToDate>false</LinksUpToDate>
  <CharactersWithSpaces>2545</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2020-12-12T11:37:00Z</dcterms:created>
  <dc:creator>建委管理员</dc:creator>
  <cp:lastModifiedBy>Cici.安杰</cp:lastModifiedBy>
  <cp:lastPrinted>2021-01-21T03:47:00Z</cp:lastPrinted>
  <dcterms:modified xsi:type="dcterms:W3CDTF">2022-03-30T01:50:00Z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886143847DB44C6B86DCA73587A26C9A</vt:lpwstr>
  </property>
</Properties>
</file>