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615"/>
          <w:tab w:val="center" w:pos="4365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关于东丽区未编制社会保险基金预决算的补充说明</w:t>
      </w:r>
    </w:p>
    <w:p>
      <w:pPr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60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根据《中华人民共和国预算法》第十一条，社会保险基金预决算应当按照统筹层次编制，社会保险基金由市里统筹，故我区不再编制社会保险基金预决算，《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  <w:t>东丽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区201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年社会保险基金收入决算表》、《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  <w:t>东丽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区201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年社会保险基金支出决算表》两张表无数据未编报。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E63F8"/>
    <w:rsid w:val="6F964B14"/>
    <w:rsid w:val="7AEE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2021-05-26T03:04:00Z</dcterms:created>
  <dc:creator>AAAcome on</dc:creator>
  <cp:lastModifiedBy>dell</cp:lastModifiedBy>
  <dcterms:modified xsi:type="dcterms:W3CDTF">2021-05-26T10:50:00Z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