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黑体"/>
          <w:w w:val="95"/>
          <w:sz w:val="32"/>
          <w:szCs w:val="32"/>
        </w:rPr>
      </w:pPr>
      <w:r>
        <w:rPr>
          <w:rFonts w:eastAsia="黑体"/>
          <w:w w:val="95"/>
          <w:sz w:val="32"/>
          <w:szCs w:val="32"/>
        </w:rPr>
        <w:t>附件1</w:t>
      </w:r>
    </w:p>
    <w:p>
      <w:pPr>
        <w:spacing w:line="600" w:lineRule="exact"/>
        <w:jc w:val="both"/>
        <w:rPr>
          <w:rFonts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hint="eastAsia"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 xml:space="preserve"> 天津市东丽区财政局预算编审中心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21</w:t>
      </w:r>
      <w:r>
        <w:rPr>
          <w:rFonts w:eastAsia="黑体"/>
          <w:w w:val="95"/>
          <w:sz w:val="44"/>
          <w:szCs w:val="44"/>
        </w:rPr>
        <w:t>年</w:t>
      </w: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eastAsia="黑体"/>
          <w:w w:val="95"/>
          <w:sz w:val="44"/>
          <w:szCs w:val="44"/>
        </w:rPr>
        <w:t>部门预算编制说明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一、部门主要职责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按照预算法要求编制部门预算基本支出草案，建立和维护预算基础数据库；按照部门预算编制原则及支出政策，设计预算报表，统一核定人员经费和公用经费支出标准，审核各部门提出的预算建议草案并提出初审意见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二、部门机构设置情况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sz w:val="30"/>
        </w:rPr>
      </w:pPr>
      <w:r>
        <w:rPr>
          <w:rFonts w:eastAsia="仿宋_GB2312"/>
          <w:sz w:val="30"/>
        </w:rPr>
        <w:t>根据上述职责，</w:t>
      </w:r>
      <w:r>
        <w:rPr>
          <w:rFonts w:hint="eastAsia" w:eastAsia="仿宋_GB2312"/>
          <w:sz w:val="30"/>
        </w:rPr>
        <w:t>天津市东丽区财政局预算编审中心</w:t>
      </w:r>
      <w:r>
        <w:rPr>
          <w:rFonts w:hint="eastAsia" w:eastAsia="仿宋_GB2312"/>
          <w:sz w:val="30"/>
          <w:lang w:eastAsia="zh-CN"/>
        </w:rPr>
        <w:t>为天津市东丽区财政局科级事业单位，所需经费由区财政局全额保障</w:t>
      </w:r>
      <w:bookmarkStart w:id="0" w:name="_GoBack"/>
      <w:bookmarkEnd w:id="0"/>
      <w:r>
        <w:rPr>
          <w:rFonts w:hint="eastAsia" w:eastAsia="仿宋_GB2312"/>
          <w:sz w:val="30"/>
          <w:lang w:eastAsia="zh-CN"/>
        </w:rPr>
        <w:t>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三、部门预算草案编制情况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（一）部门收入预算情况说明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部门收入预算</w:t>
      </w:r>
      <w:r>
        <w:rPr>
          <w:rFonts w:hint="eastAsia" w:ascii="仿宋_GB2312" w:eastAsia="仿宋_GB2312"/>
          <w:sz w:val="30"/>
          <w:szCs w:val="30"/>
          <w:u w:val="single"/>
        </w:rPr>
        <w:t>990.62</w:t>
      </w:r>
      <w:r>
        <w:rPr>
          <w:rFonts w:hint="eastAsia" w:ascii="仿宋_GB2312" w:eastAsia="仿宋_GB2312"/>
          <w:sz w:val="30"/>
          <w:szCs w:val="30"/>
        </w:rPr>
        <w:t>万元，与2020年预算相比增加</w:t>
      </w:r>
      <w:r>
        <w:rPr>
          <w:rFonts w:hint="eastAsia" w:ascii="仿宋_GB2312" w:eastAsia="仿宋_GB2312"/>
          <w:sz w:val="30"/>
          <w:szCs w:val="30"/>
          <w:u w:val="single"/>
        </w:rPr>
        <w:t>134.96</w:t>
      </w:r>
      <w:r>
        <w:rPr>
          <w:rFonts w:hint="eastAsia" w:ascii="仿宋_GB2312" w:eastAsia="仿宋_GB2312"/>
          <w:sz w:val="30"/>
          <w:szCs w:val="30"/>
        </w:rPr>
        <w:t>万元。其中，本年收入合计</w:t>
      </w:r>
      <w:r>
        <w:rPr>
          <w:rFonts w:hint="eastAsia" w:ascii="仿宋_GB2312" w:eastAsia="仿宋_GB2312"/>
          <w:sz w:val="30"/>
          <w:szCs w:val="30"/>
          <w:u w:val="single"/>
        </w:rPr>
        <w:t>990.62</w:t>
      </w:r>
      <w:r>
        <w:rPr>
          <w:rFonts w:hint="eastAsia" w:ascii="仿宋_GB2312" w:eastAsia="仿宋_GB2312"/>
          <w:sz w:val="30"/>
          <w:szCs w:val="30"/>
        </w:rPr>
        <w:t>万元，与2020年预算相比增加</w:t>
      </w:r>
      <w:r>
        <w:rPr>
          <w:rFonts w:hint="eastAsia" w:ascii="仿宋_GB2312" w:eastAsia="仿宋_GB2312"/>
          <w:sz w:val="30"/>
          <w:szCs w:val="30"/>
          <w:u w:val="single"/>
        </w:rPr>
        <w:t>134.96</w:t>
      </w:r>
      <w:r>
        <w:rPr>
          <w:rFonts w:hint="eastAsia" w:ascii="仿宋_GB2312" w:eastAsia="仿宋_GB2312"/>
          <w:sz w:val="30"/>
          <w:szCs w:val="30"/>
        </w:rPr>
        <w:t>万元，包括一般公共预算拨款收入</w:t>
      </w:r>
      <w:r>
        <w:rPr>
          <w:rFonts w:hint="eastAsia" w:ascii="仿宋_GB2312" w:eastAsia="仿宋_GB2312"/>
          <w:sz w:val="30"/>
          <w:szCs w:val="30"/>
          <w:u w:val="single"/>
        </w:rPr>
        <w:t>990.62</w:t>
      </w:r>
      <w:r>
        <w:rPr>
          <w:rFonts w:hint="eastAsia" w:ascii="仿宋_GB2312" w:eastAsia="仿宋_GB2312"/>
          <w:sz w:val="30"/>
          <w:szCs w:val="30"/>
        </w:rPr>
        <w:t>万元、政府性基金预算拨款收入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eastAsia="仿宋_GB2312"/>
          <w:sz w:val="30"/>
          <w:szCs w:val="30"/>
        </w:rPr>
        <w:t>万元、国有资本经营预算拨款收入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eastAsia="仿宋_GB2312"/>
          <w:sz w:val="30"/>
          <w:szCs w:val="30"/>
        </w:rPr>
        <w:t>万元、非同级财政拨款预算收入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eastAsia="仿宋_GB2312"/>
          <w:sz w:val="30"/>
          <w:szCs w:val="30"/>
        </w:rPr>
        <w:t>万元、财政专户管理资金收入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eastAsia="仿宋_GB2312"/>
          <w:sz w:val="30"/>
          <w:szCs w:val="30"/>
        </w:rPr>
        <w:t>万元、事业收入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eastAsia="仿宋_GB2312"/>
          <w:sz w:val="30"/>
          <w:szCs w:val="30"/>
        </w:rPr>
        <w:t>万元、事业单位经营收入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eastAsia="仿宋_GB2312"/>
          <w:sz w:val="30"/>
          <w:szCs w:val="30"/>
        </w:rPr>
        <w:t>万元、上级补助收入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eastAsia="仿宋_GB2312"/>
          <w:sz w:val="30"/>
          <w:szCs w:val="30"/>
        </w:rPr>
        <w:t>万元、附属单位上缴收入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eastAsia="仿宋_GB2312"/>
          <w:sz w:val="30"/>
          <w:szCs w:val="30"/>
        </w:rPr>
        <w:t>万元、其他收入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eastAsia="仿宋_GB2312"/>
          <w:sz w:val="30"/>
          <w:szCs w:val="30"/>
        </w:rPr>
        <w:t>万元；上年结转结余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eastAsia="仿宋_GB2312"/>
          <w:sz w:val="30"/>
          <w:szCs w:val="30"/>
        </w:rPr>
        <w:t>万元。</w:t>
      </w:r>
    </w:p>
    <w:p>
      <w:pPr>
        <w:tabs>
          <w:tab w:val="left" w:pos="6120"/>
        </w:tabs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（二）部门支出预算情况说明</w:t>
      </w:r>
      <w:r>
        <w:rPr>
          <w:rFonts w:eastAsia="楷体_GB2312"/>
          <w:b/>
          <w:sz w:val="30"/>
          <w:szCs w:val="30"/>
        </w:rPr>
        <w:tab/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部门支出预算</w:t>
      </w:r>
      <w:r>
        <w:rPr>
          <w:rFonts w:hint="eastAsia" w:ascii="仿宋_GB2312" w:eastAsia="仿宋_GB2312"/>
          <w:sz w:val="30"/>
          <w:szCs w:val="30"/>
          <w:u w:val="single"/>
        </w:rPr>
        <w:t>990.62</w:t>
      </w:r>
      <w:r>
        <w:rPr>
          <w:rFonts w:hint="eastAsia" w:ascii="仿宋_GB2312" w:eastAsia="仿宋_GB2312"/>
          <w:sz w:val="30"/>
          <w:szCs w:val="30"/>
        </w:rPr>
        <w:t>万元，与2020年预算相比增加</w:t>
      </w:r>
      <w:r>
        <w:rPr>
          <w:rFonts w:hint="eastAsia" w:ascii="仿宋_GB2312" w:eastAsia="仿宋_GB2312"/>
          <w:sz w:val="30"/>
          <w:szCs w:val="30"/>
          <w:u w:val="single"/>
        </w:rPr>
        <w:t>134.96</w:t>
      </w:r>
      <w:r>
        <w:rPr>
          <w:rFonts w:hint="eastAsia" w:ascii="仿宋_GB2312" w:eastAsia="仿宋_GB2312"/>
          <w:sz w:val="30"/>
          <w:szCs w:val="30"/>
        </w:rPr>
        <w:t>万元，其中：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一般公共服务支出</w:t>
      </w:r>
      <w:r>
        <w:rPr>
          <w:rFonts w:hint="eastAsia" w:ascii="仿宋_GB2312" w:eastAsia="仿宋_GB2312"/>
          <w:sz w:val="30"/>
          <w:szCs w:val="30"/>
          <w:u w:val="single"/>
        </w:rPr>
        <w:t>859.32</w:t>
      </w:r>
      <w:r>
        <w:rPr>
          <w:rFonts w:hint="eastAsia" w:ascii="仿宋_GB2312" w:eastAsia="仿宋_GB2312"/>
          <w:sz w:val="30"/>
          <w:szCs w:val="30"/>
        </w:rPr>
        <w:t>万元，主要用于</w:t>
      </w:r>
      <w:r>
        <w:rPr>
          <w:rFonts w:hint="eastAsia" w:ascii="仿宋_GB2312" w:eastAsia="仿宋_GB2312"/>
          <w:sz w:val="30"/>
          <w:szCs w:val="30"/>
          <w:u w:val="single"/>
        </w:rPr>
        <w:t>单位运行费用、人员工资、住房公积金及信息化建设项目等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社会保障和就业支出</w:t>
      </w:r>
      <w:r>
        <w:rPr>
          <w:rFonts w:hint="eastAsia" w:ascii="仿宋_GB2312" w:eastAsia="仿宋_GB2312"/>
          <w:sz w:val="30"/>
          <w:szCs w:val="30"/>
          <w:u w:val="single"/>
        </w:rPr>
        <w:t>90.12</w:t>
      </w:r>
      <w:r>
        <w:rPr>
          <w:rFonts w:hint="eastAsia" w:ascii="仿宋_GB2312" w:eastAsia="仿宋_GB2312"/>
          <w:sz w:val="30"/>
          <w:szCs w:val="30"/>
        </w:rPr>
        <w:t>万元，主要用于</w:t>
      </w:r>
      <w:r>
        <w:rPr>
          <w:rFonts w:hint="eastAsia" w:ascii="仿宋_GB2312" w:eastAsia="仿宋_GB2312"/>
          <w:sz w:val="30"/>
          <w:szCs w:val="30"/>
          <w:u w:val="single"/>
        </w:rPr>
        <w:t>单位缴纳的基本养老保险和职业年金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卫生健康支出</w:t>
      </w:r>
      <w:r>
        <w:rPr>
          <w:rFonts w:hint="eastAsia" w:ascii="仿宋_GB2312" w:eastAsia="仿宋_GB2312"/>
          <w:sz w:val="30"/>
          <w:szCs w:val="30"/>
          <w:u w:val="single"/>
        </w:rPr>
        <w:t>41.18</w:t>
      </w:r>
      <w:r>
        <w:rPr>
          <w:rFonts w:hint="eastAsia" w:ascii="仿宋_GB2312" w:eastAsia="仿宋_GB2312"/>
          <w:sz w:val="30"/>
          <w:szCs w:val="30"/>
        </w:rPr>
        <w:t>万元，主要用于</w:t>
      </w:r>
      <w:r>
        <w:rPr>
          <w:rFonts w:hint="eastAsia" w:ascii="仿宋_GB2312" w:eastAsia="仿宋_GB2312"/>
          <w:sz w:val="30"/>
          <w:szCs w:val="30"/>
          <w:u w:val="single"/>
        </w:rPr>
        <w:t>单位缴纳的基本医疗保险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（一）机关运行经费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本部门2021年安排机关运行经费预算</w:t>
      </w:r>
      <w:r>
        <w:rPr>
          <w:rFonts w:hint="eastAsia" w:ascii="仿宋_GB2312" w:eastAsia="仿宋_GB2312"/>
          <w:sz w:val="30"/>
          <w:szCs w:val="30"/>
          <w:u w:val="single"/>
        </w:rPr>
        <w:t>97.13</w:t>
      </w:r>
      <w:r>
        <w:rPr>
          <w:rFonts w:hint="eastAsia" w:ascii="仿宋_GB2312" w:eastAsia="仿宋_GB2312"/>
          <w:sz w:val="30"/>
          <w:szCs w:val="30"/>
        </w:rPr>
        <w:t>万元，包括办公费</w:t>
      </w:r>
      <w:r>
        <w:rPr>
          <w:rFonts w:hint="eastAsia" w:ascii="仿宋_GB2312" w:eastAsia="仿宋_GB2312"/>
          <w:sz w:val="30"/>
          <w:szCs w:val="30"/>
          <w:u w:val="single"/>
        </w:rPr>
        <w:t>36</w:t>
      </w:r>
      <w:r>
        <w:rPr>
          <w:rFonts w:hint="eastAsia" w:ascii="仿宋_GB2312" w:eastAsia="仿宋_GB2312"/>
          <w:sz w:val="30"/>
          <w:szCs w:val="30"/>
        </w:rPr>
        <w:t>万元、印刷费</w:t>
      </w:r>
      <w:r>
        <w:rPr>
          <w:rFonts w:hint="eastAsia" w:ascii="仿宋_GB2312" w:eastAsia="仿宋_GB2312"/>
          <w:sz w:val="30"/>
          <w:szCs w:val="30"/>
          <w:u w:val="single"/>
        </w:rPr>
        <w:t>0.65</w:t>
      </w:r>
      <w:r>
        <w:rPr>
          <w:rFonts w:hint="eastAsia" w:ascii="仿宋_GB2312" w:eastAsia="仿宋_GB2312"/>
          <w:sz w:val="30"/>
          <w:szCs w:val="30"/>
        </w:rPr>
        <w:t>万元、咨询费</w:t>
      </w:r>
      <w:r>
        <w:rPr>
          <w:rFonts w:hint="eastAsia" w:ascii="仿宋_GB2312" w:eastAsia="仿宋_GB2312"/>
          <w:sz w:val="30"/>
          <w:szCs w:val="30"/>
          <w:u w:val="single"/>
        </w:rPr>
        <w:t>0.9</w:t>
      </w:r>
      <w:r>
        <w:rPr>
          <w:rFonts w:hint="eastAsia" w:ascii="仿宋_GB2312" w:eastAsia="仿宋_GB2312"/>
          <w:sz w:val="30"/>
          <w:szCs w:val="30"/>
        </w:rPr>
        <w:t>万元、手续费</w:t>
      </w:r>
      <w:r>
        <w:rPr>
          <w:rFonts w:hint="eastAsia" w:ascii="仿宋_GB2312" w:eastAsia="仿宋_GB2312"/>
          <w:sz w:val="30"/>
          <w:szCs w:val="30"/>
          <w:u w:val="single"/>
        </w:rPr>
        <w:t>0.9</w:t>
      </w:r>
      <w:r>
        <w:rPr>
          <w:rFonts w:hint="eastAsia" w:ascii="仿宋_GB2312" w:eastAsia="仿宋_GB2312"/>
          <w:sz w:val="30"/>
          <w:szCs w:val="30"/>
        </w:rPr>
        <w:t>万元、水费</w:t>
      </w:r>
      <w:r>
        <w:rPr>
          <w:rFonts w:hint="eastAsia" w:ascii="仿宋_GB2312" w:eastAsia="仿宋_GB2312"/>
          <w:sz w:val="30"/>
          <w:szCs w:val="30"/>
          <w:u w:val="single"/>
        </w:rPr>
        <w:t>3.5</w:t>
      </w:r>
      <w:r>
        <w:rPr>
          <w:rFonts w:hint="eastAsia" w:ascii="仿宋_GB2312" w:eastAsia="仿宋_GB2312"/>
          <w:sz w:val="30"/>
          <w:szCs w:val="30"/>
        </w:rPr>
        <w:t>万元、邮电费</w:t>
      </w:r>
      <w:r>
        <w:rPr>
          <w:rFonts w:hint="eastAsia" w:ascii="仿宋_GB2312" w:eastAsia="仿宋_GB2312"/>
          <w:sz w:val="30"/>
          <w:szCs w:val="30"/>
          <w:u w:val="single"/>
        </w:rPr>
        <w:t>2.5</w:t>
      </w:r>
      <w:r>
        <w:rPr>
          <w:rFonts w:hint="eastAsia" w:ascii="仿宋_GB2312" w:eastAsia="仿宋_GB2312"/>
          <w:sz w:val="30"/>
          <w:szCs w:val="30"/>
        </w:rPr>
        <w:t>万元、差旅费</w:t>
      </w:r>
      <w:r>
        <w:rPr>
          <w:rFonts w:hint="eastAsia" w:ascii="仿宋_GB2312" w:eastAsia="仿宋_GB2312"/>
          <w:sz w:val="30"/>
          <w:szCs w:val="30"/>
          <w:u w:val="single"/>
        </w:rPr>
        <w:t>0.5</w:t>
      </w:r>
      <w:r>
        <w:rPr>
          <w:rFonts w:hint="eastAsia" w:ascii="仿宋_GB2312" w:eastAsia="仿宋_GB2312"/>
          <w:sz w:val="30"/>
          <w:szCs w:val="30"/>
        </w:rPr>
        <w:t>万元、维修（护）费</w:t>
      </w:r>
      <w:r>
        <w:rPr>
          <w:rFonts w:hint="eastAsia" w:ascii="仿宋_GB2312" w:eastAsia="仿宋_GB2312"/>
          <w:sz w:val="30"/>
          <w:szCs w:val="30"/>
          <w:u w:val="single"/>
        </w:rPr>
        <w:t>5.5</w:t>
      </w:r>
      <w:r>
        <w:rPr>
          <w:rFonts w:hint="eastAsia" w:ascii="仿宋_GB2312" w:eastAsia="仿宋_GB2312"/>
          <w:sz w:val="30"/>
          <w:szCs w:val="30"/>
        </w:rPr>
        <w:t>万元、会议费</w:t>
      </w:r>
      <w:r>
        <w:rPr>
          <w:rFonts w:hint="eastAsia" w:ascii="仿宋_GB2312" w:eastAsia="仿宋_GB2312"/>
          <w:sz w:val="30"/>
          <w:szCs w:val="30"/>
          <w:u w:val="single"/>
        </w:rPr>
        <w:t>0.9</w:t>
      </w:r>
      <w:r>
        <w:rPr>
          <w:rFonts w:hint="eastAsia" w:ascii="仿宋_GB2312" w:eastAsia="仿宋_GB2312"/>
          <w:sz w:val="30"/>
          <w:szCs w:val="30"/>
        </w:rPr>
        <w:t>万元、培训费</w:t>
      </w:r>
      <w:r>
        <w:rPr>
          <w:rFonts w:hint="eastAsia" w:ascii="仿宋_GB2312" w:eastAsia="仿宋_GB2312"/>
          <w:sz w:val="30"/>
          <w:szCs w:val="30"/>
          <w:u w:val="single"/>
        </w:rPr>
        <w:t>5.92</w:t>
      </w:r>
      <w:r>
        <w:rPr>
          <w:rFonts w:hint="eastAsia" w:ascii="仿宋_GB2312" w:eastAsia="仿宋_GB2312"/>
          <w:sz w:val="30"/>
          <w:szCs w:val="30"/>
        </w:rPr>
        <w:t>万元、委托业务费</w:t>
      </w:r>
      <w:r>
        <w:rPr>
          <w:rFonts w:hint="eastAsia" w:ascii="仿宋_GB2312" w:eastAsia="仿宋_GB2312"/>
          <w:sz w:val="30"/>
          <w:szCs w:val="30"/>
          <w:u w:val="single"/>
        </w:rPr>
        <w:t>2.65</w:t>
      </w:r>
      <w:r>
        <w:rPr>
          <w:rFonts w:hint="eastAsia" w:ascii="仿宋_GB2312" w:eastAsia="仿宋_GB2312"/>
          <w:sz w:val="30"/>
          <w:szCs w:val="30"/>
        </w:rPr>
        <w:t>万元、工会经费</w:t>
      </w:r>
      <w:r>
        <w:rPr>
          <w:rFonts w:hint="eastAsia" w:ascii="仿宋_GB2312" w:eastAsia="仿宋_GB2312"/>
          <w:sz w:val="30"/>
          <w:szCs w:val="30"/>
          <w:u w:val="single"/>
        </w:rPr>
        <w:t>9.51</w:t>
      </w:r>
      <w:r>
        <w:rPr>
          <w:rFonts w:hint="eastAsia" w:ascii="仿宋_GB2312" w:eastAsia="仿宋_GB2312"/>
          <w:sz w:val="30"/>
          <w:szCs w:val="30"/>
        </w:rPr>
        <w:t>万元、福利费</w:t>
      </w:r>
      <w:r>
        <w:rPr>
          <w:rFonts w:hint="eastAsia" w:ascii="仿宋_GB2312" w:eastAsia="仿宋_GB2312"/>
          <w:sz w:val="30"/>
          <w:szCs w:val="30"/>
          <w:u w:val="single"/>
        </w:rPr>
        <w:t>5.2</w:t>
      </w:r>
      <w:r>
        <w:rPr>
          <w:rFonts w:hint="eastAsia" w:ascii="仿宋_GB2312" w:eastAsia="仿宋_GB2312"/>
          <w:sz w:val="30"/>
          <w:szCs w:val="30"/>
        </w:rPr>
        <w:t>万元、其他商品服务支出</w:t>
      </w:r>
      <w:r>
        <w:rPr>
          <w:rFonts w:hint="eastAsia" w:ascii="仿宋_GB2312" w:eastAsia="仿宋_GB2312"/>
          <w:sz w:val="30"/>
          <w:szCs w:val="30"/>
          <w:u w:val="single"/>
        </w:rPr>
        <w:t>22.5</w:t>
      </w:r>
      <w:r>
        <w:rPr>
          <w:rFonts w:hint="eastAsia" w:ascii="仿宋_GB2312" w:eastAsia="仿宋_GB2312"/>
          <w:sz w:val="30"/>
          <w:szCs w:val="30"/>
        </w:rPr>
        <w:t>万元。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（二）政府采购情况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本部门2021年安排政府采购预算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eastAsia="仿宋_GB2312"/>
          <w:sz w:val="30"/>
          <w:szCs w:val="30"/>
        </w:rPr>
        <w:t>万元，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其中：政府采购货物支出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万元、政府采购工程支出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万元、政府采购服务支出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万元。</w:t>
      </w:r>
      <w:r>
        <w:rPr>
          <w:rFonts w:hint="eastAsia" w:ascii="仿宋_GB2312" w:eastAsia="仿宋_GB2312"/>
          <w:color w:val="000000"/>
          <w:sz w:val="30"/>
          <w:szCs w:val="30"/>
        </w:rPr>
        <w:t>主要项目是：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无  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hint="eastAsia"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国有资产占用情况</w:t>
      </w:r>
    </w:p>
    <w:p>
      <w:pPr>
        <w:spacing w:line="580" w:lineRule="exact"/>
        <w:ind w:firstLine="600" w:firstLineChars="200"/>
        <w:jc w:val="both"/>
        <w:rPr>
          <w:rFonts w:hint="eastAsia" w:ascii="仿宋_GB2312" w:hAnsi="宋体" w:eastAsia="仿宋_GB2312" w:cs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截至2020年7月底，</w:t>
      </w:r>
      <w:r>
        <w:rPr>
          <w:rFonts w:hint="eastAsia" w:ascii="仿宋_GB2312" w:eastAsia="仿宋_GB2312"/>
          <w:sz w:val="30"/>
          <w:szCs w:val="30"/>
        </w:rPr>
        <w:t>本部门</w:t>
      </w:r>
      <w:r>
        <w:rPr>
          <w:rFonts w:hint="eastAsia" w:ascii="仿宋_GB2312" w:eastAsia="仿宋_GB2312"/>
          <w:color w:val="000000"/>
          <w:sz w:val="30"/>
          <w:szCs w:val="30"/>
        </w:rPr>
        <w:t>各单位共有车辆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eastAsia="仿宋_GB2312"/>
          <w:color w:val="000000"/>
          <w:sz w:val="30"/>
          <w:szCs w:val="30"/>
        </w:rPr>
        <w:t>辆，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其中：副部（省）级及以上领导用车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辆、主要领导干部用车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辆、机要通信用车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eastAsia="仿宋_GB2312"/>
          <w:sz w:val="30"/>
          <w:szCs w:val="30"/>
        </w:rPr>
        <w:t>辆、应急保障用车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eastAsia="仿宋_GB2312"/>
          <w:sz w:val="30"/>
          <w:szCs w:val="30"/>
        </w:rPr>
        <w:t>辆、执法执勤用车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eastAsia="仿宋_GB2312"/>
          <w:sz w:val="30"/>
          <w:szCs w:val="30"/>
        </w:rPr>
        <w:t>辆、特种专业技术用车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eastAsia="仿宋_GB2312"/>
          <w:sz w:val="30"/>
          <w:szCs w:val="30"/>
        </w:rPr>
        <w:t>辆、离退休干部用车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eastAsia="仿宋_GB2312"/>
          <w:sz w:val="30"/>
          <w:szCs w:val="30"/>
        </w:rPr>
        <w:t>辆、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其他用车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辆，</w:t>
      </w:r>
      <w:r>
        <w:rPr>
          <w:rFonts w:hint="eastAsia" w:ascii="仿宋_GB2312" w:eastAsia="仿宋_GB2312"/>
          <w:sz w:val="30"/>
          <w:szCs w:val="30"/>
        </w:rPr>
        <w:t>其他用车主要包括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无   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。单价50万元以上的通用设备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台（套），单价100万元以上的专用设备</w:t>
      </w:r>
      <w:r>
        <w:rPr>
          <w:rFonts w:hint="eastAsia" w:ascii="仿宋_GB2312" w:eastAsia="仿宋_GB2312"/>
          <w:sz w:val="30"/>
          <w:szCs w:val="30"/>
          <w:u w:val="single"/>
        </w:rPr>
        <w:t>0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台（套）。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绩效目标设置情况</w:t>
      </w:r>
    </w:p>
    <w:p>
      <w:pPr>
        <w:spacing w:line="580" w:lineRule="exact"/>
        <w:ind w:firstLine="600" w:firstLineChars="200"/>
        <w:jc w:val="both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2021年，本部门实行绩效目标管理的项目</w:t>
      </w:r>
      <w:r>
        <w:rPr>
          <w:rFonts w:hint="eastAsia" w:ascii="仿宋_GB2312" w:eastAsia="仿宋_GB2312"/>
          <w:sz w:val="30"/>
          <w:szCs w:val="30"/>
          <w:u w:val="single"/>
        </w:rPr>
        <w:t>2</w:t>
      </w:r>
      <w:r>
        <w:rPr>
          <w:rFonts w:hint="eastAsia" w:ascii="仿宋_GB2312" w:eastAsia="仿宋_GB2312"/>
          <w:color w:val="000000"/>
          <w:sz w:val="30"/>
          <w:szCs w:val="30"/>
        </w:rPr>
        <w:t>个，涉及预算金额</w:t>
      </w:r>
      <w:r>
        <w:rPr>
          <w:rFonts w:hint="eastAsia" w:ascii="仿宋_GB2312" w:eastAsia="仿宋_GB2312"/>
          <w:sz w:val="30"/>
          <w:szCs w:val="30"/>
          <w:u w:val="single"/>
        </w:rPr>
        <w:t>11</w:t>
      </w:r>
      <w:r>
        <w:rPr>
          <w:rFonts w:hint="eastAsia" w:ascii="仿宋_GB2312" w:eastAsia="仿宋_GB2312"/>
          <w:color w:val="000000"/>
          <w:sz w:val="30"/>
          <w:szCs w:val="30"/>
        </w:rPr>
        <w:t>万元。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）专业性名词解释</w:t>
      </w:r>
    </w:p>
    <w:p>
      <w:pPr>
        <w:spacing w:line="58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600" w:lineRule="exact"/>
        <w:ind w:firstLine="602" w:firstLineChars="200"/>
        <w:rPr>
          <w:rFonts w:hint="eastAsia"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关于空表的说明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1.本部门2021年政府性基金预算支出情况表为空表。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2.本部门2021年一般公共预算“三公”经费支出情况表为空表。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580" w:lineRule="exact"/>
        <w:ind w:firstLine="1800" w:firstLineChars="500"/>
        <w:rPr>
          <w:rFonts w:eastAsia="黑体"/>
          <w:sz w:val="36"/>
          <w:szCs w:val="36"/>
        </w:rPr>
      </w:pP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WRjMDNmM2RlYTg5YjAyNWQ2NWRhNThiMGQ4N2U3MDcifQ=="/>
  </w:docVars>
  <w:rsids>
    <w:rsidRoot w:val="00D31D50"/>
    <w:rsid w:val="00323B43"/>
    <w:rsid w:val="003D37D8"/>
    <w:rsid w:val="00426133"/>
    <w:rsid w:val="004358AB"/>
    <w:rsid w:val="004A22F2"/>
    <w:rsid w:val="0064221E"/>
    <w:rsid w:val="008B7726"/>
    <w:rsid w:val="00D31D50"/>
    <w:rsid w:val="26155923"/>
    <w:rsid w:val="7CE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1128</Words>
  <Characters>1249</Characters>
  <Lines>9</Lines>
  <Paragraphs>2</Paragraphs>
  <TotalTime>9</TotalTime>
  <ScaleCrop>false</ScaleCrop>
  <LinksUpToDate>false</LinksUpToDate>
  <CharactersWithSpaces>1264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张润华</dc:creator>
  <cp:lastModifiedBy>Administrator</cp:lastModifiedBy>
  <dcterms:modified xsi:type="dcterms:W3CDTF">2022-08-30T09:01:49Z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81ED9B1067F749FDA59290DC2B346E53</vt:lpwstr>
  </property>
</Properties>
</file>