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6"/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Style w:val="6"/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Style w:val="6"/>
          <w:rFonts w:ascii="Times New Roman" w:hAnsi="Times New Roman" w:eastAsia="方正小标宋简体" w:cs="Times New Roman"/>
          <w:sz w:val="44"/>
          <w:szCs w:val="44"/>
          <w:highlight w:val="none"/>
        </w:rPr>
        <w:t>关于东丽区政府债务情况的说明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黑体" w:eastAsia="黑体" w:cs="Times New Roman"/>
          <w:sz w:val="32"/>
          <w:highlight w:val="none"/>
        </w:rPr>
        <w:t>一、地方政府债务限额情况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年天津市财政局累计下达东丽区政府债务限额6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47.66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亿元，其中：一般债务163.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44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亿元，专项债务4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84.22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年上半年，天津市财政局下达东丽区政府202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年度新增地方政府债务限额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9.6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均为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专项债务。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截至202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年6月底，天津市财政局累计下达东丽区政府地方政府债务限额6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7.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6亿元，其中：一般债务163.44亿元，专项债务4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93.82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Style w:val="6"/>
          <w:rFonts w:ascii="Times New Roman" w:hAnsi="黑体" w:eastAsia="黑体" w:cs="Times New Roman"/>
          <w:sz w:val="32"/>
          <w:szCs w:val="32"/>
          <w:highlight w:val="none"/>
        </w:rPr>
        <w:t>二、</w:t>
      </w:r>
      <w:r>
        <w:rPr>
          <w:rStyle w:val="6"/>
          <w:rFonts w:ascii="Times New Roman" w:hAnsi="Times New Roman" w:eastAsia="黑体" w:cs="Times New Roman"/>
          <w:sz w:val="32"/>
          <w:szCs w:val="32"/>
          <w:highlight w:val="none"/>
        </w:rPr>
        <w:t>202</w:t>
      </w:r>
      <w:r>
        <w:rPr>
          <w:rStyle w:val="6"/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r>
        <w:rPr>
          <w:rStyle w:val="6"/>
          <w:rFonts w:ascii="Times New Roman" w:hAnsi="黑体" w:eastAsia="黑体" w:cs="Times New Roman"/>
          <w:sz w:val="32"/>
          <w:szCs w:val="32"/>
          <w:highlight w:val="none"/>
        </w:rPr>
        <w:t>年地方政府债务情况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年新增地方政府债务限额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35.87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亿元，其中:一般债务0.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25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亿元，专项债务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35.62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通过市财政局代发地方政府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一般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债券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0.25亿元，专项债券31.21亿元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。202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年偿还到期政府债券本金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11.6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亿元，利息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20.32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亿元，发行费用0.0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亿元。202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年底东丽区地方政府债券余额6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39.15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亿元，其中：一般债券163.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44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亿元，专项债券4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75.71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亿元。地方政府债券余额未超过限额。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年新增地方政府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专项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债券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31.46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亿元资金使用安排情况如下：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1.东丽区绿色生态屏障区（南片区）储备林工程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6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2.天津市东丽区军粮城示范小城镇二期农民安置用房南部安置区项目8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天津氢能科技园新型基础设施建设项目</w:t>
      </w:r>
      <w:r>
        <w:rPr>
          <w:rFonts w:ascii="Times New Roman" w:hAnsi="Times New Roman" w:eastAsia="仿宋_GB2312" w:cs="Times New Roman"/>
          <w:sz w:val="32"/>
          <w:highlight w:val="none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4.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国家旅游示范区—东丽湖旅游度假区市政热源建设项目</w:t>
      </w:r>
      <w:r>
        <w:rPr>
          <w:rFonts w:ascii="Times New Roman" w:hAnsi="Times New Roman" w:eastAsia="仿宋_GB2312" w:cs="Times New Roman"/>
          <w:sz w:val="32"/>
          <w:highlight w:val="none"/>
        </w:rPr>
        <w:t>0.87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5.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</w:rPr>
        <w:t>京津冀产业转移承接载体——东丽湖丽健园大健康产业升级改造项目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1亿元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6.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</w:rPr>
        <w:t>东湖兴农胡张庄乡村振兴示范区建设项目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.4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2022东丽区供热管网新建及提升改造工程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0.1亿元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国际医疗器械产业园基础设施提升改造工程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0.4亿元。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9华明-东丽湖片区市政基础设施完善提升工程0.44亿元。</w:t>
      </w:r>
    </w:p>
    <w:p>
      <w:pPr>
        <w:spacing w:line="560" w:lineRule="exact"/>
        <w:ind w:firstLine="640" w:firstLineChars="200"/>
        <w:rPr>
          <w:rStyle w:val="6"/>
          <w:rFonts w:ascii="Times New Roman" w:hAnsi="黑体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华明高新区基础设施提升工程（一期）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10亿元。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Style w:val="6"/>
          <w:rFonts w:ascii="Times New Roman" w:hAnsi="黑体" w:eastAsia="黑体" w:cs="Times New Roman"/>
          <w:sz w:val="32"/>
          <w:szCs w:val="32"/>
          <w:highlight w:val="none"/>
        </w:rPr>
        <w:t>三、</w:t>
      </w:r>
      <w:r>
        <w:rPr>
          <w:rStyle w:val="6"/>
          <w:rFonts w:ascii="Times New Roman" w:hAnsi="Times New Roman" w:eastAsia="黑体" w:cs="Times New Roman"/>
          <w:sz w:val="32"/>
          <w:szCs w:val="32"/>
          <w:highlight w:val="none"/>
        </w:rPr>
        <w:t>202</w:t>
      </w:r>
      <w:r>
        <w:rPr>
          <w:rStyle w:val="6"/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黑体" w:eastAsia="黑体" w:cs="Times New Roman"/>
          <w:sz w:val="32"/>
          <w:szCs w:val="32"/>
          <w:highlight w:val="none"/>
        </w:rPr>
        <w:t>年上半年政府债务情况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年上半年东丽区通过天津市财政局新增发行地方政府专项债券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5.9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亿元，剩余地方政府债务限额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3.7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亿元尚未发行。202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年上半年偿还地方政府债券到期本金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4.1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亿元，利息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10.93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亿元。截至202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年6月底政府债券余额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645.05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亿元，其中：一般债券163.44亿元，专项债券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481.61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亿元，政府债务余额未超过限额。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年上半年新增地方政府专项债券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5.9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亿元资金使用安排如下：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1.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东丽詹庄等七村村民还迁安置经济适用房项目海旭园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东丽湖地区东文北路工程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2.7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天津市东丽医院智慧化医院建设项目</w:t>
      </w:r>
      <w:r>
        <w:rPr>
          <w:rFonts w:hint="eastAsia" w:ascii="Times New Roman" w:hAnsi="Times New Roman" w:eastAsia="仿宋_GB2312" w:cs="Times New Roman"/>
          <w:sz w:val="32"/>
          <w:highlight w:val="none"/>
          <w:lang w:val="en-US" w:eastAsia="zh-CN"/>
        </w:rPr>
        <w:t>0.2亿元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截止202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年6月，202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年新增地方政府债务限额剩余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3.7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亿元尚未完成债券发行工作，待剩余限额内政府债券发行完毕后，将确定东丽区202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年新增债务限额内政府债券整体发行和资金安排，以及累计存量政府债务情况，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并在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年调整预算报告中</w:t>
      </w:r>
      <w:r>
        <w:rPr>
          <w:rStyle w:val="6"/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予以</w:t>
      </w:r>
      <w:r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  <w:t>明确。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Style w:val="6"/>
          <w:rFonts w:ascii="Times New Roman" w:hAnsi="Times New Roman" w:eastAsia="仿宋_GB2312" w:cs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MTNlN2Q2YThmYzExM2Y3MzAxZjEwM2YzYjQ1ZDI2NGYifQ=="/>
  </w:docVars>
  <w:rsids>
    <w:rsidRoot w:val="007F0F75"/>
    <w:rsid w:val="005F16CA"/>
    <w:rsid w:val="007F0F75"/>
    <w:rsid w:val="06091382"/>
    <w:rsid w:val="06880B76"/>
    <w:rsid w:val="191541DE"/>
    <w:rsid w:val="56527478"/>
    <w:rsid w:val="5FB1072C"/>
    <w:rsid w:val="70FA5F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  <w:rPr>
      <w:rFonts w:ascii="Calibri" w:hAnsi="Calibri" w:eastAsia="宋体"/>
    </w:rPr>
  </w:style>
  <w:style w:type="table" w:customStyle="1" w:styleId="7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954</Words>
  <Characters>1149</Characters>
  <Lines>9</Lines>
  <Paragraphs>2</Paragraphs>
  <TotalTime>0</TotalTime>
  <ScaleCrop>false</ScaleCrop>
  <LinksUpToDate>false</LinksUpToDate>
  <CharactersWithSpaces>1149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2022-09-09T01:40:00Z</dcterms:created>
  <dc:creator>Administrator</dc:creator>
  <cp:lastModifiedBy>dell</cp:lastModifiedBy>
  <dcterms:modified xsi:type="dcterms:W3CDTF">2023-09-12T08:37:30Z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  <property fmtid="{D5CDD505-2E9C-101B-9397-08002B2CF9AE}" pid="3" name="ICV">
    <vt:lpwstr>323e066b24bd46c3a6285df4fdf5cba4</vt:lpwstr>
  </property>
</Properties>
</file>