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center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  <w:bookmarkStart w:id="1" w:name="_GoBack"/>
      <w:bookmarkStart w:id="0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2021-2022年度取暖季东丽区“煤改电”居民运行补贴专项</w:t>
      </w:r>
    </w:p>
    <w:p>
      <w:pPr>
        <w:spacing w:before="0" w:after="0"/>
        <w:ind w:firstLine="560"/>
        <w:jc w:val="center"/>
        <w:outlineLvl w:val="3"/>
      </w:pPr>
      <w:r>
        <w:rPr>
          <w:rFonts w:ascii="方正仿宋_GBK" w:hAnsi="方正仿宋_GBK" w:eastAsia="方正仿宋_GBK" w:cs="方正仿宋_GBK"/>
          <w:color w:val="000000"/>
          <w:sz w:val="28"/>
        </w:rPr>
        <w:t>资金绩效目标表</w:t>
      </w:r>
      <w:bookmarkEnd w:id="0"/>
    </w:p>
    <w:bookmarkEnd w:id="1"/>
    <w:tbl>
      <w:tblPr>
        <w:tblStyle w:val="3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321101天津市东丽区发展和改革委员会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2021-2022年度取暖季东丽区“煤改电”居民运行补贴专项资金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750000.00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750000.00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按照《关于天津市2020年至2023年居民冬季清洁取暖有关运行政策的通知》（津发改规〔2020〕2号）文件精神，为做好今冬季取暖季清洁取暖工作，保证广大群众温暖过冬.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1.有效巩固散煤治理成果</w:t>
            </w:r>
          </w:p>
          <w:p>
            <w:pPr>
              <w:pStyle w:val="7"/>
            </w:pPr>
            <w:r>
              <w:t>2.保障广大群众安全清洁取暖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项目资金数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反映补贴发放资金需求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≤750000元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补贴发放数量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反映居民清洁能源补贴发放数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≥1500户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反映资金使用合法合规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项目完成及时率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反映项目完成及时情况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优化环境，减少大气污染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反映散煤清洁化治理成效情况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补贴人员满意度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反映补贴人员对资金发放的满意度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≥98%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05E37"/>
    <w:rsid w:val="36A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2023-01-04T03:11:00Z</dcterms:created>
  <dc:creator>Administrator</dc:creator>
  <cp:lastModifiedBy>Administrator</cp:lastModifiedBy>
  <dcterms:modified xsi:type="dcterms:W3CDTF">2023-01-04T03:13:05Z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