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center"/>
        <w:outlineLvl w:val="3"/>
      </w:pPr>
      <w:bookmarkStart w:id="0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分散特困救助和一户多残家庭残疾人生活补贴绩效目标表</w:t>
      </w:r>
      <w:bookmarkEnd w:id="0"/>
    </w:p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563201天津市东丽区残疾人社会保障和就业服务中心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分散特困救助和一户多残家庭残疾人生活补贴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292200.00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292200.00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为我区分散特困供养残疾人、一户多残家庭中的精神一级、视力一级、肢体一级、智力一二级的残疾人发放生活补贴，提高生活水平。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7"/>
            </w:pPr>
            <w:r>
              <w:t>1.为我区分散特困供养残疾人发放生活补贴，提高生活水平。</w:t>
            </w:r>
          </w:p>
          <w:p>
            <w:pPr>
              <w:pStyle w:val="7"/>
            </w:pPr>
            <w:r>
              <w:t>2.为我区一户多残家庭中的精神一级、视力一级、肢体一级、智力一二级的残疾人发放生活补贴，提高生活水平。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人员补助标准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分散特困供养残疾人生活补贴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1000元/人/年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分散特困供养残疾人数量，以实际发生为准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≤9人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人员补助标准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 xml:space="preserve"> 一户多残家庭中的精神一级、视力一级、肢体一级、智力一二级的残疾人生活补贴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100元/人/月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补助人员数量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符合条件的一户多残人员全部发放，以实际发生为准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≤236人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补助资金发放率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反映补贴资金发放率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按年度发放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补助资金发放数额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全年补贴支出金额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≤29.22万元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改善补助对象生活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增加分散特困和一户多残家庭残疾人收入，提高其生活水平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得到有效改善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补助对象满意度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补助对象对资金发放满意度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1E17"/>
    <w:rsid w:val="318A5B0F"/>
    <w:rsid w:val="342D6F63"/>
    <w:rsid w:val="45E31009"/>
    <w:rsid w:val="5CE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2023-01-04T03:16:00Z</dcterms:created>
  <dc:creator>Administrator</dc:creator>
  <cp:lastModifiedBy>Administrator</cp:lastModifiedBy>
  <dcterms:modified xsi:type="dcterms:W3CDTF">2023-01-06T02:10:25Z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