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center"/>
        <w:outlineLvl w:val="3"/>
      </w:pPr>
      <w:bookmarkStart w:id="0" w:name="_Toc_4_4_0000000044"/>
      <w:r>
        <w:rPr>
          <w:rFonts w:ascii="方正仿宋_GBK" w:hAnsi="方正仿宋_GBK" w:eastAsia="方正仿宋_GBK" w:cs="方正仿宋_GBK"/>
          <w:color w:val="000000"/>
          <w:sz w:val="28"/>
        </w:rPr>
        <w:t>东丽区生态环境监测中心实验楼提升改造项目绩效目标表</w:t>
      </w:r>
      <w:bookmarkEnd w:id="0"/>
    </w:p>
    <w:tbl>
      <w:tblPr>
        <w:tblStyle w:val="3"/>
        <w:tblW w:w="835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9"/>
        <w:gridCol w:w="1058"/>
        <w:gridCol w:w="1327"/>
        <w:gridCol w:w="1327"/>
        <w:gridCol w:w="388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jc w:val="center"/>
            </w:pPr>
            <w:r>
              <w:t>362202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2"/>
                <w:lang w:val="en-US" w:eastAsia="zh-CN" w:bidi="ar-SA"/>
              </w:rPr>
              <w:t>天</w:t>
            </w: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津市东丽区生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2"/>
                <w:lang w:val="en-US" w:eastAsia="zh-CN" w:bidi="ar-SA"/>
              </w:rPr>
              <w:t xml:space="preserve">      </w:t>
            </w: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态环境监测中心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388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7023" w:type="dxa"/>
            <w:gridSpan w:val="7"/>
            <w:vAlign w:val="center"/>
          </w:tcPr>
          <w:p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东丽区生态环境监测中心实验楼提升改</w:t>
            </w: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pStyle w:val="7"/>
            </w:pPr>
            <w:r>
              <w:t>391600.00</w:t>
            </w:r>
          </w:p>
        </w:tc>
        <w:tc>
          <w:tcPr>
            <w:tcW w:w="1058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391600.00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388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023" w:type="dxa"/>
            <w:gridSpan w:val="7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2"/>
                <w:lang w:val="en-US" w:eastAsia="zh-CN" w:bidi="ar-SA"/>
              </w:rPr>
              <w:t>对实验楼进行提升改造，满足日常工作需求。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7023" w:type="dxa"/>
            <w:gridSpan w:val="7"/>
            <w:vAlign w:val="center"/>
          </w:tcPr>
          <w:p>
            <w:pPr>
              <w:pStyle w:val="7"/>
              <w:jc w:val="left"/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1.提升实验楼质量，完成东丽区生态环境监测中心实验楼标准化改造任务</w:t>
            </w:r>
          </w:p>
          <w:p>
            <w:pPr>
              <w:jc w:val="left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2.满足监测工作各方需求，提高监测质量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834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909"/>
        <w:gridCol w:w="2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绩效指标描述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项目建设总成本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不超过年初预算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≤39.16万元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改造项目工程量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对实验楼进行改造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≤2200平方米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项目竣工验收合格率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反映施工质量情况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项目招投标合规率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符合相关法律要求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项目按计划开工率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按合同时间开工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项目按期完工率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按合同完工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改造项目综合利用率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全年使用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ascii="方正书宋_GBK" w:hAnsi="方正书宋_GBK" w:eastAsia="方正书宋_GBK" w:cs="方正书宋_GBK"/>
                <w:sz w:val="21"/>
                <w:szCs w:val="22"/>
                <w:lang w:val="en-US" w:eastAsia="uk-UA" w:bidi="ar-SA"/>
              </w:rPr>
              <w:t>单位员工满意度</w:t>
            </w:r>
          </w:p>
        </w:tc>
        <w:tc>
          <w:tcPr>
            <w:tcW w:w="2457" w:type="dxa"/>
            <w:vAlign w:val="center"/>
          </w:tcPr>
          <w:p>
            <w:pPr>
              <w:pStyle w:val="7"/>
              <w:jc w:val="center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1E17"/>
    <w:rsid w:val="0DD7057C"/>
    <w:rsid w:val="342D6F63"/>
    <w:rsid w:val="40311BC1"/>
    <w:rsid w:val="45E31009"/>
    <w:rsid w:val="464A464A"/>
    <w:rsid w:val="588D005A"/>
    <w:rsid w:val="5CE21E17"/>
    <w:rsid w:val="5F2B714A"/>
    <w:rsid w:val="787009F5"/>
    <w:rsid w:val="7E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2023-01-04T03:16:00Z</dcterms:created>
  <dc:creator>Administrator</dc:creator>
  <cp:lastModifiedBy>Administrator</cp:lastModifiedBy>
  <dcterms:modified xsi:type="dcterms:W3CDTF">2023-01-06T02:15:50Z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