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center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2022年东丽区规划展览馆运行经费绩效目标表</w:t>
      </w:r>
      <w:bookmarkEnd w:id="0"/>
    </w:p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340201天津市东丽区机关事务服务中心（事业）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2022年东丽区规划展览馆运行经费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2614000.00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2614000.00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根据“三定方案”将规划馆职能划入接待科，保证规划展览馆和会议中心正常运行，确保接待及会议服务质量。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1.根据“三定方案”将规划馆职能划入接待科，保证规划展览馆和会议中心正常运行，确保接待及会议服务质量。</w:t>
            </w:r>
          </w:p>
          <w:p>
            <w:pPr>
              <w:pStyle w:val="7"/>
            </w:pPr>
            <w:r>
              <w:t>2.维护区规划展览馆整体环境,保障各类会议、接待工作顺利完成,对东丽区招商引资、对外形象宣传及相关会议等工作落实起到重要作用。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参观接待及会议服务人数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在区规划展览馆参观接待及会议服务总人数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≤20000人次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各项工作完成率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高质量完成各类会议、接待服务工作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完成工作及时率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完成接待服务工作及时率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运行费用成本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人员和维修成本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≤261.4万元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完成接待、联络、会议等服务保障工作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更好地完成宣传、展示、推介东丽区发展规划及考察的接待、联络、会议等服务保障工作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有力保障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被服务保障人员满意度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各类会议、接待工作被服务保障人员满意度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1E17"/>
    <w:rsid w:val="07C844CC"/>
    <w:rsid w:val="342D6F63"/>
    <w:rsid w:val="3BBF50E0"/>
    <w:rsid w:val="45E31009"/>
    <w:rsid w:val="5CE21E17"/>
    <w:rsid w:val="747232EF"/>
    <w:rsid w:val="753F32A0"/>
    <w:rsid w:val="787009F5"/>
    <w:rsid w:val="7E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2023-01-04T03:16:00Z</dcterms:created>
  <dc:creator>Administrator</dc:creator>
  <cp:lastModifiedBy>Administrator</cp:lastModifiedBy>
  <dcterms:modified xsi:type="dcterms:W3CDTF">2023-01-06T02:12:47Z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