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ascii="黑体" w:eastAsia="黑体"/>
          <w:w w:val="95"/>
          <w:sz w:val="48"/>
          <w:szCs w:val="48"/>
        </w:rPr>
      </w:pPr>
    </w:p>
    <w:p>
      <w:pPr>
        <w:spacing w:line="580" w:lineRule="exact"/>
        <w:jc w:val="center"/>
        <w:rPr>
          <w:rFonts w:ascii="黑体" w:eastAsia="黑体"/>
          <w:w w:val="95"/>
          <w:sz w:val="48"/>
          <w:szCs w:val="48"/>
        </w:rPr>
      </w:pPr>
    </w:p>
    <w:p>
      <w:pPr>
        <w:spacing w:line="580" w:lineRule="exact"/>
        <w:jc w:val="center"/>
        <w:rPr>
          <w:rFonts w:ascii="黑体" w:eastAsia="黑体"/>
          <w:w w:val="95"/>
          <w:sz w:val="48"/>
          <w:szCs w:val="48"/>
        </w:rPr>
      </w:pPr>
    </w:p>
    <w:p>
      <w:pPr>
        <w:spacing w:line="580" w:lineRule="exact"/>
        <w:jc w:val="center"/>
        <w:rPr>
          <w:rFonts w:ascii="黑体" w:eastAsia="黑体"/>
          <w:w w:val="95"/>
          <w:sz w:val="48"/>
          <w:szCs w:val="48"/>
        </w:rPr>
      </w:pPr>
    </w:p>
    <w:p>
      <w:pPr>
        <w:spacing w:line="580" w:lineRule="exact"/>
        <w:jc w:val="center"/>
        <w:rPr>
          <w:rFonts w:ascii="黑体" w:eastAsia="黑体"/>
          <w:w w:val="95"/>
          <w:sz w:val="48"/>
          <w:szCs w:val="48"/>
        </w:rPr>
      </w:pPr>
    </w:p>
    <w:p>
      <w:pPr>
        <w:spacing w:line="580" w:lineRule="exact"/>
        <w:jc w:val="center"/>
        <w:rPr>
          <w:rFonts w:ascii="黑体" w:eastAsia="黑体"/>
          <w:w w:val="95"/>
          <w:sz w:val="48"/>
          <w:szCs w:val="48"/>
        </w:rPr>
      </w:pPr>
    </w:p>
    <w:p>
      <w:pPr>
        <w:spacing w:line="580" w:lineRule="exact"/>
        <w:jc w:val="center"/>
        <w:rPr>
          <w:rFonts w:ascii="黑体" w:eastAsia="黑体"/>
          <w:w w:val="95"/>
          <w:sz w:val="48"/>
          <w:szCs w:val="48"/>
        </w:rPr>
      </w:pPr>
    </w:p>
    <w:p>
      <w:pPr>
        <w:spacing w:line="580" w:lineRule="exact"/>
        <w:jc w:val="center"/>
        <w:rPr>
          <w:rFonts w:ascii="黑体" w:eastAsia="黑体"/>
          <w:w w:val="95"/>
          <w:sz w:val="48"/>
          <w:szCs w:val="48"/>
        </w:rPr>
      </w:pPr>
      <w:r>
        <w:rPr>
          <w:rFonts w:hint="eastAsia" w:ascii="黑体" w:eastAsia="黑体"/>
          <w:w w:val="95"/>
          <w:sz w:val="48"/>
          <w:szCs w:val="48"/>
        </w:rPr>
        <w:t>天津市东丽区发展和改革委员会2019年度部门决算</w:t>
      </w:r>
      <w:r>
        <w:rPr>
          <w:rFonts w:hint="eastAsia" w:ascii="黑体" w:hAnsi="黑体" w:eastAsia="黑体"/>
          <w:sz w:val="48"/>
          <w:szCs w:val="48"/>
        </w:rPr>
        <w:t>和“三公”经费决算编制说明</w:t>
      </w:r>
    </w:p>
    <w:p>
      <w:pPr>
        <w:spacing w:line="580" w:lineRule="exact"/>
        <w:jc w:val="center"/>
        <w:rPr>
          <w:rFonts w:ascii="黑体" w:eastAsia="黑体"/>
          <w:w w:val="95"/>
          <w:sz w:val="44"/>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rPr>
          <w:rFonts w:ascii="楷体_GB2312" w:eastAsia="楷体_GB2312"/>
          <w:sz w:val="36"/>
        </w:rPr>
      </w:pPr>
    </w:p>
    <w:p>
      <w:pPr>
        <w:spacing w:line="580" w:lineRule="exact"/>
        <w:rPr>
          <w:rFonts w:ascii="楷体_GB2312" w:eastAsia="楷体_GB2312"/>
          <w:sz w:val="36"/>
        </w:rPr>
      </w:pPr>
    </w:p>
    <w:p>
      <w:pPr>
        <w:spacing w:line="580" w:lineRule="exact"/>
        <w:rPr>
          <w:rFonts w:ascii="楷体_GB2312" w:eastAsia="楷体_GB2312"/>
          <w:sz w:val="36"/>
        </w:rPr>
      </w:pPr>
    </w:p>
    <w:p>
      <w:pPr>
        <w:spacing w:line="580" w:lineRule="exact"/>
        <w:rPr>
          <w:rFonts w:ascii="楷体_GB2312" w:eastAsia="楷体_GB2312"/>
          <w:sz w:val="36"/>
        </w:rPr>
      </w:pPr>
    </w:p>
    <w:p>
      <w:pPr>
        <w:spacing w:line="580" w:lineRule="exact"/>
        <w:jc w:val="center"/>
        <w:rPr>
          <w:rFonts w:ascii="黑体" w:eastAsia="黑体"/>
          <w:sz w:val="44"/>
        </w:rPr>
      </w:pPr>
      <w:r>
        <w:rPr>
          <w:rFonts w:hint="eastAsia" w:ascii="黑体" w:eastAsia="黑体"/>
          <w:sz w:val="44"/>
        </w:rPr>
        <w:t>目   录</w:t>
      </w:r>
    </w:p>
    <w:p>
      <w:pPr>
        <w:spacing w:line="580" w:lineRule="exact"/>
        <w:rPr>
          <w:rFonts w:ascii="黑体" w:eastAsia="黑体"/>
          <w:sz w:val="30"/>
        </w:rPr>
      </w:pPr>
    </w:p>
    <w:p>
      <w:pPr>
        <w:spacing w:line="600" w:lineRule="exact"/>
        <w:rPr>
          <w:rFonts w:ascii="黑体" w:eastAsia="黑体"/>
          <w:sz w:val="30"/>
        </w:rPr>
      </w:pPr>
      <w:r>
        <w:rPr>
          <w:rFonts w:hint="eastAsia" w:ascii="黑体" w:eastAsia="黑体"/>
          <w:sz w:val="30"/>
        </w:rPr>
        <w:t>第一部分  概况</w:t>
      </w:r>
    </w:p>
    <w:p>
      <w:pPr>
        <w:numPr>
          <w:ilvl w:val="0"/>
          <w:numId w:val="1"/>
        </w:numPr>
        <w:spacing w:line="600" w:lineRule="exact"/>
        <w:rPr>
          <w:rFonts w:ascii="楷体_GB2312" w:eastAsia="楷体_GB2312"/>
          <w:sz w:val="30"/>
        </w:rPr>
      </w:pPr>
      <w:r>
        <w:rPr>
          <w:rFonts w:hint="eastAsia" w:ascii="楷体_GB2312" w:eastAsia="楷体_GB2312"/>
          <w:sz w:val="30"/>
        </w:rPr>
        <w:t>主要职责</w:t>
      </w:r>
    </w:p>
    <w:p>
      <w:pPr>
        <w:numPr>
          <w:ilvl w:val="0"/>
          <w:numId w:val="1"/>
        </w:numPr>
        <w:spacing w:line="600" w:lineRule="exact"/>
        <w:rPr>
          <w:rFonts w:ascii="楷体_GB2312" w:eastAsia="楷体_GB2312"/>
          <w:sz w:val="30"/>
        </w:rPr>
      </w:pPr>
      <w:r>
        <w:rPr>
          <w:rFonts w:hint="eastAsia" w:ascii="楷体_GB2312" w:eastAsia="楷体_GB2312"/>
          <w:sz w:val="30"/>
        </w:rPr>
        <w:t>机构设置</w:t>
      </w:r>
    </w:p>
    <w:p>
      <w:pPr>
        <w:spacing w:line="600" w:lineRule="exact"/>
        <w:rPr>
          <w:rFonts w:ascii="楷体_GB2312" w:eastAsia="楷体_GB2312"/>
          <w:b/>
          <w:sz w:val="30"/>
        </w:rPr>
      </w:pPr>
      <w:r>
        <w:rPr>
          <w:rFonts w:eastAsia="黑体"/>
          <w:sz w:val="30"/>
        </w:rPr>
        <w:t>第</w:t>
      </w:r>
      <w:r>
        <w:rPr>
          <w:rFonts w:hint="eastAsia" w:eastAsia="黑体"/>
          <w:sz w:val="30"/>
        </w:rPr>
        <w:t>二</w:t>
      </w:r>
      <w:r>
        <w:rPr>
          <w:rFonts w:eastAsia="黑体"/>
          <w:sz w:val="30"/>
        </w:rPr>
        <w:t>部分  2019年度部门决算</w:t>
      </w:r>
      <w:r>
        <w:rPr>
          <w:rFonts w:hint="eastAsia" w:eastAsia="黑体"/>
          <w:sz w:val="30"/>
        </w:rPr>
        <w:t>编制</w:t>
      </w:r>
      <w:r>
        <w:rPr>
          <w:rFonts w:eastAsia="黑体"/>
          <w:sz w:val="30"/>
        </w:rPr>
        <w:t>说明</w:t>
      </w:r>
    </w:p>
    <w:p>
      <w:pPr>
        <w:spacing w:line="600" w:lineRule="exact"/>
        <w:rPr>
          <w:rFonts w:eastAsia="楷体_GB2312"/>
          <w:sz w:val="30"/>
        </w:rPr>
      </w:pPr>
      <w:r>
        <w:rPr>
          <w:rFonts w:eastAsia="楷体_GB2312"/>
          <w:sz w:val="30"/>
        </w:rPr>
        <w:t>一、2019年度部门决算收入情况</w:t>
      </w:r>
    </w:p>
    <w:p>
      <w:pPr>
        <w:spacing w:line="600" w:lineRule="exact"/>
        <w:rPr>
          <w:rFonts w:eastAsia="楷体_GB2312"/>
          <w:sz w:val="30"/>
        </w:rPr>
      </w:pPr>
      <w:r>
        <w:rPr>
          <w:rFonts w:eastAsia="楷体_GB2312"/>
          <w:sz w:val="30"/>
        </w:rPr>
        <w:t>二、2019年度部门决算支出情况</w:t>
      </w:r>
    </w:p>
    <w:p>
      <w:pPr>
        <w:spacing w:line="600" w:lineRule="exact"/>
        <w:rPr>
          <w:rFonts w:eastAsia="楷体_GB2312"/>
          <w:sz w:val="30"/>
        </w:rPr>
      </w:pPr>
      <w:r>
        <w:rPr>
          <w:rFonts w:eastAsia="楷体_GB2312"/>
          <w:sz w:val="30"/>
        </w:rPr>
        <w:t>三、2019年度部门决算一般公共预算财政拨款支出情况</w:t>
      </w:r>
    </w:p>
    <w:p>
      <w:pPr>
        <w:spacing w:line="600" w:lineRule="exact"/>
        <w:rPr>
          <w:rFonts w:eastAsia="楷体_GB2312"/>
          <w:sz w:val="30"/>
        </w:rPr>
      </w:pPr>
      <w:r>
        <w:rPr>
          <w:rFonts w:eastAsia="楷体_GB2312"/>
          <w:sz w:val="30"/>
        </w:rPr>
        <w:t>四、2019年度部门决算一般公共预算财政拨款基本支出情况</w:t>
      </w:r>
    </w:p>
    <w:p>
      <w:pPr>
        <w:spacing w:line="600" w:lineRule="exact"/>
        <w:rPr>
          <w:rFonts w:eastAsia="楷体_GB2312"/>
          <w:sz w:val="30"/>
        </w:rPr>
      </w:pPr>
      <w:r>
        <w:rPr>
          <w:rFonts w:eastAsia="楷体_GB2312"/>
          <w:sz w:val="30"/>
        </w:rPr>
        <w:t>五、2019年度部门决算政府性基金预算财政拨款收入支出情况</w:t>
      </w:r>
    </w:p>
    <w:p>
      <w:pPr>
        <w:spacing w:line="600" w:lineRule="exact"/>
        <w:rPr>
          <w:rFonts w:eastAsia="楷体_GB2312"/>
          <w:sz w:val="30"/>
        </w:rPr>
      </w:pPr>
      <w:r>
        <w:rPr>
          <w:rFonts w:eastAsia="楷体_GB2312"/>
          <w:sz w:val="30"/>
        </w:rPr>
        <w:t>六、</w:t>
      </w:r>
      <w:r>
        <w:rPr>
          <w:rFonts w:hint="eastAsia" w:eastAsia="楷体_GB2312"/>
          <w:sz w:val="30"/>
        </w:rPr>
        <w:t>2</w:t>
      </w:r>
      <w:r>
        <w:rPr>
          <w:rFonts w:eastAsia="楷体_GB2312"/>
          <w:sz w:val="30"/>
        </w:rPr>
        <w:t>019年度一般公共预算财政拨款“三公”经费决算情况说明</w:t>
      </w:r>
    </w:p>
    <w:p>
      <w:pPr>
        <w:spacing w:line="600" w:lineRule="exact"/>
        <w:rPr>
          <w:rFonts w:eastAsia="楷体_GB2312"/>
          <w:color w:val="000000"/>
          <w:sz w:val="30"/>
        </w:rPr>
      </w:pPr>
      <w:r>
        <w:rPr>
          <w:rFonts w:eastAsia="楷体_GB2312"/>
          <w:color w:val="000000"/>
          <w:sz w:val="30"/>
        </w:rPr>
        <w:t>七、</w:t>
      </w:r>
      <w:r>
        <w:rPr>
          <w:rFonts w:hint="eastAsia" w:eastAsia="楷体_GB2312"/>
          <w:sz w:val="30"/>
        </w:rPr>
        <w:t>其他重要事项的情况说明</w:t>
      </w:r>
    </w:p>
    <w:p>
      <w:pPr>
        <w:spacing w:line="600" w:lineRule="exact"/>
        <w:rPr>
          <w:rFonts w:ascii="仿宋_GB2312" w:hAnsi="仿宋_GB2312" w:eastAsia="仿宋_GB2312"/>
          <w:sz w:val="30"/>
        </w:rPr>
      </w:pPr>
      <w:r>
        <w:rPr>
          <w:rFonts w:hint="eastAsia" w:ascii="仿宋_GB2312" w:hAnsi="仿宋_GB2312" w:eastAsia="仿宋_GB2312"/>
          <w:sz w:val="30"/>
        </w:rPr>
        <w:t>（一）机关运行经费支出情况</w:t>
      </w:r>
    </w:p>
    <w:p>
      <w:pPr>
        <w:spacing w:line="600" w:lineRule="exact"/>
        <w:rPr>
          <w:rFonts w:ascii="仿宋_GB2312" w:hAnsi="仿宋_GB2312" w:eastAsia="仿宋_GB2312"/>
        </w:rPr>
      </w:pPr>
      <w:r>
        <w:rPr>
          <w:rFonts w:hint="eastAsia" w:ascii="仿宋_GB2312" w:hAnsi="仿宋_GB2312" w:eastAsia="仿宋_GB2312"/>
          <w:color w:val="000000"/>
          <w:sz w:val="30"/>
        </w:rPr>
        <w:t>（二）政府采购支出情况</w:t>
      </w:r>
    </w:p>
    <w:p>
      <w:pPr>
        <w:spacing w:line="600" w:lineRule="exact"/>
        <w:rPr>
          <w:rFonts w:ascii="仿宋_GB2312" w:hAnsi="仿宋_GB2312" w:eastAsia="仿宋_GB2312"/>
          <w:color w:val="000000"/>
          <w:sz w:val="30"/>
        </w:rPr>
      </w:pPr>
      <w:r>
        <w:rPr>
          <w:rFonts w:hint="eastAsia" w:ascii="仿宋_GB2312" w:hAnsi="仿宋_GB2312" w:eastAsia="仿宋_GB2312"/>
          <w:color w:val="000000"/>
          <w:sz w:val="30"/>
        </w:rPr>
        <w:t>（三）国有资产占有使用情况</w:t>
      </w:r>
    </w:p>
    <w:p>
      <w:pPr>
        <w:spacing w:line="600" w:lineRule="exact"/>
        <w:rPr>
          <w:rFonts w:ascii="仿宋_GB2312" w:hAnsi="仿宋_GB2312" w:eastAsia="仿宋_GB2312"/>
          <w:sz w:val="30"/>
        </w:rPr>
      </w:pPr>
      <w:r>
        <w:rPr>
          <w:rFonts w:hint="eastAsia" w:ascii="仿宋_GB2312" w:hAnsi="仿宋_GB2312" w:eastAsia="仿宋_GB2312"/>
          <w:color w:val="000000"/>
          <w:sz w:val="30"/>
        </w:rPr>
        <w:t>（四）预算绩效管理工作开展情况</w:t>
      </w:r>
    </w:p>
    <w:p>
      <w:pPr>
        <w:spacing w:line="600" w:lineRule="exact"/>
        <w:rPr>
          <w:rFonts w:ascii="仿宋_GB2312" w:hAnsi="仿宋_GB2312" w:eastAsia="仿宋_GB2312"/>
          <w:sz w:val="30"/>
        </w:rPr>
      </w:pPr>
      <w:r>
        <w:rPr>
          <w:rFonts w:hint="eastAsia" w:ascii="仿宋_GB2312" w:hAnsi="仿宋_GB2312" w:eastAsia="仿宋_GB2312"/>
          <w:sz w:val="30"/>
        </w:rPr>
        <w:t>（五）教育、医疗卫生、社会保障和就业、住房保障、涉农补贴等民生支出情况</w:t>
      </w:r>
    </w:p>
    <w:p>
      <w:pPr>
        <w:spacing w:line="600" w:lineRule="exact"/>
        <w:rPr>
          <w:rFonts w:ascii="仿宋_GB2312" w:hAnsi="仿宋_GB2312" w:eastAsia="仿宋_GB2312"/>
          <w:color w:val="000000"/>
          <w:sz w:val="30"/>
        </w:rPr>
      </w:pPr>
      <w:r>
        <w:rPr>
          <w:rFonts w:hint="eastAsia" w:ascii="仿宋_GB2312" w:hAnsi="仿宋_GB2312" w:eastAsia="仿宋_GB2312"/>
          <w:color w:val="000000"/>
          <w:sz w:val="30"/>
        </w:rPr>
        <w:t>（六）专业性名词解释</w:t>
      </w:r>
    </w:p>
    <w:p>
      <w:pPr>
        <w:spacing w:line="600" w:lineRule="exact"/>
        <w:rPr>
          <w:rFonts w:ascii="仿宋_GB2312" w:hAnsi="仿宋_GB2312" w:eastAsia="仿宋_GB2312"/>
          <w:color w:val="000000"/>
          <w:sz w:val="30"/>
        </w:rPr>
      </w:pPr>
      <w:r>
        <w:rPr>
          <w:rFonts w:hint="eastAsia" w:ascii="仿宋_GB2312" w:hAnsi="仿宋_GB2312" w:eastAsia="仿宋_GB2312"/>
          <w:color w:val="000000"/>
          <w:sz w:val="30"/>
        </w:rPr>
        <w:t>（七）关于空表的说明</w:t>
      </w:r>
    </w:p>
    <w:p>
      <w:pPr>
        <w:spacing w:line="580" w:lineRule="exact"/>
        <w:jc w:val="center"/>
        <w:rPr>
          <w:rFonts w:ascii="楷体_GB2312" w:eastAsia="楷体_GB2312"/>
          <w:sz w:val="36"/>
        </w:rPr>
      </w:pPr>
    </w:p>
    <w:p>
      <w:pPr>
        <w:spacing w:line="580" w:lineRule="exact"/>
        <w:jc w:val="center"/>
        <w:rPr>
          <w:rFonts w:ascii="楷体_GB2312" w:eastAsia="楷体_GB2312"/>
          <w:sz w:val="36"/>
        </w:rPr>
      </w:pPr>
    </w:p>
    <w:p>
      <w:pPr>
        <w:spacing w:line="580" w:lineRule="exact"/>
        <w:jc w:val="center"/>
        <w:rPr>
          <w:rFonts w:ascii="黑体" w:eastAsia="黑体"/>
          <w:sz w:val="30"/>
        </w:rPr>
      </w:pPr>
      <w:r>
        <w:rPr>
          <w:rFonts w:hint="eastAsia" w:ascii="黑体" w:eastAsia="黑体"/>
          <w:sz w:val="30"/>
        </w:rPr>
        <w:t>第一部分    天津市东丽区发展和改革委员会概况</w:t>
      </w:r>
    </w:p>
    <w:p>
      <w:pPr>
        <w:spacing w:line="580" w:lineRule="exact"/>
        <w:jc w:val="center"/>
        <w:rPr>
          <w:rFonts w:ascii="黑体" w:eastAsia="黑体"/>
          <w:sz w:val="30"/>
        </w:rPr>
      </w:pPr>
    </w:p>
    <w:p>
      <w:pPr>
        <w:spacing w:line="580" w:lineRule="exact"/>
        <w:ind w:firstLine="602" w:firstLineChars="200"/>
        <w:jc w:val="both"/>
        <w:rPr>
          <w:rFonts w:ascii="楷体_GB2312" w:eastAsia="楷体_GB2312"/>
          <w:b/>
          <w:sz w:val="30"/>
          <w:szCs w:val="30"/>
        </w:rPr>
      </w:pPr>
      <w:r>
        <w:rPr>
          <w:rFonts w:hint="eastAsia" w:ascii="楷体_GB2312" w:eastAsia="楷体_GB2312"/>
          <w:b/>
          <w:sz w:val="30"/>
          <w:szCs w:val="30"/>
        </w:rPr>
        <w:t>一、主要职责</w:t>
      </w:r>
    </w:p>
    <w:p>
      <w:pPr>
        <w:spacing w:line="580" w:lineRule="exact"/>
        <w:ind w:firstLine="582" w:firstLineChars="194"/>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贯彻落实党中央关于国民经济和社会发展工作的方针政策，市委和区委关于国民经济和社会发展工作的决策部署，在履行职责过程中坚持和加强党对国民经济和社会发展工作的集中统一领导。</w:t>
      </w:r>
    </w:p>
    <w:p>
      <w:pPr>
        <w:spacing w:line="580" w:lineRule="exact"/>
        <w:ind w:firstLine="602" w:firstLineChars="200"/>
        <w:jc w:val="both"/>
        <w:rPr>
          <w:rFonts w:ascii="楷体_GB2312" w:eastAsia="楷体_GB2312"/>
          <w:b/>
          <w:sz w:val="30"/>
        </w:rPr>
      </w:pPr>
      <w:r>
        <w:rPr>
          <w:rFonts w:hint="eastAsia" w:ascii="楷体_GB2312" w:eastAsia="楷体_GB2312"/>
          <w:b/>
          <w:sz w:val="30"/>
        </w:rPr>
        <w:t>二、部门机构设置</w:t>
      </w:r>
    </w:p>
    <w:p>
      <w:pPr>
        <w:spacing w:line="580" w:lineRule="exact"/>
        <w:ind w:firstLine="60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根据上述职责，天津市东丽区发展和改革委员会内设7个职能科室，下辖2个预算单位。根据决算编报要求，纳入天津市东丽区发展和改革委员会2019年部门决算编报范围的有天津市东丽区发展和改革委员会本级和二级预算单位共3个，具体包括：</w:t>
      </w:r>
    </w:p>
    <w:p>
      <w:pPr>
        <w:numPr>
          <w:ilvl w:val="0"/>
          <w:numId w:val="2"/>
        </w:numPr>
        <w:spacing w:line="580" w:lineRule="exact"/>
        <w:ind w:left="540" w:leftChars="0" w:firstLine="600" w:firstLineChars="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行政单位：天津市东丽区发展和改革委员会1个单位。</w:t>
      </w:r>
    </w:p>
    <w:p>
      <w:pPr>
        <w:numPr>
          <w:ilvl w:val="0"/>
          <w:numId w:val="2"/>
        </w:numPr>
        <w:spacing w:line="580" w:lineRule="exact"/>
        <w:ind w:left="540" w:leftChars="0" w:firstLine="600" w:firstLineChars="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事业单位：天津市东丽区开发性银政合作服务中心、天津市东丽区价格认证中心等2个单位。</w:t>
      </w:r>
    </w:p>
    <w:p>
      <w:pPr>
        <w:spacing w:line="580" w:lineRule="exact"/>
        <w:jc w:val="both"/>
        <w:rPr>
          <w:rFonts w:ascii="仿宋_GB2312" w:hAnsi="仿宋_GB2312" w:eastAsia="仿宋_GB2312"/>
          <w:color w:val="000000"/>
          <w:sz w:val="30"/>
          <w:szCs w:val="30"/>
        </w:rPr>
      </w:pPr>
    </w:p>
    <w:p>
      <w:pPr>
        <w:spacing w:line="580" w:lineRule="exact"/>
        <w:ind w:firstLine="600" w:firstLineChars="200"/>
        <w:rPr>
          <w:rFonts w:ascii="黑体" w:eastAsia="黑体"/>
          <w:sz w:val="30"/>
        </w:rPr>
      </w:pPr>
      <w:r>
        <w:rPr>
          <w:rFonts w:hint="eastAsia" w:ascii="黑体" w:eastAsia="黑体"/>
          <w:sz w:val="30"/>
        </w:rPr>
        <w:t>第二部分  天津市东丽区发展和改革委员会2019年度部门决算情况说明</w:t>
      </w:r>
    </w:p>
    <w:p>
      <w:pPr>
        <w:spacing w:line="580" w:lineRule="exact"/>
        <w:ind w:firstLine="602" w:firstLineChars="200"/>
        <w:rPr>
          <w:rFonts w:ascii="仿宋_GB2312" w:hAnsi="仿宋_GB2312" w:eastAsia="仿宋_GB2312"/>
          <w:b/>
          <w:color w:val="000000"/>
          <w:sz w:val="30"/>
        </w:rPr>
      </w:pPr>
    </w:p>
    <w:p>
      <w:pPr>
        <w:spacing w:line="580" w:lineRule="exact"/>
        <w:ind w:firstLine="602" w:firstLineChars="200"/>
        <w:jc w:val="both"/>
        <w:rPr>
          <w:rFonts w:ascii="仿宋_GB2312" w:hAnsi="仿宋_GB2312" w:eastAsia="仿宋_GB2312"/>
          <w:b/>
          <w:color w:val="000000"/>
          <w:sz w:val="30"/>
        </w:rPr>
      </w:pPr>
      <w:r>
        <w:rPr>
          <w:rFonts w:hint="eastAsia" w:ascii="楷体_GB2312" w:eastAsia="楷体_GB2312"/>
          <w:b/>
          <w:sz w:val="30"/>
        </w:rPr>
        <w:t>一、2019年度部门决算收入情况</w:t>
      </w:r>
    </w:p>
    <w:p>
      <w:pPr>
        <w:spacing w:line="58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天津市东丽区发展和改革委员会2019年度部门决算收入总计47832726.26元，与2018年决算相比减少31171164.28元，其中：财政拨款收入36228003元，占75.74%；上级补助收入0元，占0.4%；事业收入0元，占0%；经营收入0元，占0%；附属单位上缴收入0元，占0%；其他收入1104.61元，占0.002%。</w:t>
      </w:r>
    </w:p>
    <w:p>
      <w:pPr>
        <w:spacing w:line="580" w:lineRule="exact"/>
        <w:ind w:firstLine="602" w:firstLineChars="200"/>
        <w:jc w:val="both"/>
        <w:rPr>
          <w:rFonts w:ascii="楷体_GB2312" w:eastAsia="楷体_GB2312"/>
          <w:b/>
          <w:sz w:val="30"/>
        </w:rPr>
      </w:pPr>
      <w:r>
        <w:rPr>
          <w:rFonts w:hint="eastAsia" w:ascii="楷体_GB2312" w:eastAsia="楷体_GB2312"/>
          <w:b/>
          <w:sz w:val="30"/>
        </w:rPr>
        <w:t>二、2019年度部门决算支出情况</w:t>
      </w:r>
    </w:p>
    <w:p>
      <w:pPr>
        <w:spacing w:line="58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天津市东丽区发展和改革委员会2019年度部门决算支出总计47832726.26元，与2018年决算相比减少31171164.28 元，其中：基本支出13458740.7元，占28.14%；项目支出30123866元，占62.98%；上缴上级支出0元，占0%；经营支出0元，占0%；对附属单位补助支出0元，占0%。</w:t>
      </w:r>
    </w:p>
    <w:p>
      <w:pPr>
        <w:spacing w:line="580" w:lineRule="exact"/>
        <w:ind w:firstLine="602" w:firstLineChars="200"/>
        <w:jc w:val="both"/>
        <w:rPr>
          <w:rFonts w:ascii="楷体_GB2312" w:eastAsia="楷体_GB2312"/>
          <w:b/>
          <w:sz w:val="30"/>
        </w:rPr>
      </w:pPr>
      <w:r>
        <w:rPr>
          <w:rFonts w:hint="eastAsia" w:ascii="楷体_GB2312" w:eastAsia="楷体_GB2312"/>
          <w:b/>
          <w:sz w:val="30"/>
        </w:rPr>
        <w:t>三、2019年度部门决算一般公共预算财政拨款支出情况</w:t>
      </w:r>
    </w:p>
    <w:p>
      <w:pPr>
        <w:spacing w:line="58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天津市东丽区发展和改革委员会2019年度部门决算一般公共预算财政拨款支出总计43463508.7元，与2018年决算相比减少19518383.56元，具体情况如下：</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1、一般公共服务支出发展与改革事务支出15243442.84元，其中：</w:t>
      </w:r>
    </w:p>
    <w:p>
      <w:pPr>
        <w:spacing w:line="580" w:lineRule="exact"/>
        <w:ind w:firstLine="600" w:firstLineChars="20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行政运行9332384元，主要用于行政单位的基本支出。</w:t>
      </w:r>
    </w:p>
    <w:p>
      <w:pPr>
        <w:spacing w:line="580" w:lineRule="exact"/>
        <w:ind w:firstLine="600" w:firstLineChars="20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一般行政管理事务650000元，主要用于行政单位的其他项目支出。</w:t>
      </w:r>
    </w:p>
    <w:p>
      <w:pPr>
        <w:spacing w:line="580" w:lineRule="exact"/>
        <w:ind w:firstLine="450" w:firstLineChars="15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物价管理150000元，主要用于物价管理方面的支出。</w:t>
      </w:r>
    </w:p>
    <w:p>
      <w:pPr>
        <w:spacing w:line="580" w:lineRule="exact"/>
        <w:ind w:firstLine="450" w:firstLineChars="15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事业运行2195258.84元，主要用于事业单位的基本支出。</w:t>
      </w:r>
    </w:p>
    <w:p>
      <w:pPr>
        <w:spacing w:line="580" w:lineRule="exact"/>
        <w:ind w:firstLine="450" w:firstLineChars="15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其他发展与改革事务1825800元，主要用于除上述项目以外的其他发展与改革事务支出。</w:t>
      </w:r>
    </w:p>
    <w:p>
      <w:pPr>
        <w:spacing w:line="580" w:lineRule="exact"/>
        <w:ind w:firstLine="600" w:firstLineChars="20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2、科学技术支出1500000，主要用于支持企业科技自主创新的支出。</w:t>
      </w:r>
    </w:p>
    <w:p>
      <w:pPr>
        <w:spacing w:line="580" w:lineRule="exact"/>
        <w:ind w:firstLine="600" w:firstLineChars="20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3、社会保障和就业支出1182698.29元，主要用于机关事业单位养老保险缴费支出和职业年金缴费支出。</w:t>
      </w:r>
    </w:p>
    <w:p>
      <w:pPr>
        <w:spacing w:line="580" w:lineRule="exact"/>
        <w:ind w:firstLine="600" w:firstLineChars="20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4、卫生健康支出：医疗保障629301.57元。</w:t>
      </w:r>
    </w:p>
    <w:p>
      <w:pPr>
        <w:spacing w:line="580" w:lineRule="exact"/>
        <w:ind w:firstLine="600" w:firstLineChars="20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5、节能环保支出5172000元，主要用于大气污染防治、节能减排等节能环保方面的支出。</w:t>
      </w:r>
    </w:p>
    <w:p>
      <w:pPr>
        <w:spacing w:line="580" w:lineRule="exact"/>
        <w:ind w:firstLine="600" w:firstLineChars="200"/>
        <w:jc w:val="both"/>
        <w:rPr>
          <w:rFonts w:ascii="仿宋_GB2312" w:hAnsi="仿宋_GB2312" w:eastAsia="仿宋_GB2312"/>
          <w:color w:val="000000"/>
          <w:sz w:val="30"/>
          <w:szCs w:val="30"/>
        </w:rPr>
      </w:pPr>
      <w:r>
        <w:rPr>
          <w:rFonts w:hint="eastAsia" w:ascii="仿宋_GB2312" w:hAnsi="仿宋_GB2312" w:eastAsia="仿宋_GB2312"/>
          <w:color w:val="000000"/>
          <w:sz w:val="30"/>
          <w:szCs w:val="30"/>
        </w:rPr>
        <w:t>6、城乡社区支出8820066元，主要用于城乡社区公共设施建设。</w:t>
      </w:r>
    </w:p>
    <w:p>
      <w:pPr>
        <w:spacing w:line="580" w:lineRule="exact"/>
        <w:ind w:firstLine="602" w:firstLineChars="200"/>
        <w:jc w:val="both"/>
        <w:rPr>
          <w:rFonts w:ascii="楷体_GB2312" w:eastAsia="楷体_GB2312"/>
          <w:b/>
          <w:sz w:val="30"/>
        </w:rPr>
      </w:pPr>
      <w:r>
        <w:rPr>
          <w:rFonts w:hint="eastAsia" w:ascii="楷体_GB2312" w:eastAsia="楷体_GB2312"/>
          <w:b/>
          <w:sz w:val="30"/>
        </w:rPr>
        <w:t>四、2019年度部门决算一般公共预算财政拨款基本支出情况</w:t>
      </w:r>
    </w:p>
    <w:p>
      <w:pPr>
        <w:spacing w:line="58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天津市东丽区发展和改革委员会2019年度部门决算一般公共预算财政拨款基本支出总计13339642.70元，与2018年决算相比增加1403849.44元，具体情况如下：</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1、工资福利支出10638597.1元，其中：</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基本工资1729204元，主要用于职工工资。</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津贴补贴2165029元，主要用于职工津贴补贴。</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奖金747735元，主要用于职工奖金。</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绩效工资589123元，主要用于职工的绩效工资。</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养老保险缴费836310.77元，主要用于缴纳职工养老保险。</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职业年金346387.52元，主要用于缴纳职工的职业年金。</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住房公积金2639389元，主要用于职工公积金、补充公积金。</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2、商品和服务支出1864052.6元，其中：</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办公费97507.8元，主要用于单位日常办公支出。</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印刷费49639元，主要用于单位的印刷费支出。</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差旅费52463元，主要用于单位职工出差发生的费用。</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培训费1240元，主要用于单位职工的各类培训支出。</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取暖费203252元，主要用于单位冬季取暖热力费。</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邮电费28135元，主要用于单位电话费、邮寄费等。</w:t>
      </w:r>
    </w:p>
    <w:p>
      <w:pPr>
        <w:numPr>
          <w:numId w:val="0"/>
        </w:num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lang w:val="en-US" w:eastAsia="zh-CN"/>
        </w:rPr>
        <w:t>3、</w:t>
      </w:r>
      <w:r>
        <w:rPr>
          <w:rFonts w:hint="eastAsia" w:ascii="仿宋_GB2312" w:hAnsi="仿宋_GB2312" w:eastAsia="仿宋_GB2312"/>
          <w:color w:val="000000"/>
          <w:sz w:val="30"/>
          <w:szCs w:val="30"/>
        </w:rPr>
        <w:t>对个人和家庭的补助支出831493元。其中：</w:t>
      </w:r>
    </w:p>
    <w:p>
      <w:pPr>
        <w:spacing w:line="580" w:lineRule="exact"/>
        <w:rPr>
          <w:rFonts w:ascii="仿宋_GB2312" w:hAnsi="仿宋_GB2312" w:eastAsia="仿宋_GB2312"/>
          <w:color w:val="000000"/>
          <w:sz w:val="30"/>
          <w:szCs w:val="30"/>
        </w:rPr>
      </w:pPr>
      <w:r>
        <w:rPr>
          <w:rFonts w:hint="eastAsia" w:ascii="仿宋_GB2312" w:hAnsi="仿宋_GB2312" w:eastAsia="仿宋_GB2312"/>
          <w:color w:val="000000"/>
          <w:sz w:val="30"/>
          <w:szCs w:val="30"/>
        </w:rPr>
        <w:t xml:space="preserve">    离休费：348415元，主要用于离休人员工资。</w:t>
      </w:r>
    </w:p>
    <w:p>
      <w:pPr>
        <w:spacing w:line="580" w:lineRule="exact"/>
        <w:ind w:firstLine="600" w:firstLineChars="200"/>
        <w:rPr>
          <w:rFonts w:ascii="仿宋_GB2312" w:hAnsi="仿宋_GB2312" w:eastAsia="仿宋_GB2312"/>
          <w:color w:val="000000"/>
          <w:sz w:val="30"/>
          <w:szCs w:val="30"/>
        </w:rPr>
      </w:pPr>
      <w:r>
        <w:rPr>
          <w:rFonts w:hint="eastAsia" w:ascii="仿宋_GB2312" w:hAnsi="仿宋_GB2312" w:eastAsia="仿宋_GB2312"/>
          <w:color w:val="000000"/>
          <w:sz w:val="30"/>
          <w:szCs w:val="30"/>
        </w:rPr>
        <w:t>退休费：214885元，主要用于退休人员退休补贴。</w:t>
      </w:r>
    </w:p>
    <w:p>
      <w:pPr>
        <w:spacing w:line="580" w:lineRule="exact"/>
        <w:ind w:firstLine="600" w:firstLineChars="2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其他对个人和家庭的补助支出123652万元,主要用于离退休慰问金、防暑降温等。</w:t>
      </w:r>
    </w:p>
    <w:p>
      <w:pPr>
        <w:pStyle w:val="9"/>
        <w:numPr>
          <w:numId w:val="0"/>
        </w:numPr>
        <w:tabs>
          <w:tab w:val="left" w:pos="142"/>
          <w:tab w:val="left" w:pos="284"/>
          <w:tab w:val="left" w:pos="709"/>
          <w:tab w:val="left" w:pos="851"/>
        </w:tabs>
        <w:spacing w:line="580" w:lineRule="exact"/>
        <w:ind w:firstLine="600" w:firstLineChars="200"/>
        <w:rPr>
          <w:rFonts w:hint="eastAsia" w:ascii="仿宋_GB2312" w:hAnsi="仿宋_GB2312" w:eastAsia="仿宋_GB2312"/>
          <w:color w:val="000000"/>
          <w:sz w:val="30"/>
          <w:szCs w:val="30"/>
        </w:rPr>
      </w:pPr>
      <w:bookmarkStart w:id="0" w:name="_GoBack"/>
      <w:bookmarkEnd w:id="0"/>
      <w:r>
        <w:rPr>
          <w:rFonts w:hint="eastAsia" w:ascii="仿宋_GB2312" w:hAnsi="仿宋_GB2312" w:eastAsia="仿宋_GB2312"/>
          <w:color w:val="000000"/>
          <w:sz w:val="30"/>
          <w:szCs w:val="30"/>
          <w:lang w:val="en-US" w:eastAsia="zh-CN"/>
        </w:rPr>
        <w:t>4、</w:t>
      </w:r>
      <w:r>
        <w:rPr>
          <w:rFonts w:hint="eastAsia" w:ascii="仿宋_GB2312" w:hAnsi="仿宋_GB2312" w:eastAsia="仿宋_GB2312"/>
          <w:color w:val="000000"/>
          <w:sz w:val="30"/>
          <w:szCs w:val="30"/>
        </w:rPr>
        <w:t>资本性支出5500元：办公设备购置5500元。</w:t>
      </w:r>
    </w:p>
    <w:p>
      <w:pPr>
        <w:spacing w:line="580" w:lineRule="exact"/>
        <w:ind w:firstLine="602" w:firstLineChars="200"/>
        <w:jc w:val="both"/>
        <w:rPr>
          <w:rFonts w:ascii="楷体_GB2312" w:eastAsia="楷体_GB2312"/>
          <w:b/>
          <w:sz w:val="30"/>
        </w:rPr>
      </w:pPr>
      <w:r>
        <w:rPr>
          <w:rFonts w:hint="eastAsia" w:ascii="楷体_GB2312" w:eastAsia="楷体_GB2312"/>
          <w:b/>
          <w:sz w:val="30"/>
        </w:rPr>
        <w:t>五、2019年度部门决算政府性基金预算财政拨款收入支出情况</w:t>
      </w:r>
    </w:p>
    <w:p>
      <w:pPr>
        <w:spacing w:line="58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天津市东丽区发展和改革委员会2019年度无政府性基金预算财政拨款收入、支出和结转结余。</w:t>
      </w:r>
    </w:p>
    <w:p>
      <w:pPr>
        <w:spacing w:line="580" w:lineRule="exact"/>
        <w:ind w:firstLine="602" w:firstLineChars="200"/>
        <w:rPr>
          <w:rFonts w:eastAsia="楷体_GB2312"/>
          <w:b/>
          <w:sz w:val="30"/>
        </w:rPr>
      </w:pPr>
      <w:r>
        <w:rPr>
          <w:rFonts w:hint="eastAsia" w:eastAsia="楷体_GB2312"/>
          <w:b/>
          <w:sz w:val="30"/>
        </w:rPr>
        <w:t>六、</w:t>
      </w:r>
      <w:r>
        <w:rPr>
          <w:rFonts w:eastAsia="楷体_GB2312"/>
          <w:b/>
          <w:sz w:val="30"/>
        </w:rPr>
        <w:t>2019年度一般公共预算财政拨款“三公”经费决算情况说明</w:t>
      </w:r>
    </w:p>
    <w:p>
      <w:pPr>
        <w:spacing w:line="560" w:lineRule="exact"/>
        <w:ind w:firstLine="600" w:firstLineChars="200"/>
        <w:rPr>
          <w:rFonts w:eastAsia="仿宋_GB2312"/>
          <w:sz w:val="30"/>
          <w:szCs w:val="30"/>
        </w:rPr>
      </w:pPr>
      <w:r>
        <w:rPr>
          <w:rFonts w:hint="eastAsia" w:eastAsia="仿宋_GB2312"/>
          <w:sz w:val="30"/>
          <w:szCs w:val="30"/>
        </w:rPr>
        <w:t>2019</w:t>
      </w:r>
      <w:r>
        <w:rPr>
          <w:rFonts w:eastAsia="仿宋_GB2312"/>
          <w:sz w:val="30"/>
          <w:szCs w:val="30"/>
        </w:rPr>
        <w:t>年</w:t>
      </w:r>
      <w:r>
        <w:rPr>
          <w:rFonts w:hint="eastAsia" w:eastAsia="仿宋_GB2312"/>
          <w:sz w:val="30"/>
          <w:szCs w:val="30"/>
        </w:rPr>
        <w:t>一般公共预算</w:t>
      </w:r>
      <w:r>
        <w:rPr>
          <w:rFonts w:eastAsia="仿宋_GB2312"/>
          <w:sz w:val="30"/>
          <w:szCs w:val="30"/>
        </w:rPr>
        <w:t>财政拨款“三公”经费</w:t>
      </w:r>
      <w:r>
        <w:rPr>
          <w:rFonts w:hint="eastAsia" w:eastAsia="仿宋_GB2312"/>
          <w:sz w:val="30"/>
          <w:szCs w:val="30"/>
        </w:rPr>
        <w:t>决算0元</w:t>
      </w:r>
      <w:r>
        <w:rPr>
          <w:rFonts w:eastAsia="仿宋_GB2312"/>
          <w:sz w:val="30"/>
          <w:szCs w:val="30"/>
        </w:rPr>
        <w:t>，与</w:t>
      </w:r>
      <w:r>
        <w:rPr>
          <w:rFonts w:hint="eastAsia" w:eastAsia="仿宋_GB2312"/>
          <w:sz w:val="30"/>
          <w:szCs w:val="30"/>
        </w:rPr>
        <w:t>2018</w:t>
      </w:r>
      <w:r>
        <w:rPr>
          <w:rFonts w:eastAsia="仿宋_GB2312"/>
          <w:sz w:val="30"/>
          <w:szCs w:val="30"/>
        </w:rPr>
        <w:t>年</w:t>
      </w:r>
      <w:r>
        <w:rPr>
          <w:rFonts w:hint="eastAsia" w:eastAsia="仿宋_GB2312"/>
          <w:sz w:val="30"/>
          <w:szCs w:val="30"/>
        </w:rPr>
        <w:t>决算</w:t>
      </w:r>
      <w:r>
        <w:rPr>
          <w:rFonts w:eastAsia="仿宋_GB2312"/>
          <w:sz w:val="30"/>
          <w:szCs w:val="30"/>
        </w:rPr>
        <w:t>相比</w:t>
      </w:r>
      <w:r>
        <w:rPr>
          <w:rFonts w:hint="eastAsia" w:eastAsia="仿宋_GB2312"/>
          <w:sz w:val="30"/>
          <w:szCs w:val="30"/>
        </w:rPr>
        <w:t>增加0元</w:t>
      </w:r>
      <w:r>
        <w:rPr>
          <w:rFonts w:eastAsia="仿宋_GB2312"/>
          <w:sz w:val="30"/>
          <w:szCs w:val="30"/>
        </w:rPr>
        <w:t>，主要原因是</w:t>
      </w:r>
      <w:r>
        <w:rPr>
          <w:rFonts w:hint="eastAsia" w:eastAsia="仿宋_GB2312"/>
          <w:sz w:val="30"/>
          <w:szCs w:val="30"/>
        </w:rPr>
        <w:t>本年度未用一般公共预算财政拨款列支</w:t>
      </w:r>
      <w:r>
        <w:rPr>
          <w:rFonts w:hint="eastAsia" w:ascii="仿宋_GB2312" w:hAnsi="仿宋_GB2312" w:eastAsia="仿宋_GB2312" w:cs="仿宋_GB2312"/>
          <w:sz w:val="30"/>
          <w:szCs w:val="30"/>
        </w:rPr>
        <w:t>“</w:t>
      </w:r>
      <w:r>
        <w:rPr>
          <w:rFonts w:hint="eastAsia" w:eastAsia="仿宋_GB2312"/>
          <w:sz w:val="30"/>
          <w:szCs w:val="30"/>
        </w:rPr>
        <w:t>三公</w:t>
      </w:r>
      <w:r>
        <w:rPr>
          <w:rFonts w:hint="eastAsia" w:ascii="仿宋_GB2312" w:hAnsi="仿宋_GB2312" w:eastAsia="仿宋_GB2312" w:cs="仿宋_GB2312"/>
          <w:sz w:val="30"/>
          <w:szCs w:val="30"/>
        </w:rPr>
        <w:t>”</w:t>
      </w:r>
      <w:r>
        <w:rPr>
          <w:rFonts w:hint="eastAsia" w:eastAsia="仿宋_GB2312"/>
          <w:sz w:val="30"/>
          <w:szCs w:val="30"/>
        </w:rPr>
        <w:t>经费</w:t>
      </w:r>
      <w:r>
        <w:rPr>
          <w:rFonts w:eastAsia="仿宋_GB2312"/>
          <w:sz w:val="30"/>
          <w:szCs w:val="30"/>
        </w:rPr>
        <w:t>。具体情况：</w:t>
      </w:r>
    </w:p>
    <w:p>
      <w:pPr>
        <w:spacing w:line="560" w:lineRule="exact"/>
        <w:ind w:firstLine="600" w:firstLineChars="200"/>
        <w:rPr>
          <w:rFonts w:eastAsia="仿宋_GB2312"/>
          <w:sz w:val="30"/>
          <w:szCs w:val="30"/>
        </w:rPr>
      </w:pPr>
      <w:r>
        <w:rPr>
          <w:rFonts w:hint="eastAsia" w:eastAsia="仿宋_GB2312"/>
          <w:sz w:val="30"/>
          <w:szCs w:val="30"/>
        </w:rPr>
        <w:t>（一）</w:t>
      </w:r>
      <w:r>
        <w:rPr>
          <w:rFonts w:eastAsia="仿宋_GB2312"/>
          <w:sz w:val="30"/>
          <w:szCs w:val="30"/>
        </w:rPr>
        <w:t>、</w:t>
      </w:r>
      <w:r>
        <w:rPr>
          <w:rFonts w:hint="eastAsia" w:eastAsia="仿宋_GB2312"/>
          <w:sz w:val="30"/>
          <w:szCs w:val="30"/>
        </w:rPr>
        <w:t>2019</w:t>
      </w:r>
      <w:r>
        <w:rPr>
          <w:rFonts w:eastAsia="仿宋_GB2312"/>
          <w:sz w:val="30"/>
          <w:szCs w:val="30"/>
        </w:rPr>
        <w:t>年因公出国（境）费</w:t>
      </w:r>
      <w:r>
        <w:rPr>
          <w:rFonts w:hint="eastAsia" w:eastAsia="仿宋_GB2312"/>
          <w:sz w:val="30"/>
          <w:szCs w:val="30"/>
        </w:rPr>
        <w:t>决</w:t>
      </w:r>
      <w:r>
        <w:rPr>
          <w:rFonts w:eastAsia="仿宋_GB2312"/>
          <w:sz w:val="30"/>
          <w:szCs w:val="30"/>
        </w:rPr>
        <w:t>算</w:t>
      </w:r>
      <w:r>
        <w:rPr>
          <w:rFonts w:hint="eastAsia" w:eastAsia="仿宋_GB2312"/>
          <w:sz w:val="30"/>
          <w:szCs w:val="30"/>
        </w:rPr>
        <w:t>0元，</w:t>
      </w:r>
      <w:r>
        <w:rPr>
          <w:rFonts w:eastAsia="仿宋_GB2312"/>
          <w:sz w:val="30"/>
          <w:szCs w:val="30"/>
        </w:rPr>
        <w:t>与</w:t>
      </w:r>
      <w:r>
        <w:rPr>
          <w:rFonts w:hint="eastAsia" w:eastAsia="仿宋_GB2312"/>
          <w:sz w:val="30"/>
          <w:szCs w:val="30"/>
        </w:rPr>
        <w:t>2018</w:t>
      </w:r>
      <w:r>
        <w:rPr>
          <w:rFonts w:eastAsia="仿宋_GB2312"/>
          <w:sz w:val="30"/>
          <w:szCs w:val="30"/>
        </w:rPr>
        <w:t>年</w:t>
      </w:r>
      <w:r>
        <w:rPr>
          <w:rFonts w:hint="eastAsia" w:eastAsia="仿宋_GB2312"/>
          <w:sz w:val="30"/>
          <w:szCs w:val="30"/>
        </w:rPr>
        <w:t>决算</w:t>
      </w:r>
      <w:r>
        <w:rPr>
          <w:rFonts w:eastAsia="仿宋_GB2312"/>
          <w:sz w:val="30"/>
          <w:szCs w:val="30"/>
        </w:rPr>
        <w:t>相比增加</w:t>
      </w:r>
      <w:r>
        <w:rPr>
          <w:rFonts w:hint="eastAsia" w:eastAsia="仿宋_GB2312"/>
          <w:sz w:val="30"/>
          <w:szCs w:val="30"/>
        </w:rPr>
        <w:t>0元</w:t>
      </w:r>
      <w:r>
        <w:rPr>
          <w:rFonts w:eastAsia="仿宋_GB2312"/>
          <w:sz w:val="30"/>
          <w:szCs w:val="30"/>
        </w:rPr>
        <w:t>，主要原因是</w:t>
      </w:r>
      <w:r>
        <w:rPr>
          <w:rFonts w:hint="eastAsia" w:eastAsia="仿宋_GB2312"/>
          <w:sz w:val="30"/>
          <w:szCs w:val="30"/>
        </w:rPr>
        <w:t>本年度未用一般公共预算财政拨款列支</w:t>
      </w:r>
      <w:r>
        <w:rPr>
          <w:rFonts w:hint="eastAsia" w:ascii="仿宋_GB2312" w:hAnsi="仿宋_GB2312" w:eastAsia="仿宋_GB2312" w:cs="仿宋_GB2312"/>
          <w:sz w:val="30"/>
          <w:szCs w:val="30"/>
        </w:rPr>
        <w:t>“</w:t>
      </w:r>
      <w:r>
        <w:rPr>
          <w:rFonts w:hint="eastAsia" w:eastAsia="仿宋_GB2312"/>
          <w:sz w:val="30"/>
          <w:szCs w:val="30"/>
        </w:rPr>
        <w:t>三公</w:t>
      </w:r>
      <w:r>
        <w:rPr>
          <w:rFonts w:ascii="仿宋_GB2312" w:hAnsi="仿宋_GB2312" w:eastAsia="仿宋_GB2312" w:cs="仿宋_GB2312"/>
          <w:sz w:val="30"/>
          <w:szCs w:val="30"/>
        </w:rPr>
        <w:t>”</w:t>
      </w:r>
      <w:r>
        <w:rPr>
          <w:rFonts w:hint="eastAsia" w:eastAsia="仿宋_GB2312"/>
          <w:sz w:val="30"/>
          <w:szCs w:val="30"/>
        </w:rPr>
        <w:t>经费</w:t>
      </w:r>
      <w:r>
        <w:rPr>
          <w:rFonts w:eastAsia="仿宋_GB2312"/>
          <w:sz w:val="30"/>
          <w:szCs w:val="30"/>
        </w:rPr>
        <w:t>。</w:t>
      </w:r>
      <w:r>
        <w:rPr>
          <w:rFonts w:hint="eastAsia" w:eastAsia="仿宋_GB2312"/>
          <w:sz w:val="30"/>
          <w:szCs w:val="30"/>
        </w:rPr>
        <w:t>2019年本单位组织的出国团组0个，出国0人次。</w:t>
      </w:r>
    </w:p>
    <w:p>
      <w:pPr>
        <w:spacing w:line="560" w:lineRule="exact"/>
        <w:ind w:firstLine="600" w:firstLineChars="200"/>
        <w:jc w:val="both"/>
        <w:rPr>
          <w:rFonts w:eastAsia="仿宋_GB2312"/>
          <w:sz w:val="30"/>
          <w:szCs w:val="30"/>
        </w:rPr>
      </w:pPr>
      <w:r>
        <w:rPr>
          <w:rFonts w:hint="eastAsia" w:eastAsia="仿宋_GB2312"/>
          <w:sz w:val="30"/>
          <w:szCs w:val="30"/>
        </w:rPr>
        <w:t>（二）</w:t>
      </w:r>
      <w:r>
        <w:rPr>
          <w:rFonts w:eastAsia="仿宋_GB2312"/>
          <w:sz w:val="30"/>
          <w:szCs w:val="30"/>
        </w:rPr>
        <w:t>、</w:t>
      </w:r>
      <w:r>
        <w:rPr>
          <w:rFonts w:hint="eastAsia" w:eastAsia="仿宋_GB2312"/>
          <w:sz w:val="30"/>
          <w:szCs w:val="30"/>
        </w:rPr>
        <w:t>2019</w:t>
      </w:r>
      <w:r>
        <w:rPr>
          <w:rFonts w:eastAsia="仿宋_GB2312"/>
          <w:sz w:val="30"/>
          <w:szCs w:val="30"/>
        </w:rPr>
        <w:t>年公务用车购置及运行维护费</w:t>
      </w:r>
      <w:r>
        <w:rPr>
          <w:rFonts w:hint="eastAsia" w:eastAsia="仿宋_GB2312"/>
          <w:sz w:val="30"/>
          <w:szCs w:val="30"/>
        </w:rPr>
        <w:t>决算0元</w:t>
      </w:r>
      <w:r>
        <w:rPr>
          <w:rFonts w:eastAsia="仿宋_GB2312"/>
          <w:sz w:val="30"/>
          <w:szCs w:val="30"/>
        </w:rPr>
        <w:t>，其中公务用车运行维护费</w:t>
      </w:r>
      <w:r>
        <w:rPr>
          <w:rFonts w:hint="eastAsia" w:eastAsia="仿宋_GB2312"/>
          <w:sz w:val="30"/>
          <w:szCs w:val="30"/>
        </w:rPr>
        <w:t>0元</w:t>
      </w:r>
      <w:r>
        <w:rPr>
          <w:rFonts w:eastAsia="仿宋_GB2312"/>
          <w:sz w:val="30"/>
          <w:szCs w:val="30"/>
        </w:rPr>
        <w:t>，与</w:t>
      </w:r>
      <w:r>
        <w:rPr>
          <w:rFonts w:hint="eastAsia" w:eastAsia="仿宋_GB2312"/>
          <w:sz w:val="30"/>
          <w:szCs w:val="30"/>
        </w:rPr>
        <w:t>2018</w:t>
      </w:r>
      <w:r>
        <w:rPr>
          <w:rFonts w:eastAsia="仿宋_GB2312"/>
          <w:sz w:val="30"/>
          <w:szCs w:val="30"/>
        </w:rPr>
        <w:t>年相比</w:t>
      </w:r>
      <w:r>
        <w:rPr>
          <w:rFonts w:hint="eastAsia" w:eastAsia="仿宋_GB2312"/>
          <w:sz w:val="30"/>
          <w:szCs w:val="30"/>
        </w:rPr>
        <w:t>增加0元</w:t>
      </w:r>
      <w:r>
        <w:rPr>
          <w:rFonts w:eastAsia="仿宋_GB2312"/>
          <w:sz w:val="30"/>
          <w:szCs w:val="30"/>
        </w:rPr>
        <w:t>，主要原因是</w:t>
      </w:r>
      <w:r>
        <w:rPr>
          <w:rFonts w:hint="eastAsia" w:eastAsia="仿宋_GB2312"/>
          <w:sz w:val="30"/>
          <w:szCs w:val="30"/>
        </w:rPr>
        <w:t>本年度未用一般公共预算财政拨款列支</w:t>
      </w:r>
      <w:r>
        <w:rPr>
          <w:rFonts w:eastAsia="仿宋_GB2312"/>
          <w:sz w:val="30"/>
          <w:szCs w:val="30"/>
        </w:rPr>
        <w:t>“三公”</w:t>
      </w:r>
      <w:r>
        <w:rPr>
          <w:rFonts w:hint="eastAsia" w:eastAsia="仿宋_GB2312"/>
          <w:sz w:val="30"/>
          <w:szCs w:val="30"/>
        </w:rPr>
        <w:t>经费</w:t>
      </w:r>
      <w:r>
        <w:rPr>
          <w:rFonts w:eastAsia="仿宋_GB2312"/>
          <w:sz w:val="30"/>
          <w:szCs w:val="30"/>
        </w:rPr>
        <w:t>；公务用车购置费</w:t>
      </w:r>
      <w:r>
        <w:rPr>
          <w:rFonts w:hint="eastAsia" w:eastAsia="仿宋_GB2312"/>
          <w:sz w:val="30"/>
          <w:szCs w:val="30"/>
        </w:rPr>
        <w:t>0元</w:t>
      </w:r>
      <w:r>
        <w:rPr>
          <w:rFonts w:eastAsia="仿宋_GB2312"/>
          <w:sz w:val="30"/>
          <w:szCs w:val="30"/>
        </w:rPr>
        <w:t>，与</w:t>
      </w:r>
      <w:r>
        <w:rPr>
          <w:rFonts w:hint="eastAsia" w:eastAsia="仿宋_GB2312"/>
          <w:sz w:val="30"/>
          <w:szCs w:val="30"/>
        </w:rPr>
        <w:t>2018</w:t>
      </w:r>
      <w:r>
        <w:rPr>
          <w:rFonts w:eastAsia="仿宋_GB2312"/>
          <w:sz w:val="30"/>
          <w:szCs w:val="30"/>
        </w:rPr>
        <w:t>年</w:t>
      </w:r>
      <w:r>
        <w:rPr>
          <w:rFonts w:hint="eastAsia" w:eastAsia="仿宋_GB2312"/>
          <w:sz w:val="30"/>
          <w:szCs w:val="30"/>
        </w:rPr>
        <w:t>决算</w:t>
      </w:r>
      <w:r>
        <w:rPr>
          <w:rFonts w:eastAsia="仿宋_GB2312"/>
          <w:sz w:val="30"/>
          <w:szCs w:val="30"/>
        </w:rPr>
        <w:t>相比增加</w:t>
      </w:r>
      <w:r>
        <w:rPr>
          <w:rFonts w:hint="eastAsia" w:eastAsia="仿宋_GB2312"/>
          <w:sz w:val="30"/>
          <w:szCs w:val="30"/>
        </w:rPr>
        <w:t>0元</w:t>
      </w:r>
      <w:r>
        <w:rPr>
          <w:rFonts w:eastAsia="仿宋_GB2312"/>
          <w:sz w:val="30"/>
          <w:szCs w:val="30"/>
        </w:rPr>
        <w:t>，主要原因是</w:t>
      </w:r>
      <w:r>
        <w:rPr>
          <w:rFonts w:hint="eastAsia" w:eastAsia="仿宋_GB2312"/>
          <w:sz w:val="30"/>
          <w:szCs w:val="30"/>
        </w:rPr>
        <w:t>本年度未用一般公共预算财政拨款列支</w:t>
      </w:r>
      <w:r>
        <w:rPr>
          <w:rFonts w:eastAsia="仿宋_GB2312"/>
          <w:sz w:val="30"/>
          <w:szCs w:val="30"/>
        </w:rPr>
        <w:t>“三公”</w:t>
      </w:r>
      <w:r>
        <w:rPr>
          <w:rFonts w:hint="eastAsia" w:eastAsia="仿宋_GB2312"/>
          <w:sz w:val="30"/>
          <w:szCs w:val="30"/>
        </w:rPr>
        <w:t>经费</w:t>
      </w:r>
      <w:r>
        <w:rPr>
          <w:rFonts w:eastAsia="仿宋_GB2312"/>
          <w:sz w:val="30"/>
          <w:szCs w:val="30"/>
        </w:rPr>
        <w:t>。</w:t>
      </w:r>
      <w:r>
        <w:rPr>
          <w:rFonts w:hint="eastAsia" w:eastAsia="仿宋_GB2312"/>
          <w:sz w:val="30"/>
          <w:szCs w:val="30"/>
        </w:rPr>
        <w:t>2019</w:t>
      </w:r>
      <w:r>
        <w:rPr>
          <w:rFonts w:hint="eastAsia" w:ascii="仿宋_GB2312" w:eastAsia="仿宋_GB2312" w:cs="仿宋_GB2312"/>
          <w:sz w:val="30"/>
          <w:szCs w:val="30"/>
        </w:rPr>
        <w:t>年本单位公务用车保有0辆，购置公务用车0辆。</w:t>
      </w:r>
    </w:p>
    <w:p>
      <w:pPr>
        <w:spacing w:line="560" w:lineRule="exact"/>
        <w:ind w:firstLine="645"/>
        <w:rPr>
          <w:rFonts w:ascii="仿宋_GB2312" w:eastAsia="仿宋_GB2312" w:cs="仿宋_GB2312"/>
          <w:sz w:val="30"/>
          <w:szCs w:val="30"/>
          <w:u w:val="single"/>
        </w:rPr>
      </w:pPr>
      <w:r>
        <w:rPr>
          <w:rFonts w:hint="eastAsia" w:eastAsia="仿宋_GB2312"/>
          <w:sz w:val="30"/>
          <w:szCs w:val="30"/>
        </w:rPr>
        <w:t>（三）</w:t>
      </w:r>
      <w:r>
        <w:rPr>
          <w:rFonts w:eastAsia="仿宋_GB2312"/>
          <w:sz w:val="30"/>
          <w:szCs w:val="30"/>
        </w:rPr>
        <w:t>、</w:t>
      </w:r>
      <w:r>
        <w:rPr>
          <w:rFonts w:hint="eastAsia" w:eastAsia="仿宋_GB2312"/>
          <w:sz w:val="30"/>
          <w:szCs w:val="30"/>
        </w:rPr>
        <w:t>2019</w:t>
      </w:r>
      <w:r>
        <w:rPr>
          <w:rFonts w:eastAsia="仿宋_GB2312"/>
          <w:sz w:val="30"/>
          <w:szCs w:val="30"/>
        </w:rPr>
        <w:t>年公务接待费</w:t>
      </w:r>
      <w:r>
        <w:rPr>
          <w:rFonts w:hint="eastAsia" w:eastAsia="仿宋_GB2312"/>
          <w:sz w:val="30"/>
          <w:szCs w:val="30"/>
        </w:rPr>
        <w:t>决算0元</w:t>
      </w:r>
      <w:r>
        <w:rPr>
          <w:rFonts w:eastAsia="仿宋_GB2312"/>
          <w:sz w:val="30"/>
          <w:szCs w:val="30"/>
        </w:rPr>
        <w:t>，与</w:t>
      </w:r>
      <w:r>
        <w:rPr>
          <w:rFonts w:hint="eastAsia" w:eastAsia="仿宋_GB2312"/>
          <w:sz w:val="30"/>
          <w:szCs w:val="30"/>
        </w:rPr>
        <w:t>2018</w:t>
      </w:r>
      <w:r>
        <w:rPr>
          <w:rFonts w:eastAsia="仿宋_GB2312"/>
          <w:sz w:val="30"/>
          <w:szCs w:val="30"/>
        </w:rPr>
        <w:t>年</w:t>
      </w:r>
      <w:r>
        <w:rPr>
          <w:rFonts w:hint="eastAsia" w:eastAsia="仿宋_GB2312"/>
          <w:sz w:val="30"/>
          <w:szCs w:val="30"/>
        </w:rPr>
        <w:t>决算</w:t>
      </w:r>
      <w:r>
        <w:rPr>
          <w:rFonts w:eastAsia="仿宋_GB2312"/>
          <w:sz w:val="30"/>
          <w:szCs w:val="30"/>
        </w:rPr>
        <w:t>相比增加</w:t>
      </w:r>
      <w:r>
        <w:rPr>
          <w:rFonts w:hint="eastAsia" w:eastAsia="仿宋_GB2312"/>
          <w:sz w:val="30"/>
          <w:szCs w:val="30"/>
        </w:rPr>
        <w:t>0元</w:t>
      </w:r>
      <w:r>
        <w:rPr>
          <w:rFonts w:eastAsia="仿宋_GB2312"/>
          <w:sz w:val="30"/>
          <w:szCs w:val="30"/>
        </w:rPr>
        <w:t>，主要原因是</w:t>
      </w:r>
      <w:r>
        <w:rPr>
          <w:rFonts w:hint="eastAsia" w:eastAsia="仿宋_GB2312"/>
          <w:sz w:val="30"/>
          <w:szCs w:val="30"/>
        </w:rPr>
        <w:t>本年度未用一般公共预算财政拨款列支</w:t>
      </w:r>
      <w:r>
        <w:rPr>
          <w:rFonts w:eastAsia="仿宋_GB2312"/>
          <w:sz w:val="30"/>
          <w:szCs w:val="30"/>
        </w:rPr>
        <w:t>“三公”</w:t>
      </w:r>
      <w:r>
        <w:rPr>
          <w:rFonts w:hint="eastAsia" w:eastAsia="仿宋_GB2312"/>
          <w:sz w:val="30"/>
          <w:szCs w:val="30"/>
        </w:rPr>
        <w:t>经费</w:t>
      </w:r>
      <w:r>
        <w:rPr>
          <w:rFonts w:eastAsia="仿宋_GB2312"/>
          <w:sz w:val="30"/>
          <w:szCs w:val="30"/>
        </w:rPr>
        <w:t>。</w:t>
      </w:r>
      <w:r>
        <w:rPr>
          <w:rFonts w:hint="eastAsia" w:eastAsia="仿宋_GB2312"/>
          <w:sz w:val="30"/>
          <w:szCs w:val="30"/>
        </w:rPr>
        <w:t>2019</w:t>
      </w:r>
      <w:r>
        <w:rPr>
          <w:rFonts w:hint="eastAsia" w:eastAsia="仿宋_GB2312" w:cs="仿宋_GB2312"/>
          <w:sz w:val="30"/>
          <w:szCs w:val="30"/>
        </w:rPr>
        <w:t>年本单位国内公务接待0批次，0人次；其中，外事接待0批次，0人次。</w:t>
      </w:r>
    </w:p>
    <w:p>
      <w:pPr>
        <w:spacing w:line="580" w:lineRule="exact"/>
        <w:ind w:firstLine="600"/>
        <w:rPr>
          <w:rFonts w:eastAsia="楷体_GB2312"/>
          <w:b/>
          <w:sz w:val="30"/>
        </w:rPr>
      </w:pPr>
      <w:r>
        <w:rPr>
          <w:rFonts w:hint="eastAsia" w:eastAsia="楷体_GB2312"/>
          <w:b/>
          <w:sz w:val="30"/>
        </w:rPr>
        <w:t>七、其他重要事项的情况说明</w:t>
      </w:r>
    </w:p>
    <w:p>
      <w:pPr>
        <w:spacing w:line="580" w:lineRule="exact"/>
        <w:ind w:firstLine="600"/>
        <w:rPr>
          <w:rFonts w:eastAsia="仿宋_GB2312"/>
          <w:b/>
          <w:sz w:val="30"/>
        </w:rPr>
      </w:pPr>
      <w:r>
        <w:rPr>
          <w:rFonts w:eastAsia="仿宋_GB2312"/>
          <w:b/>
          <w:sz w:val="30"/>
        </w:rPr>
        <w:t>（一）机关运行经费</w:t>
      </w:r>
      <w:r>
        <w:rPr>
          <w:rFonts w:hint="eastAsia" w:eastAsia="仿宋_GB2312"/>
          <w:b/>
          <w:sz w:val="30"/>
        </w:rPr>
        <w:t>支出情况</w:t>
      </w:r>
    </w:p>
    <w:p>
      <w:pPr>
        <w:spacing w:line="580" w:lineRule="exact"/>
        <w:ind w:firstLine="600"/>
        <w:rPr>
          <w:rFonts w:ascii="仿宋_GB2312" w:hAnsi="仿宋_GB2312" w:eastAsia="仿宋_GB2312"/>
          <w:color w:val="000000"/>
          <w:sz w:val="30"/>
        </w:rPr>
      </w:pPr>
      <w:r>
        <w:rPr>
          <w:rFonts w:hint="eastAsia" w:ascii="仿宋_GB2312" w:hAnsi="仿宋_GB2312" w:eastAsia="仿宋_GB2312"/>
          <w:color w:val="000000"/>
          <w:sz w:val="30"/>
        </w:rPr>
        <w:t>机关运行经费是指行政单位和参照公务员法管理的事业单位使用一般公共预算财政拨款安排的基本支出中的日常公用经费支出，天津市东丽区发展和改革委员会2019年度机关运行经费决算数1869552.6元，比2018年增加847167.6元，增长82.86%。  主要原因是：维修费、咨询费、其他工资福利支出等比去年有所增加。</w:t>
      </w:r>
    </w:p>
    <w:p>
      <w:pPr>
        <w:spacing w:line="580" w:lineRule="exact"/>
        <w:ind w:firstLine="600"/>
        <w:rPr>
          <w:rFonts w:eastAsia="仿宋_GB2312"/>
          <w:b/>
          <w:sz w:val="30"/>
        </w:rPr>
      </w:pPr>
      <w:r>
        <w:rPr>
          <w:rFonts w:hint="eastAsia" w:eastAsia="仿宋_GB2312"/>
          <w:b/>
          <w:sz w:val="30"/>
        </w:rPr>
        <w:t>（二）</w:t>
      </w:r>
      <w:r>
        <w:rPr>
          <w:rFonts w:eastAsia="仿宋_GB2312"/>
          <w:b/>
          <w:sz w:val="30"/>
        </w:rPr>
        <w:t>政府采购</w:t>
      </w:r>
      <w:r>
        <w:rPr>
          <w:rFonts w:hint="eastAsia" w:eastAsia="仿宋_GB2312"/>
          <w:b/>
          <w:sz w:val="30"/>
        </w:rPr>
        <w:t>支出</w:t>
      </w:r>
      <w:r>
        <w:rPr>
          <w:rFonts w:eastAsia="仿宋_GB2312"/>
          <w:b/>
          <w:sz w:val="30"/>
        </w:rPr>
        <w:t>情况</w:t>
      </w:r>
    </w:p>
    <w:p>
      <w:pPr>
        <w:spacing w:line="58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天津市东丽区发展和改革委员会2019年</w:t>
      </w:r>
      <w:r>
        <w:rPr>
          <w:rFonts w:ascii="仿宋_GB2312" w:hAnsi="仿宋_GB2312" w:eastAsia="仿宋_GB2312"/>
          <w:color w:val="000000"/>
          <w:sz w:val="30"/>
        </w:rPr>
        <w:t>政府采购支出总额</w:t>
      </w:r>
      <w:r>
        <w:rPr>
          <w:rFonts w:hint="eastAsia" w:ascii="仿宋_GB2312" w:hAnsi="仿宋_GB2312" w:eastAsia="仿宋_GB2312"/>
          <w:color w:val="000000"/>
          <w:sz w:val="30"/>
        </w:rPr>
        <w:t>5845968</w:t>
      </w:r>
      <w:r>
        <w:rPr>
          <w:rFonts w:ascii="仿宋_GB2312" w:hAnsi="仿宋_GB2312" w:eastAsia="仿宋_GB2312"/>
          <w:color w:val="000000"/>
          <w:sz w:val="30"/>
        </w:rPr>
        <w:t>元，其中：政府采购货物支出</w:t>
      </w:r>
      <w:r>
        <w:rPr>
          <w:rFonts w:hint="eastAsia" w:ascii="仿宋_GB2312" w:hAnsi="仿宋_GB2312" w:eastAsia="仿宋_GB2312"/>
          <w:color w:val="000000"/>
          <w:sz w:val="30"/>
        </w:rPr>
        <w:t>1038968</w:t>
      </w:r>
      <w:r>
        <w:rPr>
          <w:rFonts w:ascii="仿宋_GB2312" w:hAnsi="仿宋_GB2312" w:eastAsia="仿宋_GB2312"/>
          <w:color w:val="000000"/>
          <w:sz w:val="30"/>
        </w:rPr>
        <w:t>元、政府采购工程支出</w:t>
      </w:r>
      <w:r>
        <w:rPr>
          <w:rFonts w:hint="eastAsia" w:ascii="仿宋_GB2312" w:hAnsi="仿宋_GB2312" w:eastAsia="仿宋_GB2312"/>
          <w:color w:val="000000"/>
          <w:sz w:val="30"/>
        </w:rPr>
        <w:t>0</w:t>
      </w:r>
      <w:r>
        <w:rPr>
          <w:rFonts w:ascii="仿宋_GB2312" w:hAnsi="仿宋_GB2312" w:eastAsia="仿宋_GB2312"/>
          <w:color w:val="000000"/>
          <w:sz w:val="30"/>
        </w:rPr>
        <w:t>元、政府采购服务支出</w:t>
      </w:r>
      <w:r>
        <w:rPr>
          <w:rFonts w:hint="eastAsia" w:ascii="仿宋_GB2312" w:hAnsi="仿宋_GB2312" w:eastAsia="仿宋_GB2312"/>
          <w:color w:val="000000"/>
          <w:sz w:val="30"/>
        </w:rPr>
        <w:t>4807000</w:t>
      </w:r>
      <w:r>
        <w:rPr>
          <w:rFonts w:ascii="仿宋_GB2312" w:hAnsi="仿宋_GB2312" w:eastAsia="仿宋_GB2312"/>
          <w:color w:val="000000"/>
          <w:sz w:val="30"/>
        </w:rPr>
        <w:t>元。</w:t>
      </w:r>
      <w:r>
        <w:rPr>
          <w:rFonts w:hint="eastAsia" w:ascii="仿宋_GB2312" w:hAnsi="仿宋_GB2312" w:eastAsia="仿宋_GB2312"/>
          <w:color w:val="000000"/>
          <w:sz w:val="30"/>
        </w:rPr>
        <w:t>授予中小企业合同金额2050735元，占政府采购支出总额的35.08%，其中：授予小微企业合同金额2050735元，占政府采购支出总额的35.08%。</w:t>
      </w:r>
    </w:p>
    <w:p>
      <w:pPr>
        <w:spacing w:line="580" w:lineRule="exact"/>
        <w:ind w:firstLine="602" w:firstLineChars="200"/>
        <w:rPr>
          <w:rFonts w:ascii="仿宋_GB2312" w:hAnsi="仿宋_GB2312" w:eastAsia="仿宋_GB2312"/>
        </w:rPr>
      </w:pPr>
      <w:r>
        <w:rPr>
          <w:rFonts w:hint="eastAsia" w:ascii="仿宋_GB2312" w:hAnsi="仿宋_GB2312" w:eastAsia="仿宋_GB2312"/>
          <w:b/>
          <w:color w:val="000000"/>
          <w:sz w:val="30"/>
        </w:rPr>
        <w:t>（三）国有资产占有使用情况</w:t>
      </w:r>
    </w:p>
    <w:p>
      <w:pPr>
        <w:spacing w:line="580" w:lineRule="exact"/>
        <w:ind w:firstLine="600" w:firstLineChars="200"/>
        <w:jc w:val="both"/>
        <w:rPr>
          <w:rFonts w:ascii="仿宋_GB2312" w:hAnsi="宋体" w:eastAsia="仿宋_GB2312"/>
          <w:color w:val="000000"/>
          <w:sz w:val="30"/>
        </w:rPr>
      </w:pPr>
      <w:r>
        <w:rPr>
          <w:rFonts w:hint="eastAsia" w:ascii="仿宋_GB2312" w:hAnsi="仿宋_GB2312" w:eastAsia="仿宋_GB2312"/>
          <w:color w:val="000000"/>
          <w:sz w:val="30"/>
        </w:rPr>
        <w:t>天津市东丽区发展和改革委员会</w:t>
      </w:r>
      <w:r>
        <w:rPr>
          <w:rFonts w:hint="eastAsia" w:ascii="仿宋_GB2312" w:hAnsi="宋体" w:eastAsia="仿宋_GB2312"/>
          <w:sz w:val="30"/>
        </w:rPr>
        <w:t>心</w:t>
      </w:r>
      <w:r>
        <w:rPr>
          <w:rFonts w:hint="eastAsia" w:ascii="仿宋_GB2312" w:eastAsia="仿宋_GB2312"/>
          <w:sz w:val="30"/>
        </w:rPr>
        <w:t>2019年度无国有资产占有使用情况。</w:t>
      </w:r>
    </w:p>
    <w:p>
      <w:pPr>
        <w:spacing w:line="580" w:lineRule="exact"/>
        <w:ind w:firstLine="602" w:firstLineChars="200"/>
        <w:rPr>
          <w:rFonts w:ascii="仿宋_GB2312" w:hAnsi="仿宋_GB2312" w:eastAsia="仿宋_GB2312"/>
        </w:rPr>
      </w:pPr>
      <w:r>
        <w:rPr>
          <w:rFonts w:hint="eastAsia" w:ascii="仿宋_GB2312" w:hAnsi="仿宋_GB2312" w:eastAsia="仿宋_GB2312"/>
          <w:b/>
          <w:color w:val="000000"/>
          <w:sz w:val="30"/>
        </w:rPr>
        <w:t>（四）预算绩效管理工作开展情况</w:t>
      </w:r>
    </w:p>
    <w:p>
      <w:pPr>
        <w:spacing w:line="580" w:lineRule="exact"/>
        <w:ind w:firstLine="600" w:firstLineChars="200"/>
        <w:rPr>
          <w:rFonts w:ascii="仿宋_GB2312" w:hAnsi="仿宋_GB2312" w:eastAsia="仿宋_GB2312"/>
          <w:color w:val="000000"/>
          <w:sz w:val="30"/>
        </w:rPr>
      </w:pPr>
      <w:r>
        <w:rPr>
          <w:rFonts w:hint="eastAsia" w:ascii="仿宋_GB2312" w:hAnsi="仿宋_GB2312" w:eastAsia="仿宋_GB2312"/>
          <w:color w:val="000000"/>
          <w:sz w:val="30"/>
        </w:rPr>
        <w:t>天津市东丽区发展和改革委员会2019年度无实行预算绩效管理的项目。</w:t>
      </w:r>
    </w:p>
    <w:p>
      <w:pPr>
        <w:spacing w:line="580" w:lineRule="exact"/>
        <w:ind w:firstLine="602" w:firstLineChars="200"/>
        <w:rPr>
          <w:rFonts w:ascii="仿宋_GB2312" w:hAnsi="仿宋_GB2312" w:eastAsia="仿宋_GB2312"/>
          <w:b/>
          <w:color w:val="000000"/>
          <w:sz w:val="30"/>
        </w:rPr>
      </w:pPr>
      <w:r>
        <w:rPr>
          <w:rFonts w:hint="eastAsia" w:ascii="仿宋_GB2312" w:hAnsi="仿宋_GB2312" w:eastAsia="仿宋_GB2312"/>
          <w:b/>
          <w:color w:val="000000"/>
          <w:sz w:val="30"/>
        </w:rPr>
        <w:t>（五）</w:t>
      </w:r>
      <w:r>
        <w:rPr>
          <w:rFonts w:ascii="仿宋_GB2312" w:hAnsi="仿宋_GB2312" w:eastAsia="仿宋_GB2312"/>
          <w:b/>
          <w:color w:val="000000"/>
          <w:sz w:val="30"/>
        </w:rPr>
        <w:t>教育、医疗卫生、社会保障和就业、住房保障、涉农补贴等民生支出情况</w:t>
      </w:r>
    </w:p>
    <w:p>
      <w:pPr>
        <w:spacing w:line="580" w:lineRule="exact"/>
        <w:ind w:firstLine="600" w:firstLineChars="200"/>
        <w:jc w:val="both"/>
        <w:rPr>
          <w:rFonts w:ascii="仿宋_GB2312" w:hAnsi="宋体" w:eastAsia="仿宋_GB2312"/>
          <w:sz w:val="30"/>
        </w:rPr>
      </w:pPr>
      <w:r>
        <w:rPr>
          <w:rFonts w:hint="eastAsia" w:ascii="仿宋_GB2312" w:hAnsi="仿宋_GB2312" w:eastAsia="仿宋_GB2312"/>
          <w:color w:val="000000"/>
          <w:sz w:val="30"/>
        </w:rPr>
        <w:t>天津市东丽区发展和改革委员会</w:t>
      </w:r>
      <w:r>
        <w:rPr>
          <w:rFonts w:hint="eastAsia" w:ascii="仿宋_GB2312" w:hAnsi="宋体" w:eastAsia="仿宋_GB2312"/>
          <w:sz w:val="30"/>
        </w:rPr>
        <w:t>2019年度无教育、医疗卫生、社会保障和就业、住房保障、涉农补贴等民生支出情况。</w:t>
      </w:r>
    </w:p>
    <w:p>
      <w:pPr>
        <w:spacing w:line="580" w:lineRule="exact"/>
        <w:ind w:firstLine="602" w:firstLineChars="200"/>
        <w:rPr>
          <w:rFonts w:ascii="仿宋_GB2312" w:hAnsi="仿宋_GB2312" w:eastAsia="仿宋_GB2312"/>
          <w:b/>
          <w:color w:val="000000"/>
          <w:sz w:val="30"/>
        </w:rPr>
      </w:pPr>
      <w:r>
        <w:rPr>
          <w:rFonts w:hint="eastAsia" w:ascii="仿宋_GB2312" w:hAnsi="仿宋_GB2312" w:eastAsia="仿宋_GB2312"/>
          <w:b/>
          <w:color w:val="000000"/>
          <w:sz w:val="30"/>
        </w:rPr>
        <w:t>（六）专业性名词解释</w:t>
      </w:r>
    </w:p>
    <w:p>
      <w:pPr>
        <w:spacing w:line="580" w:lineRule="exact"/>
        <w:ind w:firstLine="600" w:firstLineChars="200"/>
        <w:rPr>
          <w:rFonts w:ascii="仿宋_GB2312" w:eastAsia="仿宋_GB2312"/>
          <w:sz w:val="30"/>
        </w:rPr>
      </w:pPr>
      <w:r>
        <w:rPr>
          <w:rFonts w:hint="eastAsia" w:ascii="仿宋_GB2312" w:eastAsia="仿宋_GB2312"/>
          <w:sz w:val="30"/>
        </w:rPr>
        <w:t>1.部门决算。是由政府各部门依据国家有关法律法规及其履行职能情况编制，反映部门所有收入和支出情况等的综合性年度报告，是对部门预算执行进行监督管理以及编制后续年度部门预算的参考和依据。</w:t>
      </w:r>
    </w:p>
    <w:p>
      <w:pPr>
        <w:spacing w:line="580" w:lineRule="exact"/>
        <w:ind w:firstLine="602" w:firstLineChars="200"/>
        <w:rPr>
          <w:rFonts w:ascii="仿宋_GB2312" w:hAnsi="仿宋_GB2312" w:eastAsia="仿宋_GB2312"/>
          <w:b/>
          <w:color w:val="000000"/>
          <w:sz w:val="30"/>
        </w:rPr>
      </w:pPr>
      <w:r>
        <w:rPr>
          <w:rFonts w:hint="eastAsia" w:ascii="仿宋_GB2312" w:hAnsi="仿宋_GB2312" w:eastAsia="仿宋_GB2312"/>
          <w:b/>
          <w:color w:val="000000"/>
          <w:sz w:val="30"/>
        </w:rPr>
        <w:t>（七）关于空表的说明</w:t>
      </w:r>
    </w:p>
    <w:p>
      <w:pPr>
        <w:spacing w:line="580" w:lineRule="exact"/>
        <w:ind w:firstLine="600"/>
        <w:rPr>
          <w:rFonts w:ascii="仿宋_GB2312" w:eastAsia="仿宋_GB2312"/>
          <w:sz w:val="30"/>
        </w:rPr>
      </w:pPr>
      <w:r>
        <w:rPr>
          <w:rFonts w:hint="eastAsia" w:ascii="仿宋_GB2312" w:eastAsia="仿宋_GB2312"/>
          <w:sz w:val="30"/>
        </w:rPr>
        <w:t>1．</w:t>
      </w:r>
      <w:r>
        <w:rPr>
          <w:rFonts w:ascii="仿宋_GB2312" w:eastAsia="仿宋_GB2312"/>
          <w:sz w:val="30"/>
        </w:rPr>
        <w:t>天津市</w:t>
      </w:r>
      <w:r>
        <w:rPr>
          <w:rFonts w:hint="eastAsia" w:ascii="仿宋_GB2312" w:eastAsia="仿宋_GB2312"/>
          <w:sz w:val="30"/>
        </w:rPr>
        <w:t>东丽区发展和改革委员会</w:t>
      </w:r>
      <w:r>
        <w:rPr>
          <w:rFonts w:ascii="仿宋_GB2312" w:eastAsia="仿宋_GB2312"/>
          <w:sz w:val="30"/>
        </w:rPr>
        <w:t>201</w:t>
      </w:r>
      <w:r>
        <w:rPr>
          <w:rFonts w:hint="eastAsia" w:ascii="仿宋_GB2312" w:eastAsia="仿宋_GB2312"/>
          <w:sz w:val="30"/>
        </w:rPr>
        <w:t>9</w:t>
      </w:r>
      <w:r>
        <w:rPr>
          <w:rFonts w:ascii="仿宋_GB2312" w:eastAsia="仿宋_GB2312"/>
          <w:sz w:val="30"/>
        </w:rPr>
        <w:t>年度</w:t>
      </w:r>
      <w:r>
        <w:rPr>
          <w:rFonts w:hint="eastAsia" w:ascii="仿宋_GB2312" w:eastAsia="仿宋_GB2312"/>
          <w:sz w:val="30"/>
        </w:rPr>
        <w:t>政府性基金预算财政拨款收入支出决算表为空表。</w:t>
      </w:r>
    </w:p>
    <w:p>
      <w:pPr>
        <w:spacing w:line="580" w:lineRule="exact"/>
        <w:ind w:firstLine="600"/>
        <w:rPr>
          <w:rFonts w:ascii="仿宋_GB2312" w:eastAsia="仿宋_GB2312"/>
          <w:sz w:val="30"/>
        </w:rPr>
      </w:pPr>
      <w:r>
        <w:rPr>
          <w:rFonts w:hint="eastAsia" w:ascii="仿宋_GB2312" w:eastAsia="仿宋_GB2312"/>
          <w:sz w:val="30"/>
        </w:rPr>
        <w:t>2．</w:t>
      </w:r>
      <w:r>
        <w:rPr>
          <w:rFonts w:ascii="仿宋_GB2312" w:eastAsia="仿宋_GB2312"/>
          <w:sz w:val="30"/>
        </w:rPr>
        <w:t>天津市</w:t>
      </w:r>
      <w:r>
        <w:rPr>
          <w:rFonts w:hint="eastAsia" w:ascii="仿宋_GB2312" w:eastAsia="仿宋_GB2312"/>
          <w:sz w:val="30"/>
        </w:rPr>
        <w:t>东丽区发展和改革委员会</w:t>
      </w:r>
      <w:r>
        <w:rPr>
          <w:rFonts w:ascii="仿宋_GB2312" w:eastAsia="仿宋_GB2312"/>
          <w:sz w:val="30"/>
        </w:rPr>
        <w:t>201</w:t>
      </w:r>
      <w:r>
        <w:rPr>
          <w:rFonts w:hint="eastAsia" w:ascii="仿宋_GB2312" w:eastAsia="仿宋_GB2312"/>
          <w:sz w:val="30"/>
        </w:rPr>
        <w:t>9</w:t>
      </w:r>
      <w:r>
        <w:rPr>
          <w:rFonts w:ascii="仿宋_GB2312" w:eastAsia="仿宋_GB2312"/>
          <w:sz w:val="30"/>
        </w:rPr>
        <w:t>年度</w:t>
      </w:r>
      <w:r>
        <w:rPr>
          <w:rFonts w:hint="eastAsia" w:ascii="仿宋_GB2312" w:eastAsia="仿宋_GB2312"/>
          <w:sz w:val="30"/>
        </w:rPr>
        <w:t>一般公共预算财政拨款“三公”经费支出决算表为空表。</w:t>
      </w:r>
    </w:p>
    <w:p>
      <w:pPr>
        <w:spacing w:line="580" w:lineRule="exact"/>
        <w:ind w:firstLine="600" w:firstLineChars="200"/>
        <w:rPr>
          <w:rFonts w:ascii="仿宋_GB2312" w:eastAsia="仿宋_GB2312"/>
          <w:sz w:val="30"/>
        </w:rPr>
      </w:pPr>
    </w:p>
    <w:p>
      <w:pPr>
        <w:spacing w:line="580" w:lineRule="exact"/>
        <w:ind w:firstLine="600" w:firstLineChars="200"/>
        <w:jc w:val="both"/>
        <w:rPr>
          <w:rFonts w:ascii="仿宋_GB2312" w:hAnsi="宋体" w:eastAsia="仿宋_GB2312"/>
          <w:sz w:val="30"/>
        </w:rPr>
      </w:pPr>
    </w:p>
    <w:p>
      <w:pPr>
        <w:spacing w:line="580" w:lineRule="exact"/>
        <w:jc w:val="center"/>
        <w:rPr>
          <w:rFonts w:ascii="隶书" w:eastAsia="隶书"/>
          <w:sz w:val="30"/>
        </w:rPr>
      </w:pPr>
    </w:p>
    <w:p>
      <w:pPr>
        <w:spacing w:line="580" w:lineRule="exact"/>
        <w:ind w:firstLine="600" w:firstLineChars="200"/>
        <w:rPr>
          <w:rFonts w:ascii="仿宋_GB2312" w:hAnsi="仿宋_GB2312" w:eastAsia="仿宋_GB2312"/>
          <w:color w:val="000000"/>
          <w:sz w:val="30"/>
        </w:rPr>
      </w:pPr>
    </w:p>
    <w:p>
      <w:pPr>
        <w:spacing w:line="580" w:lineRule="exact"/>
        <w:ind w:firstLine="602" w:firstLineChars="200"/>
        <w:rPr>
          <w:rFonts w:ascii="楷体_GB2312" w:hAnsi="仿宋_GB2312" w:eastAsia="楷体_GB2312"/>
          <w:b/>
          <w:color w:val="000000"/>
          <w:sz w:val="30"/>
        </w:rPr>
      </w:pPr>
    </w:p>
    <w:sectPr>
      <w:headerReference r:id="rId5"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lvl>
  </w:abstractNum>
  <w:abstractNum w:abstractNumId="1">
    <w:nsid w:val="5924EDED"/>
    <w:multiLevelType w:val="singleLevel"/>
    <w:tmpl w:val="5924EDED"/>
    <w:lvl w:ilvl="0" w:tentative="0">
      <w:start w:val="1"/>
      <w:numFmt w:val="decimal"/>
      <w:suff w:val="nothing"/>
      <w:lvlText w:val="%1、"/>
      <w:lvlJc w:val="left"/>
      <w:pPr>
        <w:ind w:left="5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13177"/>
    <w:rsid w:val="0004417B"/>
    <w:rsid w:val="000629A6"/>
    <w:rsid w:val="000823E2"/>
    <w:rsid w:val="000907E4"/>
    <w:rsid w:val="00090A34"/>
    <w:rsid w:val="000B51B6"/>
    <w:rsid w:val="001024E4"/>
    <w:rsid w:val="001456C9"/>
    <w:rsid w:val="00172A27"/>
    <w:rsid w:val="00181C44"/>
    <w:rsid w:val="001F2D7D"/>
    <w:rsid w:val="002660FC"/>
    <w:rsid w:val="0029410F"/>
    <w:rsid w:val="002B3523"/>
    <w:rsid w:val="002C11A1"/>
    <w:rsid w:val="00380ECC"/>
    <w:rsid w:val="00585928"/>
    <w:rsid w:val="005F07A4"/>
    <w:rsid w:val="006F0F1A"/>
    <w:rsid w:val="006F1D4A"/>
    <w:rsid w:val="00777A3D"/>
    <w:rsid w:val="007A1B2C"/>
    <w:rsid w:val="007A2D30"/>
    <w:rsid w:val="007B6DE6"/>
    <w:rsid w:val="008010F3"/>
    <w:rsid w:val="00890601"/>
    <w:rsid w:val="008D16CE"/>
    <w:rsid w:val="00900169"/>
    <w:rsid w:val="00960FA0"/>
    <w:rsid w:val="00971C48"/>
    <w:rsid w:val="00992C00"/>
    <w:rsid w:val="009B082E"/>
    <w:rsid w:val="009E2BA0"/>
    <w:rsid w:val="00A8104D"/>
    <w:rsid w:val="00A955E0"/>
    <w:rsid w:val="00AD7D10"/>
    <w:rsid w:val="00B90FA1"/>
    <w:rsid w:val="00BD0931"/>
    <w:rsid w:val="00C254DD"/>
    <w:rsid w:val="00C916D4"/>
    <w:rsid w:val="00CA7694"/>
    <w:rsid w:val="00CC2528"/>
    <w:rsid w:val="00CC473E"/>
    <w:rsid w:val="00D34479"/>
    <w:rsid w:val="00D44DCD"/>
    <w:rsid w:val="00D4568E"/>
    <w:rsid w:val="00D76677"/>
    <w:rsid w:val="00DE1916"/>
    <w:rsid w:val="00E23970"/>
    <w:rsid w:val="00E70D1E"/>
    <w:rsid w:val="00F03FAC"/>
    <w:rsid w:val="00F06D50"/>
    <w:rsid w:val="00F51A09"/>
    <w:rsid w:val="00FD14F2"/>
    <w:rsid w:val="0EC95A1F"/>
    <w:rsid w:val="190552A0"/>
    <w:rsid w:val="5B80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spacing w:line="240" w:lineRule="atLeast"/>
    </w:pPr>
    <w:rPr>
      <w:sz w:val="18"/>
    </w:rPr>
  </w:style>
  <w:style w:type="paragraph" w:styleId="4">
    <w:name w:val="header"/>
    <w:basedOn w:val="1"/>
    <w:link w:val="7"/>
    <w:uiPriority w:val="0"/>
    <w:pPr>
      <w:pBdr>
        <w:bottom w:val="single" w:color="auto" w:sz="6" w:space="1"/>
      </w:pBdr>
      <w:tabs>
        <w:tab w:val="center" w:pos="4153"/>
        <w:tab w:val="right" w:pos="8306"/>
      </w:tabs>
      <w:snapToGrid w:val="0"/>
      <w:spacing w:line="240" w:lineRule="atLeast"/>
      <w:jc w:val="center"/>
    </w:pPr>
    <w:rPr>
      <w:sz w:val="18"/>
    </w:rPr>
  </w:style>
  <w:style w:type="character" w:customStyle="1" w:styleId="7">
    <w:name w:val="页眉 Char"/>
    <w:link w:val="4"/>
    <w:uiPriority w:val="0"/>
    <w:rPr>
      <w:sz w:val="18"/>
    </w:rPr>
  </w:style>
  <w:style w:type="character" w:customStyle="1" w:styleId="8">
    <w:name w:val="页脚 Char"/>
    <w:link w:val="3"/>
    <w:uiPriority w:val="0"/>
    <w:rPr>
      <w:sz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25210-B4FF-41A7-AD86-59109223FE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525</Words>
  <Characters>2999</Characters>
  <Lines>24</Lines>
  <Paragraphs>7</Paragraphs>
  <TotalTime>133</TotalTime>
  <ScaleCrop>false</ScaleCrop>
  <LinksUpToDate>false</LinksUpToDate>
  <CharactersWithSpaces>3517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2020-09-15T07:29:00Z</dcterms:created>
  <dc:creator>Administrator</dc:creator>
  <cp:lastModifiedBy>Administrator</cp:lastModifiedBy>
  <cp:lastPrinted>2019-09-20T03:10:00Z</cp:lastPrinted>
  <dcterms:modified xsi:type="dcterms:W3CDTF">2021-06-25T10:01:46Z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0495F06648A3436A9646072CA7B02FC4</vt:lpwstr>
  </property>
</Properties>
</file>