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黑体"/>
          <w:w w:val="95"/>
          <w:sz w:val="32"/>
          <w:szCs w:val="32"/>
        </w:rPr>
      </w:pPr>
      <w:r>
        <w:rPr>
          <w:rFonts w:eastAsia="黑体"/>
          <w:w w:val="95"/>
          <w:sz w:val="32"/>
          <w:szCs w:val="32"/>
        </w:rPr>
        <w:t>附件9</w:t>
      </w:r>
    </w:p>
    <w:p>
      <w:pPr>
        <w:spacing w:line="600" w:lineRule="exact"/>
        <w:jc w:val="both"/>
        <w:rPr>
          <w:rFonts w:eastAsia="黑体"/>
          <w:w w:val="95"/>
          <w:sz w:val="32"/>
          <w:szCs w:val="32"/>
        </w:rPr>
      </w:pPr>
    </w:p>
    <w:p>
      <w:pPr>
        <w:spacing w:line="600" w:lineRule="exact"/>
        <w:jc w:val="center"/>
        <w:rPr>
          <w:rFonts w:hint="eastAsia" w:eastAsia="黑体"/>
          <w:w w:val="95"/>
          <w:sz w:val="44"/>
          <w:szCs w:val="44"/>
          <w:lang w:val="en-US" w:eastAsia="zh-CN"/>
        </w:rPr>
      </w:pPr>
      <w:r>
        <w:rPr>
          <w:rFonts w:hint="eastAsia" w:eastAsia="黑体"/>
          <w:w w:val="95"/>
          <w:sz w:val="44"/>
          <w:szCs w:val="44"/>
          <w:lang w:val="en-US" w:eastAsia="zh-CN"/>
        </w:rPr>
        <w:t>天津市东丽区发展和改革委员</w:t>
      </w: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</w:t>
      </w:r>
      <w:r>
        <w:rPr>
          <w:rFonts w:hint="eastAsia" w:eastAsia="黑体"/>
          <w:w w:val="95"/>
          <w:sz w:val="44"/>
          <w:szCs w:val="44"/>
          <w:lang w:val="en-US" w:eastAsia="zh-CN"/>
        </w:rPr>
        <w:t>3</w:t>
      </w:r>
      <w:r>
        <w:rPr>
          <w:rFonts w:eastAsia="黑体"/>
          <w:w w:val="95"/>
          <w:sz w:val="44"/>
          <w:szCs w:val="44"/>
        </w:rPr>
        <w:t>年一般公共预算“三公”经费</w:t>
      </w: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年一般公共预算“三公”经费安排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万元，与202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年预算相比增加（减少）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万元，主要原因是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本部门一般公共预算未安排“三公”经费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一、202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年因公出国（境）费预算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万元，与202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年预算相比增加（减少）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万元，主要原因是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本部门一般公共预算未安排“三公”经费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  <w:bookmarkStart w:id="0" w:name="_GoBack"/>
      <w:bookmarkEnd w:id="0"/>
    </w:p>
    <w:p>
      <w:pPr>
        <w:spacing w:line="5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二、202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年公务用车购置及运行费预算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万元，其中公务用车运行费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万元，与202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年预算相比增加（减少）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万元，主要原因是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本部门一般公共预算未安排“三公”经费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；公务用车购置费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万元，与202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年预算相比增加（减少）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万元，主要原因是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本部门一般公共预算未安排“三公”经费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三、202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年公务接待费预算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万元，与202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年预算相比增加（减少）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万元，主要原因是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本部门一般公共预算未安排“三公”经费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/>
    <w:sectPr>
      <w:headerReference r:id="rId5" w:type="default"/>
      <w:footerReference r:id="rId6" w:type="default"/>
      <w:footerReference r:id="rId7" w:type="even"/>
      <w:pgSz w:w="11907" w:h="16840"/>
      <w:pgMar w:top="2098" w:right="1474" w:bottom="1304" w:left="1588" w:header="765" w:footer="765" w:gutter="0"/>
      <w:pgNumType w:fmt="numberInDash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OWY2OGU5MDZiOThlMzc1OWU1MjU1ZWE2NGUxMmMifQ=="/>
  </w:docVars>
  <w:rsids>
    <w:rsidRoot w:val="6F397415"/>
    <w:rsid w:val="00985594"/>
    <w:rsid w:val="4B802CE7"/>
    <w:rsid w:val="657B0C35"/>
    <w:rsid w:val="6F39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373</Characters>
  <Lines>0</Lines>
  <Paragraphs>0</Paragraphs>
  <TotalTime>0</TotalTime>
  <ScaleCrop>false</ScaleCrop>
  <LinksUpToDate>false</LinksUpToDate>
  <CharactersWithSpaces>373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2023-01-31T02:13:00Z</dcterms:created>
  <dc:creator>lolanthe</dc:creator>
  <cp:lastModifiedBy>lolanthe</cp:lastModifiedBy>
  <dcterms:modified xsi:type="dcterms:W3CDTF">2023-01-31T05:48:08Z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C0632A352A534DC8839C0807F7A538D1</vt:lpwstr>
  </property>
</Properties>
</file>