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center"/>
        <w:textAlignment w:val="auto"/>
        <w:rPr>
          <w:rFonts w:hint="eastAsia" w:ascii="方正小标宋简体" w:hAnsi="仿宋_GB2312" w:eastAsia="方正小标宋简体" w:cs="Times New Roman"/>
          <w:sz w:val="44"/>
          <w:szCs w:val="44"/>
          <w:lang w:val="en-US" w:eastAsia="zh-CN"/>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仿宋_GB2312" w:eastAsia="方正小标宋简体" w:cs="Times New Roman"/>
          <w:sz w:val="44"/>
          <w:szCs w:val="44"/>
          <w:lang w:val="en-US" w:eastAsia="zh-CN"/>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仿宋_GB2312" w:eastAsia="方正小标宋简体" w:cs="Times New Roman"/>
          <w:sz w:val="44"/>
          <w:szCs w:val="44"/>
          <w:lang w:val="en-US" w:eastAsia="zh-CN"/>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仿宋_GB2312" w:eastAsia="方正小标宋简体" w:cs="Times New Roman"/>
          <w:sz w:val="44"/>
          <w:szCs w:val="44"/>
          <w:lang w:val="en-US" w:eastAsia="zh-CN"/>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仿宋_GB2312" w:eastAsia="方正小标宋简体" w:cs="Times New Roman"/>
          <w:sz w:val="44"/>
          <w:szCs w:val="44"/>
          <w:lang w:val="en-US" w:eastAsia="zh-CN"/>
        </w:rPr>
      </w:pPr>
    </w:p>
    <w:p>
      <w:pPr>
        <w:pageBreakBefore w:val="0"/>
        <w:widowControl w:val="0"/>
        <w:kinsoku/>
        <w:wordWrap/>
        <w:overflowPunct/>
        <w:topLinePunct w:val="0"/>
        <w:autoSpaceDE/>
        <w:autoSpaceDN/>
        <w:bidi w:val="0"/>
        <w:spacing w:line="560" w:lineRule="exact"/>
        <w:jc w:val="both"/>
        <w:textAlignment w:val="auto"/>
        <w:rPr>
          <w:rFonts w:hint="eastAsia" w:ascii="方正小标宋简体" w:hAnsi="仿宋_GB2312" w:eastAsia="方正小标宋简体" w:cs="Times New Roman"/>
          <w:sz w:val="44"/>
          <w:szCs w:val="44"/>
          <w:lang w:val="en-US" w:eastAsia="zh-CN"/>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sz w:val="44"/>
          <w:szCs w:val="44"/>
        </w:rPr>
      </w:pPr>
      <w:r>
        <w:rPr>
          <w:rFonts w:hint="eastAsia" w:ascii="方正小标宋简体" w:hAnsi="仿宋_GB2312" w:eastAsia="方正小标宋简体" w:cs="Times New Roman"/>
          <w:sz w:val="44"/>
          <w:szCs w:val="44"/>
          <w:lang w:val="en-US" w:eastAsia="zh-CN"/>
        </w:rPr>
        <w:t>华明街道“十四五”发展规划</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（20</w:t>
      </w:r>
      <w:r>
        <w:rPr>
          <w:rFonts w:hint="eastAsia" w:ascii="方正小标宋简体" w:hAnsi="宋体" w:eastAsia="方正小标宋简体" w:cs="宋体"/>
          <w:bCs/>
          <w:sz w:val="44"/>
          <w:szCs w:val="44"/>
          <w:lang w:val="en-US" w:eastAsia="zh-CN"/>
        </w:rPr>
        <w:t>21</w:t>
      </w:r>
      <w:r>
        <w:rPr>
          <w:rFonts w:hint="eastAsia" w:ascii="方正小标宋简体" w:hAnsi="宋体" w:eastAsia="方正小标宋简体" w:cs="宋体"/>
          <w:bCs/>
          <w:sz w:val="44"/>
          <w:szCs w:val="44"/>
        </w:rPr>
        <w:t>-202</w:t>
      </w:r>
      <w:r>
        <w:rPr>
          <w:rFonts w:hint="eastAsia" w:ascii="方正小标宋简体" w:hAnsi="宋体" w:eastAsia="方正小标宋简体" w:cs="宋体"/>
          <w:bCs/>
          <w:sz w:val="44"/>
          <w:szCs w:val="44"/>
          <w:lang w:val="en-US" w:eastAsia="zh-CN"/>
        </w:rPr>
        <w:t>5</w:t>
      </w:r>
      <w:r>
        <w:rPr>
          <w:rFonts w:hint="eastAsia" w:ascii="方正小标宋简体" w:hAnsi="宋体" w:eastAsia="方正小标宋简体" w:cs="宋体"/>
          <w:bCs/>
          <w:sz w:val="44"/>
          <w:szCs w:val="44"/>
        </w:rPr>
        <w:t>年）</w:t>
      </w: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jc w:val="center"/>
        <w:textAlignment w:val="auto"/>
        <w:rPr>
          <w:rFonts w:hint="eastAsia" w:ascii="楷体" w:hAnsi="楷体" w:eastAsia="楷体" w:cs="楷体"/>
          <w:bCs/>
          <w:sz w:val="32"/>
          <w:szCs w:val="32"/>
          <w:lang w:eastAsia="zh-CN"/>
        </w:rPr>
      </w:pPr>
      <w:r>
        <w:rPr>
          <w:rFonts w:hint="eastAsia" w:ascii="楷体" w:hAnsi="楷体" w:eastAsia="楷体" w:cs="楷体"/>
          <w:bCs/>
          <w:sz w:val="32"/>
          <w:szCs w:val="32"/>
          <w:lang w:eastAsia="zh-CN"/>
        </w:rPr>
        <w:t>二〇二一年八月</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仿宋_GB2312" w:eastAsia="方正小标宋简体" w:cs="Times New Roman"/>
          <w:sz w:val="44"/>
          <w:szCs w:val="44"/>
          <w:lang w:val="en-US" w:eastAsia="zh-CN"/>
        </w:rPr>
        <w:sectPr>
          <w:pgSz w:w="11906" w:h="16838"/>
          <w:pgMar w:top="1440" w:right="1800" w:bottom="1440" w:left="1800" w:header="851" w:footer="992" w:gutter="0"/>
          <w:pgNumType w:fmt="upperRoman"/>
          <w:cols w:space="425" w:num="1"/>
          <w:docGrid w:type="lines" w:linePitch="312" w:charSpace="0"/>
        </w:sectPr>
      </w:pPr>
    </w:p>
    <w:sdt>
      <w:sdtPr>
        <w:rPr>
          <w:rFonts w:hint="eastAsia" w:ascii="方正小标宋简体" w:hAnsi="仿宋_GB2312" w:eastAsia="方正小标宋简体" w:cs="Times New Roman"/>
          <w:sz w:val="44"/>
          <w:szCs w:val="44"/>
          <w:lang w:val="en-US" w:eastAsia="zh-CN"/>
        </w:rPr>
        <w:id w:val="634507801"/>
        <w:docPartObj>
          <w:docPartGallery w:val="Table of Contents"/>
          <w:docPartUnique/>
        </w:docPartObj>
      </w:sdtPr>
      <w:sdtEndPr>
        <w:rPr>
          <w:rFonts w:hint="eastAsia" w:ascii="黑体" w:hAnsi="黑体" w:eastAsia="黑体" w:cs="黑体"/>
          <w:b w:val="0"/>
          <w:bCs w:val="0"/>
          <w:sz w:val="20"/>
          <w:szCs w:val="20"/>
          <w:lang w:val="en-US" w:eastAsia="zh-CN"/>
        </w:rPr>
      </w:sdtEndPr>
      <w:sdtContent>
        <w:p>
          <w:pPr>
            <w:pageBreakBefore w:val="0"/>
            <w:widowControl w:val="0"/>
            <w:kinsoku/>
            <w:wordWrap/>
            <w:overflowPunct/>
            <w:topLinePunct w:val="0"/>
            <w:autoSpaceDE/>
            <w:autoSpaceDN/>
            <w:bidi w:val="0"/>
            <w:spacing w:line="560" w:lineRule="exact"/>
            <w:jc w:val="center"/>
            <w:textAlignment w:val="auto"/>
            <w:rPr>
              <w:rFonts w:hint="eastAsia" w:ascii="方正小标宋简体" w:hAnsi="仿宋_GB2312" w:eastAsia="方正小标宋简体" w:cs="Times New Roman"/>
              <w:sz w:val="44"/>
              <w:szCs w:val="44"/>
              <w:lang w:val="en-US" w:eastAsia="zh-CN"/>
            </w:rPr>
          </w:pPr>
          <w:bookmarkStart w:id="0" w:name="_Toc386911639_WPSOffice_Type2"/>
          <w:r>
            <w:rPr>
              <w:rFonts w:hint="eastAsia" w:ascii="方正小标宋简体" w:hAnsi="仿宋_GB2312" w:eastAsia="方正小标宋简体" w:cs="Times New Roman"/>
              <w:sz w:val="44"/>
              <w:szCs w:val="44"/>
              <w:lang w:val="en-US" w:eastAsia="zh-CN"/>
            </w:rPr>
            <w:t>目 录</w:t>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_Toc1440817424_WPSOffice_Level1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3124af8f-6dff-4546-9865-96e95477db99}"/>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导  言</w:t>
              </w:r>
            </w:sdtContent>
          </w:sdt>
          <w:r>
            <w:rPr>
              <w:rFonts w:hint="eastAsia" w:ascii="黑体" w:hAnsi="黑体" w:eastAsia="黑体" w:cs="黑体"/>
              <w:b w:val="0"/>
              <w:bCs w:val="0"/>
              <w:sz w:val="32"/>
              <w:szCs w:val="32"/>
            </w:rPr>
            <w:tab/>
          </w:r>
          <w:bookmarkStart w:id="1" w:name="_Toc1440817424_WPSOffice_Level1Page"/>
          <w:r>
            <w:rPr>
              <w:rFonts w:hint="eastAsia" w:ascii="黑体" w:hAnsi="黑体" w:eastAsia="黑体" w:cs="黑体"/>
              <w:b w:val="0"/>
              <w:bCs w:val="0"/>
              <w:sz w:val="32"/>
              <w:szCs w:val="32"/>
            </w:rPr>
            <w:t>1</w:t>
          </w:r>
          <w:bookmarkEnd w:id="1"/>
          <w:r>
            <w:rPr>
              <w:rFonts w:hint="eastAsia" w:ascii="黑体" w:hAnsi="黑体" w:eastAsia="黑体" w:cs="黑体"/>
              <w:b w:val="0"/>
              <w:bCs w:val="0"/>
              <w:sz w:val="32"/>
              <w:szCs w:val="3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_Toc386911639_WPSOffice_Level1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2081d1a9-6ab0-4665-a172-a35f791171f7}"/>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第一章 发展基础和形势分析</w:t>
              </w:r>
            </w:sdtContent>
          </w:sdt>
          <w:r>
            <w:rPr>
              <w:rFonts w:hint="eastAsia" w:ascii="黑体" w:hAnsi="黑体" w:eastAsia="黑体" w:cs="黑体"/>
              <w:b w:val="0"/>
              <w:bCs w:val="0"/>
              <w:sz w:val="32"/>
              <w:szCs w:val="32"/>
            </w:rPr>
            <w:tab/>
          </w:r>
          <w:bookmarkStart w:id="2" w:name="_Toc386911639_WPSOffice_Level1Page"/>
          <w:r>
            <w:rPr>
              <w:rFonts w:hint="eastAsia" w:ascii="黑体" w:hAnsi="黑体" w:eastAsia="黑体" w:cs="黑体"/>
              <w:b w:val="0"/>
              <w:bCs w:val="0"/>
              <w:sz w:val="32"/>
              <w:szCs w:val="32"/>
            </w:rPr>
            <w:t>2</w:t>
          </w:r>
          <w:bookmarkEnd w:id="2"/>
          <w:r>
            <w:rPr>
              <w:rFonts w:hint="eastAsia" w:ascii="黑体" w:hAnsi="黑体" w:eastAsia="黑体" w:cs="黑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_Toc386911639_WPSOffice_Level2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fc34a72a-78d7-4703-a361-f14ede27e8cc}"/>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一、“十三五”规划实施情况</w:t>
              </w:r>
            </w:sdtContent>
          </w:sdt>
          <w:r>
            <w:rPr>
              <w:rFonts w:hint="eastAsia" w:ascii="楷体" w:hAnsi="楷体" w:eastAsia="楷体" w:cs="楷体"/>
              <w:b w:val="0"/>
              <w:bCs w:val="0"/>
              <w:sz w:val="32"/>
              <w:szCs w:val="32"/>
            </w:rPr>
            <w:tab/>
          </w:r>
          <w:bookmarkStart w:id="3" w:name="_Toc386911639_WPSOffice_Level2Page"/>
          <w:r>
            <w:rPr>
              <w:rFonts w:hint="eastAsia" w:ascii="楷体" w:hAnsi="楷体" w:eastAsia="楷体" w:cs="楷体"/>
              <w:b w:val="0"/>
              <w:bCs w:val="0"/>
              <w:sz w:val="32"/>
              <w:szCs w:val="32"/>
            </w:rPr>
            <w:t>2</w:t>
          </w:r>
          <w:bookmarkEnd w:id="3"/>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_Toc462917674_WPSOffice_Level2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8088f227-d5ea-4ceb-885d-2f57d7beaefe}"/>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二、“十四五”时期面临的形势</w:t>
              </w:r>
            </w:sdtContent>
          </w:sdt>
          <w:r>
            <w:rPr>
              <w:rFonts w:hint="eastAsia" w:ascii="楷体" w:hAnsi="楷体" w:eastAsia="楷体" w:cs="楷体"/>
              <w:b w:val="0"/>
              <w:bCs w:val="0"/>
              <w:sz w:val="32"/>
              <w:szCs w:val="32"/>
            </w:rPr>
            <w:tab/>
          </w:r>
          <w:bookmarkStart w:id="4" w:name="_Toc462917674_WPSOffice_Level2Page"/>
          <w:r>
            <w:rPr>
              <w:rFonts w:hint="eastAsia" w:ascii="楷体" w:hAnsi="楷体" w:eastAsia="楷体" w:cs="楷体"/>
              <w:b w:val="0"/>
              <w:bCs w:val="0"/>
              <w:sz w:val="32"/>
              <w:szCs w:val="32"/>
            </w:rPr>
            <w:t>5</w:t>
          </w:r>
          <w:bookmarkEnd w:id="4"/>
          <w:r>
            <w:rPr>
              <w:rFonts w:hint="eastAsia" w:ascii="楷体" w:hAnsi="楷体" w:eastAsia="楷体" w:cs="楷体"/>
              <w:b w:val="0"/>
              <w:bCs w:val="0"/>
              <w:sz w:val="32"/>
              <w:szCs w:val="3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_Toc462917674_WPSOffice_Level1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b8f7c861-d757-4f63-a938-ffa6f2470a89}"/>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第二章 发展思路和目标</w:t>
              </w:r>
            </w:sdtContent>
          </w:sdt>
          <w:r>
            <w:rPr>
              <w:rFonts w:hint="eastAsia" w:ascii="黑体" w:hAnsi="黑体" w:eastAsia="黑体" w:cs="黑体"/>
              <w:b w:val="0"/>
              <w:bCs w:val="0"/>
              <w:sz w:val="32"/>
              <w:szCs w:val="32"/>
            </w:rPr>
            <w:tab/>
          </w:r>
          <w:bookmarkStart w:id="5" w:name="_Toc462917674_WPSOffice_Level1Page"/>
          <w:r>
            <w:rPr>
              <w:rFonts w:hint="eastAsia" w:ascii="黑体" w:hAnsi="黑体" w:eastAsia="黑体" w:cs="黑体"/>
              <w:b w:val="0"/>
              <w:bCs w:val="0"/>
              <w:sz w:val="32"/>
              <w:szCs w:val="32"/>
            </w:rPr>
            <w:t>7</w:t>
          </w:r>
          <w:bookmarkEnd w:id="5"/>
          <w:r>
            <w:rPr>
              <w:rFonts w:hint="eastAsia" w:ascii="黑体" w:hAnsi="黑体" w:eastAsia="黑体" w:cs="黑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_Toc1562848609_WPSOffice_Level2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0944e262-c263-4adf-be69-61c872e88d9c}"/>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一、发展思路</w:t>
              </w:r>
            </w:sdtContent>
          </w:sdt>
          <w:r>
            <w:rPr>
              <w:rFonts w:hint="eastAsia" w:ascii="楷体" w:hAnsi="楷体" w:eastAsia="楷体" w:cs="楷体"/>
              <w:b w:val="0"/>
              <w:bCs w:val="0"/>
              <w:sz w:val="32"/>
              <w:szCs w:val="32"/>
            </w:rPr>
            <w:tab/>
          </w:r>
          <w:bookmarkStart w:id="6" w:name="_Toc1562848609_WPSOffice_Level2Page"/>
          <w:r>
            <w:rPr>
              <w:rFonts w:hint="eastAsia" w:ascii="楷体" w:hAnsi="楷体" w:eastAsia="楷体" w:cs="楷体"/>
              <w:b w:val="0"/>
              <w:bCs w:val="0"/>
              <w:sz w:val="32"/>
              <w:szCs w:val="32"/>
            </w:rPr>
            <w:t>7</w:t>
          </w:r>
          <w:bookmarkEnd w:id="6"/>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_Toc351770969_WPSOffice_Level2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e2782f67-4ebf-4d89-8903-a5989d4a6c87}"/>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二、发展目标</w:t>
              </w:r>
            </w:sdtContent>
          </w:sdt>
          <w:r>
            <w:rPr>
              <w:rFonts w:hint="eastAsia" w:ascii="楷体" w:hAnsi="楷体" w:eastAsia="楷体" w:cs="楷体"/>
              <w:b w:val="0"/>
              <w:bCs w:val="0"/>
              <w:sz w:val="32"/>
              <w:szCs w:val="32"/>
            </w:rPr>
            <w:tab/>
          </w:r>
          <w:bookmarkStart w:id="7" w:name="_Toc351770969_WPSOffice_Level2Page"/>
          <w:r>
            <w:rPr>
              <w:rFonts w:hint="eastAsia" w:ascii="楷体" w:hAnsi="楷体" w:eastAsia="楷体" w:cs="楷体"/>
              <w:b w:val="0"/>
              <w:bCs w:val="0"/>
              <w:sz w:val="32"/>
              <w:szCs w:val="32"/>
            </w:rPr>
            <w:t>7</w:t>
          </w:r>
          <w:bookmarkEnd w:id="7"/>
          <w:r>
            <w:rPr>
              <w:rFonts w:hint="eastAsia" w:ascii="楷体" w:hAnsi="楷体" w:eastAsia="楷体" w:cs="楷体"/>
              <w:b w:val="0"/>
              <w:bCs w:val="0"/>
              <w:sz w:val="32"/>
              <w:szCs w:val="3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_Toc1562848609_WPSOffice_Level1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dc1fe745-5e1e-4a30-afe2-32b186812bf4}"/>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第三章 推动经济高质量发展迈出更大步伐</w:t>
              </w:r>
            </w:sdtContent>
          </w:sdt>
          <w:r>
            <w:rPr>
              <w:rFonts w:hint="eastAsia" w:ascii="黑体" w:hAnsi="黑体" w:eastAsia="黑体" w:cs="黑体"/>
              <w:b w:val="0"/>
              <w:bCs w:val="0"/>
              <w:sz w:val="32"/>
              <w:szCs w:val="32"/>
            </w:rPr>
            <w:tab/>
          </w:r>
          <w:bookmarkStart w:id="8" w:name="_Toc1562848609_WPSOffice_Level1Page"/>
          <w:r>
            <w:rPr>
              <w:rFonts w:hint="eastAsia" w:ascii="黑体" w:hAnsi="黑体" w:eastAsia="黑体" w:cs="黑体"/>
              <w:b w:val="0"/>
              <w:bCs w:val="0"/>
              <w:sz w:val="32"/>
              <w:szCs w:val="32"/>
            </w:rPr>
            <w:t>12</w:t>
          </w:r>
          <w:bookmarkEnd w:id="8"/>
          <w:r>
            <w:rPr>
              <w:rFonts w:hint="eastAsia" w:ascii="黑体" w:hAnsi="黑体" w:eastAsia="黑体" w:cs="黑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_Toc396289803_WPSOffice_Level2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b1f557bb-7adc-4c67-9f52-a0272133e19c}"/>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一、发挥区位优势，谱写京津冀协同发展新篇章</w:t>
              </w:r>
            </w:sdtContent>
          </w:sdt>
          <w:r>
            <w:rPr>
              <w:rFonts w:hint="eastAsia" w:ascii="楷体" w:hAnsi="楷体" w:eastAsia="楷体" w:cs="楷体"/>
              <w:b w:val="0"/>
              <w:bCs w:val="0"/>
              <w:sz w:val="32"/>
              <w:szCs w:val="32"/>
            </w:rPr>
            <w:tab/>
          </w:r>
          <w:bookmarkStart w:id="9" w:name="_Toc396289803_WPSOffice_Level2Page"/>
          <w:r>
            <w:rPr>
              <w:rFonts w:hint="eastAsia" w:ascii="楷体" w:hAnsi="楷体" w:eastAsia="楷体" w:cs="楷体"/>
              <w:b w:val="0"/>
              <w:bCs w:val="0"/>
              <w:sz w:val="32"/>
              <w:szCs w:val="32"/>
            </w:rPr>
            <w:t>12</w:t>
          </w:r>
          <w:bookmarkEnd w:id="9"/>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_Toc1251948456_WPSOffice_Level2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fc6b815d-d28f-4d4c-ad8b-9e8dec4b9fa0}"/>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二、拓展招商渠道，发挥载体效能</w:t>
              </w:r>
            </w:sdtContent>
          </w:sdt>
          <w:r>
            <w:rPr>
              <w:rFonts w:hint="eastAsia" w:ascii="楷体" w:hAnsi="楷体" w:eastAsia="楷体" w:cs="楷体"/>
              <w:b w:val="0"/>
              <w:bCs w:val="0"/>
              <w:sz w:val="32"/>
              <w:szCs w:val="32"/>
            </w:rPr>
            <w:tab/>
          </w:r>
          <w:bookmarkStart w:id="10" w:name="_Toc1251948456_WPSOffice_Level2Page"/>
          <w:r>
            <w:rPr>
              <w:rFonts w:hint="eastAsia" w:ascii="楷体" w:hAnsi="楷体" w:eastAsia="楷体" w:cs="楷体"/>
              <w:b w:val="0"/>
              <w:bCs w:val="0"/>
              <w:sz w:val="32"/>
              <w:szCs w:val="32"/>
            </w:rPr>
            <w:t>12</w:t>
          </w:r>
          <w:bookmarkEnd w:id="10"/>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_Toc1966765602_WPSOffice_Level2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2b69658d-0029-44c8-bdb0-181b74a1941d}"/>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三、狠抓营商环境，激发经济发展活力</w:t>
              </w:r>
            </w:sdtContent>
          </w:sdt>
          <w:r>
            <w:rPr>
              <w:rFonts w:hint="eastAsia" w:ascii="楷体" w:hAnsi="楷体" w:eastAsia="楷体" w:cs="楷体"/>
              <w:b w:val="0"/>
              <w:bCs w:val="0"/>
              <w:sz w:val="32"/>
              <w:szCs w:val="32"/>
            </w:rPr>
            <w:tab/>
          </w:r>
          <w:bookmarkStart w:id="11" w:name="_Toc1966765602_WPSOffice_Level2Page"/>
          <w:r>
            <w:rPr>
              <w:rFonts w:hint="eastAsia" w:ascii="楷体" w:hAnsi="楷体" w:eastAsia="楷体" w:cs="楷体"/>
              <w:b w:val="0"/>
              <w:bCs w:val="0"/>
              <w:sz w:val="32"/>
              <w:szCs w:val="32"/>
            </w:rPr>
            <w:t>13</w:t>
          </w:r>
          <w:bookmarkEnd w:id="11"/>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_Toc505924446_WPSOffice_Level2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e9932250-078c-4f55-b21e-ae65506a4c07}"/>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四、实施乡村振兴战略，厚植绿色生态优势</w:t>
              </w:r>
            </w:sdtContent>
          </w:sdt>
          <w:r>
            <w:rPr>
              <w:rFonts w:hint="eastAsia" w:ascii="楷体" w:hAnsi="楷体" w:eastAsia="楷体" w:cs="楷体"/>
              <w:b w:val="0"/>
              <w:bCs w:val="0"/>
              <w:sz w:val="32"/>
              <w:szCs w:val="32"/>
            </w:rPr>
            <w:tab/>
          </w:r>
          <w:bookmarkStart w:id="12" w:name="_Toc505924446_WPSOffice_Level2Page"/>
          <w:r>
            <w:rPr>
              <w:rFonts w:hint="eastAsia" w:ascii="楷体" w:hAnsi="楷体" w:eastAsia="楷体" w:cs="楷体"/>
              <w:b w:val="0"/>
              <w:bCs w:val="0"/>
              <w:sz w:val="32"/>
              <w:szCs w:val="32"/>
            </w:rPr>
            <w:t>14</w:t>
          </w:r>
          <w:bookmarkEnd w:id="12"/>
          <w:r>
            <w:rPr>
              <w:rFonts w:hint="eastAsia" w:ascii="楷体" w:hAnsi="楷体" w:eastAsia="楷体" w:cs="楷体"/>
              <w:b w:val="0"/>
              <w:bCs w:val="0"/>
              <w:sz w:val="32"/>
              <w:szCs w:val="3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_Toc351770969_WPSOffice_Level1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758a5a12-e792-426a-9ed9-fd7e8e6c9b02}"/>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第四章 全面提高城市管理精细化水平</w:t>
              </w:r>
            </w:sdtContent>
          </w:sdt>
          <w:r>
            <w:rPr>
              <w:rFonts w:hint="eastAsia" w:ascii="黑体" w:hAnsi="黑体" w:eastAsia="黑体" w:cs="黑体"/>
              <w:b w:val="0"/>
              <w:bCs w:val="0"/>
              <w:sz w:val="32"/>
              <w:szCs w:val="32"/>
            </w:rPr>
            <w:tab/>
          </w:r>
          <w:bookmarkStart w:id="13" w:name="_Toc351770969_WPSOffice_Level1Page"/>
          <w:r>
            <w:rPr>
              <w:rFonts w:hint="eastAsia" w:ascii="黑体" w:hAnsi="黑体" w:eastAsia="黑体" w:cs="黑体"/>
              <w:b w:val="0"/>
              <w:bCs w:val="0"/>
              <w:sz w:val="32"/>
              <w:szCs w:val="32"/>
            </w:rPr>
            <w:t>15</w:t>
          </w:r>
          <w:bookmarkEnd w:id="13"/>
          <w:r>
            <w:rPr>
              <w:rFonts w:hint="eastAsia" w:ascii="黑体" w:hAnsi="黑体" w:eastAsia="黑体" w:cs="黑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_Toc1822414115_WPSOffice_Level2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0a8476b1-3ac8-4c70-bf19-9be295960dd9}"/>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一、量力而行逐步推动城市更新</w:t>
              </w:r>
            </w:sdtContent>
          </w:sdt>
          <w:r>
            <w:rPr>
              <w:rFonts w:hint="eastAsia" w:ascii="楷体" w:hAnsi="楷体" w:eastAsia="楷体" w:cs="楷体"/>
              <w:b w:val="0"/>
              <w:bCs w:val="0"/>
              <w:sz w:val="32"/>
              <w:szCs w:val="32"/>
            </w:rPr>
            <w:tab/>
          </w:r>
          <w:bookmarkStart w:id="14" w:name="_Toc1822414115_WPSOffice_Level2Page"/>
          <w:r>
            <w:rPr>
              <w:rFonts w:hint="eastAsia" w:ascii="楷体" w:hAnsi="楷体" w:eastAsia="楷体" w:cs="楷体"/>
              <w:b w:val="0"/>
              <w:bCs w:val="0"/>
              <w:sz w:val="32"/>
              <w:szCs w:val="32"/>
            </w:rPr>
            <w:t>15</w:t>
          </w:r>
          <w:bookmarkEnd w:id="14"/>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_Toc1954815766_WPSOffice_Level2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f7167b97-5b53-42c9-bd20-b4cde587a406}"/>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二、多措并举努力提升物业费收缴率</w:t>
              </w:r>
            </w:sdtContent>
          </w:sdt>
          <w:r>
            <w:rPr>
              <w:rFonts w:hint="eastAsia" w:ascii="楷体" w:hAnsi="楷体" w:eastAsia="楷体" w:cs="楷体"/>
              <w:b w:val="0"/>
              <w:bCs w:val="0"/>
              <w:sz w:val="32"/>
              <w:szCs w:val="32"/>
            </w:rPr>
            <w:tab/>
          </w:r>
          <w:bookmarkStart w:id="15" w:name="_Toc1954815766_WPSOffice_Level2Page"/>
          <w:r>
            <w:rPr>
              <w:rFonts w:hint="eastAsia" w:ascii="楷体" w:hAnsi="楷体" w:eastAsia="楷体" w:cs="楷体"/>
              <w:b w:val="0"/>
              <w:bCs w:val="0"/>
              <w:sz w:val="32"/>
              <w:szCs w:val="32"/>
            </w:rPr>
            <w:t>15</w:t>
          </w:r>
          <w:bookmarkEnd w:id="15"/>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_Toc679982881_WPSOffice_Level2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b9006e14-5845-4e3d-87af-b7ed8c56c407}"/>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三、日臻完备城市设施和功能</w:t>
              </w:r>
            </w:sdtContent>
          </w:sdt>
          <w:r>
            <w:rPr>
              <w:rFonts w:hint="eastAsia" w:ascii="楷体" w:hAnsi="楷体" w:eastAsia="楷体" w:cs="楷体"/>
              <w:b w:val="0"/>
              <w:bCs w:val="0"/>
              <w:sz w:val="32"/>
              <w:szCs w:val="32"/>
            </w:rPr>
            <w:tab/>
          </w:r>
          <w:bookmarkStart w:id="16" w:name="_Toc679982881_WPSOffice_Level2Page"/>
          <w:r>
            <w:rPr>
              <w:rFonts w:hint="eastAsia" w:ascii="楷体" w:hAnsi="楷体" w:eastAsia="楷体" w:cs="楷体"/>
              <w:b w:val="0"/>
              <w:bCs w:val="0"/>
              <w:sz w:val="32"/>
              <w:szCs w:val="32"/>
            </w:rPr>
            <w:t>16</w:t>
          </w:r>
          <w:bookmarkEnd w:id="16"/>
          <w:r>
            <w:rPr>
              <w:rFonts w:hint="eastAsia" w:ascii="楷体" w:hAnsi="楷体" w:eastAsia="楷体" w:cs="楷体"/>
              <w:b w:val="0"/>
              <w:bCs w:val="0"/>
              <w:sz w:val="32"/>
              <w:szCs w:val="3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_Toc396289803_WPSOffice_Level1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27b70fd6-6968-4e8d-8781-db33e2f50ce3}"/>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第五章 以人为本，增进民生福祉</w:t>
              </w:r>
            </w:sdtContent>
          </w:sdt>
          <w:r>
            <w:rPr>
              <w:rFonts w:hint="eastAsia" w:ascii="黑体" w:hAnsi="黑体" w:eastAsia="黑体" w:cs="黑体"/>
              <w:b w:val="0"/>
              <w:bCs w:val="0"/>
              <w:sz w:val="32"/>
              <w:szCs w:val="32"/>
            </w:rPr>
            <w:tab/>
          </w:r>
          <w:bookmarkStart w:id="17" w:name="_Toc396289803_WPSOffice_Level1Page"/>
          <w:r>
            <w:rPr>
              <w:rFonts w:hint="eastAsia" w:ascii="黑体" w:hAnsi="黑体" w:eastAsia="黑体" w:cs="黑体"/>
              <w:b w:val="0"/>
              <w:bCs w:val="0"/>
              <w:sz w:val="32"/>
              <w:szCs w:val="32"/>
            </w:rPr>
            <w:t>17</w:t>
          </w:r>
          <w:bookmarkEnd w:id="17"/>
          <w:r>
            <w:rPr>
              <w:rFonts w:hint="eastAsia" w:ascii="黑体" w:hAnsi="黑体" w:eastAsia="黑体" w:cs="黑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_Toc610113590_WPSOffice_Level2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ad6de037-bfb7-4113-bf9f-3efc68165559}"/>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一、促进基础教育优质均衡发展</w:t>
              </w:r>
            </w:sdtContent>
          </w:sdt>
          <w:r>
            <w:rPr>
              <w:rFonts w:hint="eastAsia" w:ascii="楷体" w:hAnsi="楷体" w:eastAsia="楷体" w:cs="楷体"/>
              <w:b w:val="0"/>
              <w:bCs w:val="0"/>
              <w:sz w:val="32"/>
              <w:szCs w:val="32"/>
            </w:rPr>
            <w:tab/>
          </w:r>
          <w:bookmarkStart w:id="18" w:name="_Toc610113590_WPSOffice_Level2Page"/>
          <w:r>
            <w:rPr>
              <w:rFonts w:hint="eastAsia" w:ascii="楷体" w:hAnsi="楷体" w:eastAsia="楷体" w:cs="楷体"/>
              <w:b w:val="0"/>
              <w:bCs w:val="0"/>
              <w:sz w:val="32"/>
              <w:szCs w:val="32"/>
            </w:rPr>
            <w:t>17</w:t>
          </w:r>
          <w:bookmarkEnd w:id="18"/>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_Toc1526907920_WPSOffice_Level2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7b776a3a-0f59-42a3-bbd7-4663318385a4}"/>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二、树立正确健康观建设健康华明</w:t>
              </w:r>
            </w:sdtContent>
          </w:sdt>
          <w:r>
            <w:rPr>
              <w:rFonts w:hint="eastAsia" w:ascii="楷体" w:hAnsi="楷体" w:eastAsia="楷体" w:cs="楷体"/>
              <w:b w:val="0"/>
              <w:bCs w:val="0"/>
              <w:sz w:val="32"/>
              <w:szCs w:val="32"/>
            </w:rPr>
            <w:tab/>
          </w:r>
          <w:bookmarkStart w:id="19" w:name="_Toc1526907920_WPSOffice_Level2Page"/>
          <w:r>
            <w:rPr>
              <w:rFonts w:hint="eastAsia" w:ascii="楷体" w:hAnsi="楷体" w:eastAsia="楷体" w:cs="楷体"/>
              <w:b w:val="0"/>
              <w:bCs w:val="0"/>
              <w:sz w:val="32"/>
              <w:szCs w:val="32"/>
            </w:rPr>
            <w:t>17</w:t>
          </w:r>
          <w:bookmarkEnd w:id="19"/>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_Toc1287330814_WPSOffice_Level2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bc09de46-37bd-4a1a-b0d0-a95a3d130c41}"/>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三、兜牢民生底线提高民生保障水平</w:t>
              </w:r>
            </w:sdtContent>
          </w:sdt>
          <w:r>
            <w:rPr>
              <w:rFonts w:hint="eastAsia" w:ascii="楷体" w:hAnsi="楷体" w:eastAsia="楷体" w:cs="楷体"/>
              <w:b w:val="0"/>
              <w:bCs w:val="0"/>
              <w:sz w:val="32"/>
              <w:szCs w:val="32"/>
            </w:rPr>
            <w:tab/>
          </w:r>
          <w:bookmarkStart w:id="20" w:name="_Toc1287330814_WPSOffice_Level2Page"/>
          <w:r>
            <w:rPr>
              <w:rFonts w:hint="eastAsia" w:ascii="楷体" w:hAnsi="楷体" w:eastAsia="楷体" w:cs="楷体"/>
              <w:b w:val="0"/>
              <w:bCs w:val="0"/>
              <w:sz w:val="32"/>
              <w:szCs w:val="32"/>
            </w:rPr>
            <w:t>18</w:t>
          </w:r>
          <w:bookmarkEnd w:id="20"/>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_Toc1364031803_WPSOffice_Level2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03f6feaf-9393-46cd-8c39-a8e49a6ecbed}"/>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四、创新服务模式提升养老服务品质</w:t>
              </w:r>
            </w:sdtContent>
          </w:sdt>
          <w:r>
            <w:rPr>
              <w:rFonts w:hint="eastAsia" w:ascii="楷体" w:hAnsi="楷体" w:eastAsia="楷体" w:cs="楷体"/>
              <w:b w:val="0"/>
              <w:bCs w:val="0"/>
              <w:sz w:val="32"/>
              <w:szCs w:val="32"/>
            </w:rPr>
            <w:tab/>
          </w:r>
          <w:bookmarkStart w:id="21" w:name="_Toc1364031803_WPSOffice_Level2Page"/>
          <w:r>
            <w:rPr>
              <w:rFonts w:hint="eastAsia" w:ascii="楷体" w:hAnsi="楷体" w:eastAsia="楷体" w:cs="楷体"/>
              <w:b w:val="0"/>
              <w:bCs w:val="0"/>
              <w:sz w:val="32"/>
              <w:szCs w:val="32"/>
            </w:rPr>
            <w:t>18</w:t>
          </w:r>
          <w:bookmarkEnd w:id="21"/>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_Toc2028869129_WPSOffice_Level2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3ec99d62-baee-40f3-8860-b4dfef8e8312}"/>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五、加强人口管理释放“人口红利”</w:t>
              </w:r>
            </w:sdtContent>
          </w:sdt>
          <w:r>
            <w:rPr>
              <w:rFonts w:hint="eastAsia" w:ascii="楷体" w:hAnsi="楷体" w:eastAsia="楷体" w:cs="楷体"/>
              <w:b w:val="0"/>
              <w:bCs w:val="0"/>
              <w:sz w:val="32"/>
              <w:szCs w:val="32"/>
            </w:rPr>
            <w:tab/>
          </w:r>
          <w:bookmarkStart w:id="22" w:name="_Toc2028869129_WPSOffice_Level2Page"/>
          <w:r>
            <w:rPr>
              <w:rFonts w:hint="eastAsia" w:ascii="楷体" w:hAnsi="楷体" w:eastAsia="楷体" w:cs="楷体"/>
              <w:b w:val="0"/>
              <w:bCs w:val="0"/>
              <w:sz w:val="32"/>
              <w:szCs w:val="32"/>
            </w:rPr>
            <w:t>19</w:t>
          </w:r>
          <w:bookmarkEnd w:id="22"/>
          <w:r>
            <w:rPr>
              <w:rFonts w:hint="eastAsia" w:ascii="楷体" w:hAnsi="楷体" w:eastAsia="楷体" w:cs="楷体"/>
              <w:b w:val="0"/>
              <w:bCs w:val="0"/>
              <w:sz w:val="32"/>
              <w:szCs w:val="3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_Toc1251948456_WPSOffice_Level1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3d5e23cf-d96e-4532-b566-4313e76f0638}"/>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第六章 扎实推进生态体系建设</w:t>
              </w:r>
            </w:sdtContent>
          </w:sdt>
          <w:r>
            <w:rPr>
              <w:rFonts w:hint="eastAsia" w:ascii="黑体" w:hAnsi="黑体" w:eastAsia="黑体" w:cs="黑体"/>
              <w:b w:val="0"/>
              <w:bCs w:val="0"/>
              <w:sz w:val="32"/>
              <w:szCs w:val="32"/>
            </w:rPr>
            <w:tab/>
          </w:r>
          <w:bookmarkStart w:id="23" w:name="_Toc1251948456_WPSOffice_Level1Page"/>
          <w:r>
            <w:rPr>
              <w:rFonts w:hint="eastAsia" w:ascii="黑体" w:hAnsi="黑体" w:eastAsia="黑体" w:cs="黑体"/>
              <w:b w:val="0"/>
              <w:bCs w:val="0"/>
              <w:sz w:val="32"/>
              <w:szCs w:val="32"/>
            </w:rPr>
            <w:t>21</w:t>
          </w:r>
          <w:bookmarkEnd w:id="23"/>
          <w:r>
            <w:rPr>
              <w:rFonts w:hint="eastAsia" w:ascii="黑体" w:hAnsi="黑体" w:eastAsia="黑体" w:cs="黑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_Toc1586894663_WPSOffice_Level2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fdd7cc9b-4b1c-4270-be32-616123881d05}"/>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一、推进企业绿色发展</w:t>
              </w:r>
            </w:sdtContent>
          </w:sdt>
          <w:r>
            <w:rPr>
              <w:rFonts w:hint="eastAsia" w:ascii="楷体" w:hAnsi="楷体" w:eastAsia="楷体" w:cs="楷体"/>
              <w:b w:val="0"/>
              <w:bCs w:val="0"/>
              <w:sz w:val="32"/>
              <w:szCs w:val="32"/>
            </w:rPr>
            <w:tab/>
          </w:r>
          <w:bookmarkStart w:id="24" w:name="_Toc1586894663_WPSOffice_Level2Page"/>
          <w:r>
            <w:rPr>
              <w:rFonts w:hint="eastAsia" w:ascii="楷体" w:hAnsi="楷体" w:eastAsia="楷体" w:cs="楷体"/>
              <w:b w:val="0"/>
              <w:bCs w:val="0"/>
              <w:sz w:val="32"/>
              <w:szCs w:val="32"/>
            </w:rPr>
            <w:t>21</w:t>
          </w:r>
          <w:bookmarkEnd w:id="24"/>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_Toc1642389290_WPSOffice_Level2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488b0fbf-0056-4367-b5c7-73e3411e5709}"/>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二、加强扬尘面源治理</w:t>
              </w:r>
            </w:sdtContent>
          </w:sdt>
          <w:r>
            <w:rPr>
              <w:rFonts w:hint="eastAsia" w:ascii="楷体" w:hAnsi="楷体" w:eastAsia="楷体" w:cs="楷体"/>
              <w:b w:val="0"/>
              <w:bCs w:val="0"/>
              <w:sz w:val="32"/>
              <w:szCs w:val="32"/>
            </w:rPr>
            <w:tab/>
          </w:r>
          <w:bookmarkStart w:id="25" w:name="_Toc1642389290_WPSOffice_Level2Page"/>
          <w:r>
            <w:rPr>
              <w:rFonts w:hint="eastAsia" w:ascii="楷体" w:hAnsi="楷体" w:eastAsia="楷体" w:cs="楷体"/>
              <w:b w:val="0"/>
              <w:bCs w:val="0"/>
              <w:sz w:val="32"/>
              <w:szCs w:val="32"/>
            </w:rPr>
            <w:t>21</w:t>
          </w:r>
          <w:bookmarkEnd w:id="25"/>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_Toc1128488174_WPSOffice_Level2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f082b2d8-132a-4031-bcab-e52e3bed55be}"/>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三、妥善应对重污染天气</w:t>
              </w:r>
            </w:sdtContent>
          </w:sdt>
          <w:r>
            <w:rPr>
              <w:rFonts w:hint="eastAsia" w:ascii="楷体" w:hAnsi="楷体" w:eastAsia="楷体" w:cs="楷体"/>
              <w:b w:val="0"/>
              <w:bCs w:val="0"/>
              <w:sz w:val="32"/>
              <w:szCs w:val="32"/>
            </w:rPr>
            <w:tab/>
          </w:r>
          <w:bookmarkStart w:id="26" w:name="_Toc1128488174_WPSOffice_Level2Page"/>
          <w:r>
            <w:rPr>
              <w:rFonts w:hint="eastAsia" w:ascii="楷体" w:hAnsi="楷体" w:eastAsia="楷体" w:cs="楷体"/>
              <w:b w:val="0"/>
              <w:bCs w:val="0"/>
              <w:sz w:val="32"/>
              <w:szCs w:val="32"/>
            </w:rPr>
            <w:t>22</w:t>
          </w:r>
          <w:bookmarkEnd w:id="26"/>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_Toc1008883808_WPSOffice_Level2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2dabf93d-4b12-48bf-9b4f-48ea210da4d3}"/>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四、强化精细化管控</w:t>
              </w:r>
            </w:sdtContent>
          </w:sdt>
          <w:r>
            <w:rPr>
              <w:rFonts w:hint="eastAsia" w:ascii="楷体" w:hAnsi="楷体" w:eastAsia="楷体" w:cs="楷体"/>
              <w:b w:val="0"/>
              <w:bCs w:val="0"/>
              <w:sz w:val="32"/>
              <w:szCs w:val="32"/>
            </w:rPr>
            <w:tab/>
          </w:r>
          <w:bookmarkStart w:id="27" w:name="_Toc1008883808_WPSOffice_Level2Page"/>
          <w:r>
            <w:rPr>
              <w:rFonts w:hint="eastAsia" w:ascii="楷体" w:hAnsi="楷体" w:eastAsia="楷体" w:cs="楷体"/>
              <w:b w:val="0"/>
              <w:bCs w:val="0"/>
              <w:sz w:val="32"/>
              <w:szCs w:val="32"/>
            </w:rPr>
            <w:t>22</w:t>
          </w:r>
          <w:bookmarkEnd w:id="27"/>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_Toc2063431582_WPSOffice_Level2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316366f8-300c-4135-b839-caa9d3f3938e}"/>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五、加强水污染防治</w:t>
              </w:r>
            </w:sdtContent>
          </w:sdt>
          <w:r>
            <w:rPr>
              <w:rFonts w:hint="eastAsia" w:ascii="楷体" w:hAnsi="楷体" w:eastAsia="楷体" w:cs="楷体"/>
              <w:b w:val="0"/>
              <w:bCs w:val="0"/>
              <w:sz w:val="32"/>
              <w:szCs w:val="32"/>
            </w:rPr>
            <w:tab/>
          </w:r>
          <w:bookmarkStart w:id="28" w:name="_Toc2063431582_WPSOffice_Level2Page"/>
          <w:r>
            <w:rPr>
              <w:rFonts w:hint="eastAsia" w:ascii="楷体" w:hAnsi="楷体" w:eastAsia="楷体" w:cs="楷体"/>
              <w:b w:val="0"/>
              <w:bCs w:val="0"/>
              <w:sz w:val="32"/>
              <w:szCs w:val="32"/>
            </w:rPr>
            <w:t>22</w:t>
          </w:r>
          <w:bookmarkEnd w:id="28"/>
          <w:r>
            <w:rPr>
              <w:rFonts w:hint="eastAsia" w:ascii="楷体" w:hAnsi="楷体" w:eastAsia="楷体" w:cs="楷体"/>
              <w:b w:val="0"/>
              <w:bCs w:val="0"/>
              <w:sz w:val="32"/>
              <w:szCs w:val="3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_Toc1966765602_WPSOffice_Level1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b49cb948-f55c-472b-aa8f-7f29f8d20bbd}"/>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第七章 促进文化事业繁荣发展</w:t>
              </w:r>
            </w:sdtContent>
          </w:sdt>
          <w:r>
            <w:rPr>
              <w:rFonts w:hint="eastAsia" w:ascii="黑体" w:hAnsi="黑体" w:eastAsia="黑体" w:cs="黑体"/>
              <w:b w:val="0"/>
              <w:bCs w:val="0"/>
              <w:sz w:val="32"/>
              <w:szCs w:val="32"/>
            </w:rPr>
            <w:tab/>
          </w:r>
          <w:bookmarkStart w:id="29" w:name="_Toc1966765602_WPSOffice_Level1Page"/>
          <w:r>
            <w:rPr>
              <w:rFonts w:hint="eastAsia" w:ascii="黑体" w:hAnsi="黑体" w:eastAsia="黑体" w:cs="黑体"/>
              <w:b w:val="0"/>
              <w:bCs w:val="0"/>
              <w:sz w:val="32"/>
              <w:szCs w:val="32"/>
            </w:rPr>
            <w:t>23</w:t>
          </w:r>
          <w:bookmarkEnd w:id="29"/>
          <w:r>
            <w:rPr>
              <w:rFonts w:hint="eastAsia" w:ascii="黑体" w:hAnsi="黑体" w:eastAsia="黑体" w:cs="黑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_Toc1424973019_WPSOffice_Level2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80b1ae1f-e2e4-4821-b79d-6d31506cec1f}"/>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一、加强精神文明建设</w:t>
              </w:r>
            </w:sdtContent>
          </w:sdt>
          <w:r>
            <w:rPr>
              <w:rFonts w:hint="eastAsia" w:ascii="楷体" w:hAnsi="楷体" w:eastAsia="楷体" w:cs="楷体"/>
              <w:b w:val="0"/>
              <w:bCs w:val="0"/>
              <w:sz w:val="32"/>
              <w:szCs w:val="32"/>
            </w:rPr>
            <w:tab/>
          </w:r>
          <w:bookmarkStart w:id="30" w:name="_Toc1424973019_WPSOffice_Level2Page"/>
          <w:r>
            <w:rPr>
              <w:rFonts w:hint="eastAsia" w:ascii="楷体" w:hAnsi="楷体" w:eastAsia="楷体" w:cs="楷体"/>
              <w:b w:val="0"/>
              <w:bCs w:val="0"/>
              <w:sz w:val="32"/>
              <w:szCs w:val="32"/>
            </w:rPr>
            <w:t>23</w:t>
          </w:r>
          <w:bookmarkEnd w:id="30"/>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_Toc242181941_WPSOffice_Level2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5dc4049a-a7c4-4e61-8f56-5dcfc82ce96b}"/>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二、推进文体事业繁荣</w:t>
              </w:r>
            </w:sdtContent>
          </w:sdt>
          <w:r>
            <w:rPr>
              <w:rFonts w:hint="eastAsia" w:ascii="楷体" w:hAnsi="楷体" w:eastAsia="楷体" w:cs="楷体"/>
              <w:b w:val="0"/>
              <w:bCs w:val="0"/>
              <w:sz w:val="32"/>
              <w:szCs w:val="32"/>
            </w:rPr>
            <w:tab/>
          </w:r>
          <w:bookmarkStart w:id="31" w:name="_Toc242181941_WPSOffice_Level2Page"/>
          <w:r>
            <w:rPr>
              <w:rFonts w:hint="eastAsia" w:ascii="楷体" w:hAnsi="楷体" w:eastAsia="楷体" w:cs="楷体"/>
              <w:b w:val="0"/>
              <w:bCs w:val="0"/>
              <w:sz w:val="32"/>
              <w:szCs w:val="32"/>
            </w:rPr>
            <w:t>24</w:t>
          </w:r>
          <w:bookmarkEnd w:id="31"/>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_Toc1761712660_WPSOffice_Level2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a94f5e8e-a4ef-46f0-a6f1-12815352446b}"/>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三、社区文化事业</w:t>
              </w:r>
            </w:sdtContent>
          </w:sdt>
          <w:r>
            <w:rPr>
              <w:rFonts w:hint="eastAsia" w:ascii="楷体" w:hAnsi="楷体" w:eastAsia="楷体" w:cs="楷体"/>
              <w:b w:val="0"/>
              <w:bCs w:val="0"/>
              <w:sz w:val="32"/>
              <w:szCs w:val="32"/>
            </w:rPr>
            <w:tab/>
          </w:r>
          <w:bookmarkStart w:id="32" w:name="_Toc1761712660_WPSOffice_Level2Page"/>
          <w:r>
            <w:rPr>
              <w:rFonts w:hint="eastAsia" w:ascii="楷体" w:hAnsi="楷体" w:eastAsia="楷体" w:cs="楷体"/>
              <w:b w:val="0"/>
              <w:bCs w:val="0"/>
              <w:sz w:val="32"/>
              <w:szCs w:val="32"/>
            </w:rPr>
            <w:t>25</w:t>
          </w:r>
          <w:bookmarkEnd w:id="32"/>
          <w:r>
            <w:rPr>
              <w:rFonts w:hint="eastAsia" w:ascii="楷体" w:hAnsi="楷体" w:eastAsia="楷体" w:cs="楷体"/>
              <w:b w:val="0"/>
              <w:bCs w:val="0"/>
              <w:sz w:val="32"/>
              <w:szCs w:val="3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_Toc505924446_WPSOffice_Level1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c1393f3c-fe5e-447c-8769-65cd1ee2e3d7}"/>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第八章 构建平安华明</w:t>
              </w:r>
            </w:sdtContent>
          </w:sdt>
          <w:r>
            <w:rPr>
              <w:rFonts w:hint="eastAsia" w:ascii="黑体" w:hAnsi="黑体" w:eastAsia="黑体" w:cs="黑体"/>
              <w:b w:val="0"/>
              <w:bCs w:val="0"/>
              <w:sz w:val="32"/>
              <w:szCs w:val="32"/>
            </w:rPr>
            <w:tab/>
          </w:r>
          <w:bookmarkStart w:id="33" w:name="_Toc505924446_WPSOffice_Level1Page"/>
          <w:r>
            <w:rPr>
              <w:rFonts w:hint="eastAsia" w:ascii="黑体" w:hAnsi="黑体" w:eastAsia="黑体" w:cs="黑体"/>
              <w:b w:val="0"/>
              <w:bCs w:val="0"/>
              <w:sz w:val="32"/>
              <w:szCs w:val="32"/>
            </w:rPr>
            <w:t>26</w:t>
          </w:r>
          <w:bookmarkEnd w:id="33"/>
          <w:r>
            <w:rPr>
              <w:rFonts w:hint="eastAsia" w:ascii="黑体" w:hAnsi="黑体" w:eastAsia="黑体" w:cs="黑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_Toc1638443572_WPSOffice_Level2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590aea4e-1ef1-4eed-b7c3-15760bfa66b9}"/>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一、切实做好常态化疫情防控</w:t>
              </w:r>
            </w:sdtContent>
          </w:sdt>
          <w:r>
            <w:rPr>
              <w:rFonts w:hint="eastAsia" w:ascii="楷体" w:hAnsi="楷体" w:eastAsia="楷体" w:cs="楷体"/>
              <w:b w:val="0"/>
              <w:bCs w:val="0"/>
              <w:sz w:val="32"/>
              <w:szCs w:val="32"/>
            </w:rPr>
            <w:tab/>
          </w:r>
          <w:bookmarkStart w:id="34" w:name="_Toc1638443572_WPSOffice_Level2Page"/>
          <w:r>
            <w:rPr>
              <w:rFonts w:hint="eastAsia" w:ascii="楷体" w:hAnsi="楷体" w:eastAsia="楷体" w:cs="楷体"/>
              <w:b w:val="0"/>
              <w:bCs w:val="0"/>
              <w:sz w:val="32"/>
              <w:szCs w:val="32"/>
            </w:rPr>
            <w:t>26</w:t>
          </w:r>
          <w:bookmarkEnd w:id="34"/>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_Toc1676224316_WPSOffice_Level2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a5249232-ba23-4cae-bf0c-5717ab89e478}"/>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二、牢牢抓好安全管理</w:t>
              </w:r>
            </w:sdtContent>
          </w:sdt>
          <w:r>
            <w:rPr>
              <w:rFonts w:hint="eastAsia" w:ascii="楷体" w:hAnsi="楷体" w:eastAsia="楷体" w:cs="楷体"/>
              <w:b w:val="0"/>
              <w:bCs w:val="0"/>
              <w:sz w:val="32"/>
              <w:szCs w:val="32"/>
            </w:rPr>
            <w:tab/>
          </w:r>
          <w:bookmarkStart w:id="35" w:name="_Toc1676224316_WPSOffice_Level2Page"/>
          <w:r>
            <w:rPr>
              <w:rFonts w:hint="eastAsia" w:ascii="楷体" w:hAnsi="楷体" w:eastAsia="楷体" w:cs="楷体"/>
              <w:b w:val="0"/>
              <w:bCs w:val="0"/>
              <w:sz w:val="32"/>
              <w:szCs w:val="32"/>
            </w:rPr>
            <w:t>26</w:t>
          </w:r>
          <w:bookmarkEnd w:id="35"/>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_Toc1839185554_WPSOffice_Level2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50419881-ba49-459c-9ca9-88ff3f37961e}"/>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三、深化平安华明建设</w:t>
              </w:r>
            </w:sdtContent>
          </w:sdt>
          <w:r>
            <w:rPr>
              <w:rFonts w:hint="eastAsia" w:ascii="楷体" w:hAnsi="楷体" w:eastAsia="楷体" w:cs="楷体"/>
              <w:b w:val="0"/>
              <w:bCs w:val="0"/>
              <w:sz w:val="32"/>
              <w:szCs w:val="32"/>
            </w:rPr>
            <w:tab/>
          </w:r>
          <w:bookmarkStart w:id="36" w:name="_Toc1839185554_WPSOffice_Level2Page"/>
          <w:r>
            <w:rPr>
              <w:rFonts w:hint="eastAsia" w:ascii="楷体" w:hAnsi="楷体" w:eastAsia="楷体" w:cs="楷体"/>
              <w:b w:val="0"/>
              <w:bCs w:val="0"/>
              <w:sz w:val="32"/>
              <w:szCs w:val="32"/>
            </w:rPr>
            <w:t>28</w:t>
          </w:r>
          <w:bookmarkEnd w:id="36"/>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_Toc753250102_WPSOffice_Level2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9c30ead4-981a-4300-958c-a2b03362a201}"/>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四、全面加强网络安全工作</w:t>
              </w:r>
            </w:sdtContent>
          </w:sdt>
          <w:r>
            <w:rPr>
              <w:rFonts w:hint="eastAsia" w:ascii="楷体" w:hAnsi="楷体" w:eastAsia="楷体" w:cs="楷体"/>
              <w:b w:val="0"/>
              <w:bCs w:val="0"/>
              <w:sz w:val="32"/>
              <w:szCs w:val="32"/>
            </w:rPr>
            <w:tab/>
          </w:r>
          <w:bookmarkStart w:id="37" w:name="_Toc753250102_WPSOffice_Level2Page"/>
          <w:r>
            <w:rPr>
              <w:rFonts w:hint="eastAsia" w:ascii="楷体" w:hAnsi="楷体" w:eastAsia="楷体" w:cs="楷体"/>
              <w:b w:val="0"/>
              <w:bCs w:val="0"/>
              <w:sz w:val="32"/>
              <w:szCs w:val="32"/>
            </w:rPr>
            <w:t>28</w:t>
          </w:r>
          <w:bookmarkEnd w:id="37"/>
          <w:r>
            <w:rPr>
              <w:rFonts w:hint="eastAsia" w:ascii="楷体" w:hAnsi="楷体" w:eastAsia="楷体" w:cs="楷体"/>
              <w:b w:val="0"/>
              <w:bCs w:val="0"/>
              <w:sz w:val="32"/>
              <w:szCs w:val="3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_Toc1822414115_WPSOffice_Level1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0"/>
                <w:sz w:val="32"/>
                <w:szCs w:val="32"/>
                <w:lang w:val="en-US" w:eastAsia="zh-CN" w:bidi="ar-SA"/>
              </w:rPr>
              <w:id w:val="634507801"/>
              <w:placeholder>
                <w:docPart w:val="{94e80f1b-7368-41f1-aec1-c943eca8128b}"/>
              </w:placeholder>
            </w:sdtPr>
            <w:sdtEndPr>
              <w:rPr>
                <w:rFonts w:hint="eastAsia" w:ascii="黑体" w:hAnsi="黑体" w:eastAsia="黑体" w:cs="黑体"/>
                <w:b w:val="0"/>
                <w:bCs w:val="0"/>
                <w:kern w:val="0"/>
                <w:sz w:val="32"/>
                <w:szCs w:val="32"/>
                <w:lang w:val="en-US" w:eastAsia="zh-CN" w:bidi="ar-SA"/>
              </w:rPr>
            </w:sdtEndPr>
            <w:sdtContent>
              <w:r>
                <w:rPr>
                  <w:rFonts w:hint="eastAsia" w:ascii="黑体" w:hAnsi="黑体" w:eastAsia="黑体" w:cs="黑体"/>
                  <w:b w:val="0"/>
                  <w:bCs w:val="0"/>
                  <w:sz w:val="32"/>
                  <w:szCs w:val="32"/>
                </w:rPr>
                <w:t>第九章 坚持党建</w:t>
              </w:r>
              <w:r>
                <w:rPr>
                  <w:rFonts w:hint="eastAsia" w:ascii="黑体" w:hAnsi="黑体" w:eastAsia="黑体" w:cs="黑体"/>
                  <w:b w:val="0"/>
                  <w:bCs w:val="0"/>
                  <w:sz w:val="32"/>
                  <w:szCs w:val="32"/>
                  <w:lang w:eastAsia="zh-CN"/>
                </w:rPr>
                <w:t>引</w:t>
              </w:r>
              <w:r>
                <w:rPr>
                  <w:rFonts w:hint="eastAsia" w:ascii="黑体" w:hAnsi="黑体" w:eastAsia="黑体" w:cs="黑体"/>
                  <w:b w:val="0"/>
                  <w:bCs w:val="0"/>
                  <w:sz w:val="32"/>
                  <w:szCs w:val="32"/>
                </w:rPr>
                <w:t>领，总</w:t>
              </w:r>
              <w:r>
                <w:rPr>
                  <w:rFonts w:hint="eastAsia" w:ascii="黑体" w:hAnsi="黑体" w:eastAsia="黑体" w:cs="黑体"/>
                  <w:b w:val="0"/>
                  <w:bCs w:val="0"/>
                  <w:sz w:val="32"/>
                  <w:szCs w:val="32"/>
                  <w:lang w:eastAsia="zh-CN"/>
                </w:rPr>
                <w:t>揽</w:t>
              </w:r>
              <w:r>
                <w:rPr>
                  <w:rFonts w:hint="eastAsia" w:ascii="黑体" w:hAnsi="黑体" w:eastAsia="黑体" w:cs="黑体"/>
                  <w:b w:val="0"/>
                  <w:bCs w:val="0"/>
                  <w:sz w:val="32"/>
                  <w:szCs w:val="32"/>
                </w:rPr>
                <w:t>工作大局</w:t>
              </w:r>
            </w:sdtContent>
          </w:sdt>
          <w:r>
            <w:rPr>
              <w:rFonts w:hint="eastAsia" w:ascii="黑体" w:hAnsi="黑体" w:eastAsia="黑体" w:cs="黑体"/>
              <w:b w:val="0"/>
              <w:bCs w:val="0"/>
              <w:sz w:val="32"/>
              <w:szCs w:val="32"/>
            </w:rPr>
            <w:tab/>
          </w:r>
          <w:bookmarkStart w:id="38" w:name="_Toc1822414115_WPSOffice_Level1Page"/>
          <w:r>
            <w:rPr>
              <w:rFonts w:hint="eastAsia" w:ascii="黑体" w:hAnsi="黑体" w:eastAsia="黑体" w:cs="黑体"/>
              <w:b w:val="0"/>
              <w:bCs w:val="0"/>
              <w:sz w:val="32"/>
              <w:szCs w:val="32"/>
            </w:rPr>
            <w:t>29</w:t>
          </w:r>
          <w:bookmarkEnd w:id="38"/>
          <w:r>
            <w:rPr>
              <w:rFonts w:hint="eastAsia" w:ascii="黑体" w:hAnsi="黑体" w:eastAsia="黑体" w:cs="黑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_Toc1594208388_WPSOffice_Level2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99879c0e-9816-46b5-822c-a43544be6528}"/>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一、持续巩固“不忘初心、牢记使命”主题教育成果</w:t>
              </w:r>
            </w:sdtContent>
          </w:sdt>
          <w:r>
            <w:rPr>
              <w:rFonts w:hint="eastAsia" w:ascii="楷体" w:hAnsi="楷体" w:eastAsia="楷体" w:cs="楷体"/>
              <w:b w:val="0"/>
              <w:bCs w:val="0"/>
              <w:sz w:val="32"/>
              <w:szCs w:val="32"/>
            </w:rPr>
            <w:tab/>
          </w:r>
          <w:bookmarkStart w:id="39" w:name="_Toc1594208388_WPSOffice_Level2Page"/>
          <w:r>
            <w:rPr>
              <w:rFonts w:hint="eastAsia" w:ascii="楷体" w:hAnsi="楷体" w:eastAsia="楷体" w:cs="楷体"/>
              <w:b w:val="0"/>
              <w:bCs w:val="0"/>
              <w:sz w:val="32"/>
              <w:szCs w:val="32"/>
            </w:rPr>
            <w:t>29</w:t>
          </w:r>
          <w:bookmarkEnd w:id="39"/>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_Toc971230584_WPSOffice_Level2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f87b697e-82fa-4e33-91d7-d67b965ba6b3}"/>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二、厚植人民至上的情怀，全面转变工作作风</w:t>
              </w:r>
            </w:sdtContent>
          </w:sdt>
          <w:r>
            <w:rPr>
              <w:rFonts w:hint="eastAsia" w:ascii="楷体" w:hAnsi="楷体" w:eastAsia="楷体" w:cs="楷体"/>
              <w:b w:val="0"/>
              <w:bCs w:val="0"/>
              <w:sz w:val="32"/>
              <w:szCs w:val="32"/>
            </w:rPr>
            <w:tab/>
          </w:r>
          <w:bookmarkStart w:id="40" w:name="_Toc971230584_WPSOffice_Level2Page"/>
          <w:r>
            <w:rPr>
              <w:rFonts w:hint="eastAsia" w:ascii="楷体" w:hAnsi="楷体" w:eastAsia="楷体" w:cs="楷体"/>
              <w:b w:val="0"/>
              <w:bCs w:val="0"/>
              <w:sz w:val="32"/>
              <w:szCs w:val="32"/>
            </w:rPr>
            <w:t>30</w:t>
          </w:r>
          <w:bookmarkEnd w:id="40"/>
          <w:r>
            <w:rPr>
              <w:rFonts w:hint="eastAsia" w:ascii="楷体" w:hAnsi="楷体" w:eastAsia="楷体" w:cs="楷体"/>
              <w:b w:val="0"/>
              <w:bCs w:val="0"/>
              <w:sz w:val="32"/>
              <w:szCs w:val="3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HYPERLINK \l _Toc118742300_WPSOffice_Level2 </w:instrText>
          </w:r>
          <w:r>
            <w:rPr>
              <w:rFonts w:hint="eastAsia" w:ascii="楷体" w:hAnsi="楷体" w:eastAsia="楷体" w:cs="楷体"/>
              <w:b w:val="0"/>
              <w:bCs w:val="0"/>
              <w:sz w:val="32"/>
              <w:szCs w:val="32"/>
            </w:rPr>
            <w:fldChar w:fldCharType="separate"/>
          </w:r>
          <w:sdt>
            <w:sdtPr>
              <w:rPr>
                <w:rFonts w:hint="eastAsia" w:ascii="楷体" w:hAnsi="楷体" w:eastAsia="楷体" w:cs="楷体"/>
                <w:b w:val="0"/>
                <w:bCs w:val="0"/>
                <w:kern w:val="0"/>
                <w:sz w:val="32"/>
                <w:szCs w:val="32"/>
                <w:lang w:val="en-US" w:eastAsia="zh-CN" w:bidi="ar-SA"/>
              </w:rPr>
              <w:id w:val="634507801"/>
              <w:placeholder>
                <w:docPart w:val="{8e8434c7-7d13-4730-8983-a4b8197ef8dd}"/>
              </w:placeholder>
            </w:sdtPr>
            <w:sdtEndPr>
              <w:rPr>
                <w:rFonts w:hint="eastAsia" w:ascii="楷体" w:hAnsi="楷体" w:eastAsia="楷体" w:cs="楷体"/>
                <w:b w:val="0"/>
                <w:bCs w:val="0"/>
                <w:kern w:val="0"/>
                <w:sz w:val="32"/>
                <w:szCs w:val="32"/>
                <w:lang w:val="en-US" w:eastAsia="zh-CN" w:bidi="ar-SA"/>
              </w:rPr>
            </w:sdtEndPr>
            <w:sdtContent>
              <w:r>
                <w:rPr>
                  <w:rFonts w:hint="eastAsia" w:ascii="楷体" w:hAnsi="楷体" w:eastAsia="楷体" w:cs="楷体"/>
                  <w:b w:val="0"/>
                  <w:bCs w:val="0"/>
                  <w:sz w:val="32"/>
                  <w:szCs w:val="32"/>
                </w:rPr>
                <w:t>三、层层压实责任，营造良好政治生态</w:t>
              </w:r>
            </w:sdtContent>
          </w:sdt>
          <w:r>
            <w:rPr>
              <w:rFonts w:hint="eastAsia" w:ascii="楷体" w:hAnsi="楷体" w:eastAsia="楷体" w:cs="楷体"/>
              <w:b w:val="0"/>
              <w:bCs w:val="0"/>
              <w:sz w:val="32"/>
              <w:szCs w:val="32"/>
            </w:rPr>
            <w:tab/>
          </w:r>
          <w:bookmarkStart w:id="41" w:name="_Toc118742300_WPSOffice_Level2Page"/>
          <w:r>
            <w:rPr>
              <w:rFonts w:hint="eastAsia" w:ascii="楷体" w:hAnsi="楷体" w:eastAsia="楷体" w:cs="楷体"/>
              <w:b w:val="0"/>
              <w:bCs w:val="0"/>
              <w:sz w:val="32"/>
              <w:szCs w:val="32"/>
            </w:rPr>
            <w:t>30</w:t>
          </w:r>
          <w:bookmarkEnd w:id="41"/>
          <w:r>
            <w:rPr>
              <w:rFonts w:hint="eastAsia" w:ascii="楷体" w:hAnsi="楷体" w:eastAsia="楷体" w:cs="楷体"/>
              <w:b w:val="0"/>
              <w:bCs w:val="0"/>
              <w:sz w:val="32"/>
              <w:szCs w:val="32"/>
            </w:rPr>
            <w:fldChar w:fldCharType="end"/>
          </w:r>
          <w:bookmarkEnd w:id="0"/>
        </w:p>
      </w:sdtContent>
    </w:sdt>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2"/>
        <w:pageBreakBefore w:val="0"/>
        <w:kinsoku/>
        <w:wordWrap/>
        <w:overflowPunct/>
        <w:topLinePunct w:val="0"/>
        <w:autoSpaceDE/>
        <w:autoSpaceDN/>
        <w:bidi w:val="0"/>
        <w:spacing w:line="560" w:lineRule="exact"/>
        <w:textAlignment w:val="auto"/>
        <w:rPr>
          <w:rFonts w:hint="eastAsia" w:ascii="方正小标宋简体" w:hAnsi="宋体" w:eastAsia="方正小标宋简体" w:cs="宋体"/>
          <w:bCs/>
          <w:sz w:val="44"/>
          <w:szCs w:val="44"/>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bookmarkStart w:id="42" w:name="_Toc1440817424_WPSOffice_Level1"/>
      <w:r>
        <w:rPr>
          <w:rFonts w:hint="eastAsia" w:ascii="黑体" w:hAnsi="黑体" w:eastAsia="黑体" w:cs="黑体"/>
          <w:b w:val="0"/>
          <w:bCs/>
          <w:sz w:val="32"/>
          <w:szCs w:val="32"/>
        </w:rPr>
        <w:t>导  言</w:t>
      </w:r>
      <w:bookmarkEnd w:id="42"/>
    </w:p>
    <w:p>
      <w:pPr>
        <w:pageBreakBefore w:val="0"/>
        <w:kinsoku/>
        <w:wordWrap/>
        <w:overflowPunct/>
        <w:topLinePunct w:val="0"/>
        <w:autoSpaceDE/>
        <w:autoSpaceDN/>
        <w:bidi w:val="0"/>
        <w:spacing w:line="560" w:lineRule="exact"/>
        <w:textAlignment w:val="auto"/>
        <w:rPr>
          <w:rFonts w:hint="eastAsia"/>
        </w:rPr>
      </w:pPr>
    </w:p>
    <w:p>
      <w:pPr>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lang w:eastAsia="zh-CN"/>
        </w:rPr>
        <w:t>“</w:t>
      </w:r>
      <w:r>
        <w:rPr>
          <w:rFonts w:eastAsia="仿宋_GB2312"/>
          <w:sz w:val="32"/>
          <w:szCs w:val="32"/>
        </w:rPr>
        <w:t>十</w:t>
      </w:r>
      <w:r>
        <w:rPr>
          <w:rFonts w:hint="eastAsia" w:eastAsia="仿宋_GB2312"/>
          <w:sz w:val="32"/>
          <w:szCs w:val="32"/>
          <w:lang w:eastAsia="zh-CN"/>
        </w:rPr>
        <w:t>四</w:t>
      </w:r>
      <w:r>
        <w:rPr>
          <w:rFonts w:eastAsia="仿宋_GB2312"/>
          <w:sz w:val="32"/>
          <w:szCs w:val="32"/>
        </w:rPr>
        <w:t>五</w:t>
      </w:r>
      <w:r>
        <w:rPr>
          <w:rFonts w:hint="eastAsia" w:eastAsia="仿宋_GB2312"/>
          <w:sz w:val="32"/>
          <w:szCs w:val="32"/>
          <w:lang w:eastAsia="zh-CN"/>
        </w:rPr>
        <w:t>”</w:t>
      </w:r>
      <w:r>
        <w:rPr>
          <w:rFonts w:eastAsia="仿宋_GB2312"/>
          <w:sz w:val="32"/>
          <w:szCs w:val="32"/>
        </w:rPr>
        <w:t>时期，是我</w:t>
      </w:r>
      <w:r>
        <w:rPr>
          <w:rFonts w:hint="eastAsia" w:eastAsia="仿宋_GB2312"/>
          <w:sz w:val="32"/>
          <w:szCs w:val="32"/>
          <w:lang w:eastAsia="zh-CN"/>
        </w:rPr>
        <w:t>街构建现代化经济体系，加快城市化进程，发展乡村振兴的</w:t>
      </w:r>
      <w:r>
        <w:rPr>
          <w:rFonts w:eastAsia="仿宋_GB2312"/>
          <w:sz w:val="32"/>
          <w:szCs w:val="32"/>
        </w:rPr>
        <w:t>关键时期。科学编制和有效实施</w:t>
      </w:r>
      <w:r>
        <w:rPr>
          <w:rFonts w:hint="eastAsia" w:eastAsia="仿宋_GB2312"/>
          <w:sz w:val="32"/>
          <w:szCs w:val="32"/>
          <w:lang w:eastAsia="zh-CN"/>
        </w:rPr>
        <w:t>“</w:t>
      </w:r>
      <w:r>
        <w:rPr>
          <w:rFonts w:eastAsia="仿宋_GB2312"/>
          <w:sz w:val="32"/>
          <w:szCs w:val="32"/>
        </w:rPr>
        <w:t>十</w:t>
      </w:r>
      <w:r>
        <w:rPr>
          <w:rFonts w:hint="eastAsia" w:eastAsia="仿宋_GB2312"/>
          <w:sz w:val="32"/>
          <w:szCs w:val="32"/>
          <w:lang w:eastAsia="zh-CN"/>
        </w:rPr>
        <w:t>四</w:t>
      </w:r>
      <w:r>
        <w:rPr>
          <w:rFonts w:eastAsia="仿宋_GB2312"/>
          <w:sz w:val="32"/>
          <w:szCs w:val="32"/>
        </w:rPr>
        <w:t>五</w:t>
      </w:r>
      <w:r>
        <w:rPr>
          <w:rFonts w:hint="eastAsia" w:eastAsia="仿宋_GB2312"/>
          <w:sz w:val="32"/>
          <w:szCs w:val="32"/>
          <w:lang w:eastAsia="zh-CN"/>
        </w:rPr>
        <w:t>”</w:t>
      </w:r>
      <w:r>
        <w:rPr>
          <w:rFonts w:eastAsia="仿宋_GB2312"/>
          <w:sz w:val="32"/>
          <w:szCs w:val="32"/>
        </w:rPr>
        <w:t>规划，对我</w:t>
      </w:r>
      <w:r>
        <w:rPr>
          <w:rFonts w:hint="eastAsia" w:eastAsia="仿宋_GB2312"/>
          <w:sz w:val="32"/>
          <w:szCs w:val="32"/>
          <w:lang w:eastAsia="zh-CN"/>
        </w:rPr>
        <w:t>街</w:t>
      </w:r>
      <w:r>
        <w:rPr>
          <w:rFonts w:eastAsia="仿宋_GB2312"/>
          <w:sz w:val="32"/>
          <w:szCs w:val="32"/>
        </w:rPr>
        <w:t>积极抢抓多重叠加历史机遇，实现经济社会更高水平发展具有至关重要的意义。</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eastAsia="zh-CN"/>
        </w:rPr>
      </w:pPr>
      <w:r>
        <w:rPr>
          <w:rFonts w:hint="eastAsia" w:eastAsia="仿宋_GB2312"/>
          <w:sz w:val="32"/>
          <w:szCs w:val="32"/>
        </w:rPr>
        <w:t>本规划</w:t>
      </w:r>
      <w:r>
        <w:rPr>
          <w:rFonts w:hint="eastAsia" w:eastAsia="仿宋_GB2312"/>
          <w:sz w:val="32"/>
          <w:szCs w:val="32"/>
          <w:lang w:eastAsia="zh-CN"/>
        </w:rPr>
        <w:t>纲要</w:t>
      </w:r>
      <w:r>
        <w:rPr>
          <w:rFonts w:hint="eastAsia" w:eastAsia="仿宋_GB2312"/>
          <w:sz w:val="32"/>
          <w:szCs w:val="32"/>
        </w:rPr>
        <w:t>是指导</w:t>
      </w:r>
      <w:r>
        <w:rPr>
          <w:rFonts w:hint="eastAsia" w:eastAsia="仿宋_GB2312"/>
          <w:sz w:val="32"/>
          <w:szCs w:val="32"/>
          <w:lang w:eastAsia="zh-CN"/>
        </w:rPr>
        <w:t>华明街</w:t>
      </w:r>
      <w:r>
        <w:rPr>
          <w:rFonts w:hint="eastAsia" w:eastAsia="仿宋_GB2312"/>
          <w:sz w:val="32"/>
          <w:szCs w:val="32"/>
        </w:rPr>
        <w:t>“十四五”时期各项工作的行动纲领，主要阐明未来五年发展的总体思路、愿景目标、重点任务和保</w:t>
      </w:r>
      <w:r>
        <w:rPr>
          <w:rFonts w:eastAsia="仿宋_GB2312"/>
          <w:sz w:val="32"/>
          <w:szCs w:val="32"/>
        </w:rPr>
        <w:t>障措施</w:t>
      </w:r>
      <w:r>
        <w:rPr>
          <w:rFonts w:hint="eastAsia" w:eastAsia="仿宋_GB2312"/>
          <w:sz w:val="32"/>
          <w:szCs w:val="32"/>
          <w:lang w:eastAsia="zh-CN"/>
        </w:rPr>
        <w:t>，</w:t>
      </w:r>
      <w:r>
        <w:rPr>
          <w:rFonts w:eastAsia="仿宋_GB2312"/>
          <w:sz w:val="32"/>
          <w:szCs w:val="32"/>
        </w:rPr>
        <w:t>是全</w:t>
      </w:r>
      <w:r>
        <w:rPr>
          <w:rFonts w:hint="eastAsia" w:eastAsia="仿宋_GB2312"/>
          <w:sz w:val="32"/>
          <w:szCs w:val="32"/>
          <w:lang w:eastAsia="zh-CN"/>
        </w:rPr>
        <w:t>街</w:t>
      </w:r>
      <w:r>
        <w:rPr>
          <w:rFonts w:eastAsia="仿宋_GB2312"/>
          <w:sz w:val="32"/>
          <w:szCs w:val="32"/>
        </w:rPr>
        <w:t>人民共同奋斗的行动纲领</w:t>
      </w:r>
      <w:r>
        <w:rPr>
          <w:rFonts w:hint="eastAsia" w:eastAsia="仿宋_GB2312"/>
          <w:sz w:val="32"/>
          <w:szCs w:val="32"/>
          <w:lang w:eastAsia="zh-CN"/>
        </w:rPr>
        <w:t>。</w:t>
      </w: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bookmarkStart w:id="43" w:name="_Toc438047723"/>
      <w:bookmarkStart w:id="44" w:name="_Toc433812715"/>
      <w:bookmarkStart w:id="45" w:name="_Toc434487865"/>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p>
    <w:p>
      <w:pPr>
        <w:pStyle w:val="3"/>
        <w:pageBreakBefore w:val="0"/>
        <w:numPr>
          <w:ilvl w:val="0"/>
          <w:numId w:val="0"/>
        </w:numPr>
        <w:kinsoku/>
        <w:wordWrap/>
        <w:overflowPunct/>
        <w:topLinePunct w:val="0"/>
        <w:autoSpaceDE/>
        <w:autoSpaceDN/>
        <w:bidi w:val="0"/>
        <w:spacing w:line="560" w:lineRule="exact"/>
        <w:jc w:val="center"/>
        <w:textAlignment w:val="auto"/>
        <w:rPr>
          <w:rFonts w:hint="eastAsia" w:ascii="黑体" w:hAnsi="黑体" w:eastAsia="黑体" w:cs="黑体"/>
          <w:b w:val="0"/>
          <w:bCs/>
          <w:sz w:val="32"/>
          <w:szCs w:val="32"/>
        </w:rPr>
      </w:pPr>
      <w:bookmarkStart w:id="46" w:name="_Toc386911639_WPSOffice_Level1"/>
      <w:r>
        <w:rPr>
          <w:rFonts w:hint="eastAsia" w:ascii="黑体" w:hAnsi="黑体" w:eastAsia="黑体" w:cs="黑体"/>
          <w:b w:val="0"/>
          <w:bCs/>
          <w:sz w:val="32"/>
          <w:szCs w:val="32"/>
          <w:lang w:eastAsia="zh-CN"/>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发展基础和形势分析</w:t>
      </w:r>
      <w:bookmarkEnd w:id="43"/>
      <w:bookmarkEnd w:id="44"/>
      <w:bookmarkEnd w:id="45"/>
      <w:bookmarkEnd w:id="46"/>
    </w:p>
    <w:p>
      <w:pPr>
        <w:pageBreakBefore w:val="0"/>
        <w:numPr>
          <w:ilvl w:val="0"/>
          <w:numId w:val="0"/>
        </w:numPr>
        <w:kinsoku/>
        <w:wordWrap/>
        <w:overflowPunct/>
        <w:topLinePunct w:val="0"/>
        <w:autoSpaceDE/>
        <w:autoSpaceDN/>
        <w:bidi w:val="0"/>
        <w:spacing w:line="560" w:lineRule="exact"/>
        <w:textAlignment w:val="auto"/>
        <w:rPr>
          <w:rFonts w:hint="eastAsia"/>
        </w:rPr>
      </w:pPr>
    </w:p>
    <w:p>
      <w:pPr>
        <w:pStyle w:val="4"/>
        <w:pageBreakBefore w:val="0"/>
        <w:widowControl w:val="0"/>
        <w:numPr>
          <w:ilvl w:val="0"/>
          <w:numId w:val="0"/>
        </w:numPr>
        <w:kinsoku/>
        <w:wordWrap/>
        <w:overflowPunct/>
        <w:topLinePunct w:val="0"/>
        <w:autoSpaceDE/>
        <w:autoSpaceDN/>
        <w:bidi w:val="0"/>
        <w:spacing w:line="560" w:lineRule="exact"/>
        <w:ind w:leftChars="200" w:firstLine="320" w:firstLineChars="100"/>
        <w:textAlignment w:val="auto"/>
        <w:rPr>
          <w:rFonts w:ascii="Times New Roman" w:hAnsi="黑体" w:eastAsia="黑体" w:cs="Times New Roman"/>
          <w:b w:val="0"/>
          <w:color w:val="auto"/>
          <w:sz w:val="32"/>
          <w:szCs w:val="32"/>
        </w:rPr>
      </w:pPr>
      <w:bookmarkStart w:id="47" w:name="_Toc433812716"/>
      <w:bookmarkStart w:id="48" w:name="_Toc386911639_WPSOffice_Level2"/>
      <w:bookmarkStart w:id="49" w:name="_Toc434487866"/>
      <w:bookmarkStart w:id="50" w:name="_Toc438047724"/>
      <w:r>
        <w:rPr>
          <w:rFonts w:hint="eastAsia" w:ascii="Times New Roman" w:hAnsi="Times New Roman" w:eastAsia="黑体" w:cs="Times New Roman"/>
          <w:b w:val="0"/>
          <w:color w:val="auto"/>
          <w:sz w:val="32"/>
          <w:szCs w:val="32"/>
          <w:lang w:eastAsia="zh-CN"/>
        </w:rPr>
        <w:t>一、</w:t>
      </w:r>
      <w:r>
        <w:rPr>
          <w:rFonts w:ascii="Times New Roman" w:hAnsi="Times New Roman" w:eastAsia="黑体" w:cs="Times New Roman"/>
          <w:b w:val="0"/>
          <w:color w:val="auto"/>
          <w:sz w:val="32"/>
          <w:szCs w:val="32"/>
        </w:rPr>
        <w:t>“</w:t>
      </w:r>
      <w:r>
        <w:rPr>
          <w:rFonts w:ascii="Times New Roman" w:hAnsi="黑体" w:eastAsia="黑体" w:cs="Times New Roman"/>
          <w:b w:val="0"/>
          <w:color w:val="auto"/>
          <w:sz w:val="32"/>
          <w:szCs w:val="32"/>
        </w:rPr>
        <w:t>十</w:t>
      </w:r>
      <w:r>
        <w:rPr>
          <w:rFonts w:hint="eastAsia" w:ascii="Times New Roman" w:hAnsi="黑体" w:eastAsia="黑体" w:cs="Times New Roman"/>
          <w:b w:val="0"/>
          <w:color w:val="auto"/>
          <w:sz w:val="32"/>
          <w:szCs w:val="32"/>
          <w:lang w:eastAsia="zh-CN"/>
        </w:rPr>
        <w:t>三</w:t>
      </w:r>
      <w:r>
        <w:rPr>
          <w:rFonts w:ascii="Times New Roman" w:hAnsi="黑体" w:eastAsia="黑体" w:cs="Times New Roman"/>
          <w:b w:val="0"/>
          <w:color w:val="auto"/>
          <w:sz w:val="32"/>
          <w:szCs w:val="32"/>
        </w:rPr>
        <w:t>五</w:t>
      </w:r>
      <w:r>
        <w:rPr>
          <w:rFonts w:ascii="Times New Roman" w:hAnsi="Times New Roman" w:eastAsia="黑体" w:cs="Times New Roman"/>
          <w:b w:val="0"/>
          <w:color w:val="auto"/>
          <w:sz w:val="32"/>
          <w:szCs w:val="32"/>
        </w:rPr>
        <w:t>”</w:t>
      </w:r>
      <w:r>
        <w:rPr>
          <w:rFonts w:ascii="Times New Roman" w:hAnsi="黑体" w:eastAsia="黑体" w:cs="Times New Roman"/>
          <w:b w:val="0"/>
          <w:color w:val="auto"/>
          <w:sz w:val="32"/>
          <w:szCs w:val="32"/>
        </w:rPr>
        <w:t>规划实施情况</w:t>
      </w:r>
      <w:bookmarkEnd w:id="47"/>
      <w:bookmarkEnd w:id="48"/>
      <w:bookmarkEnd w:id="49"/>
      <w:bookmarkEnd w:id="50"/>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产业结构进一步优化。坚持以结构调整为主线，三次产业结构达到0.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，服务业比重比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末提高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个百分点。战略性新兴产业加快集聚，优势主导产业快速提升，工业总产值突破</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亿元，高端装备制造、生物医药、新材料等战略性新兴产业占工业总量比重达到38.1%，比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末提高</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个百分点。现代服务业发展壮大</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电商、</w:t>
      </w:r>
      <w:r>
        <w:rPr>
          <w:rFonts w:hint="eastAsia" w:ascii="仿宋_GB2312" w:hAnsi="仿宋_GB2312" w:eastAsia="仿宋_GB2312" w:cs="仿宋_GB2312"/>
          <w:sz w:val="32"/>
          <w:szCs w:val="32"/>
          <w:lang w:eastAsia="zh-CN"/>
        </w:rPr>
        <w:t>生物医药</w:t>
      </w:r>
      <w:r>
        <w:rPr>
          <w:rFonts w:hint="eastAsia" w:ascii="仿宋_GB2312" w:hAnsi="仿宋_GB2312" w:eastAsia="仿宋_GB2312" w:cs="仿宋_GB2312"/>
          <w:sz w:val="32"/>
          <w:szCs w:val="32"/>
        </w:rPr>
        <w:t>等业态发展迅猛，</w:t>
      </w:r>
      <w:r>
        <w:rPr>
          <w:rFonts w:hint="eastAsia" w:ascii="仿宋_GB2312" w:hAnsi="仿宋_GB2312" w:eastAsia="仿宋_GB2312" w:cs="仿宋_GB2312"/>
          <w:sz w:val="32"/>
          <w:szCs w:val="32"/>
          <w:lang w:eastAsia="zh-CN"/>
        </w:rPr>
        <w:t>社零额</w:t>
      </w:r>
      <w:r>
        <w:rPr>
          <w:rFonts w:hint="eastAsia" w:ascii="仿宋_GB2312" w:hAnsi="仿宋_GB2312" w:eastAsia="仿宋_GB2312" w:cs="仿宋_GB2312"/>
          <w:sz w:val="32"/>
          <w:szCs w:val="32"/>
        </w:rPr>
        <w:t>突破</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亿元。特色农业快速发展，花卉、设施蔬菜、</w:t>
      </w:r>
      <w:r>
        <w:rPr>
          <w:rFonts w:hint="eastAsia" w:ascii="仿宋_GB2312" w:hAnsi="仿宋_GB2312" w:eastAsia="仿宋_GB2312" w:cs="仿宋_GB2312"/>
          <w:sz w:val="32"/>
          <w:szCs w:val="32"/>
          <w:lang w:eastAsia="zh-CN"/>
        </w:rPr>
        <w:t>畜牧业</w:t>
      </w:r>
      <w:r>
        <w:rPr>
          <w:rFonts w:hint="eastAsia" w:ascii="仿宋_GB2312" w:hAnsi="仿宋_GB2312" w:eastAsia="仿宋_GB2312" w:cs="仿宋_GB2312"/>
          <w:sz w:val="32"/>
          <w:szCs w:val="32"/>
        </w:rPr>
        <w:t>等产业成为农业重要支柱，占农业总产值的60%，</w:t>
      </w:r>
      <w:r>
        <w:rPr>
          <w:rFonts w:hint="eastAsia" w:ascii="仿宋_GB2312" w:hAnsi="仿宋_GB2312" w:eastAsia="仿宋_GB2312" w:cs="仿宋_GB2312"/>
          <w:sz w:val="32"/>
          <w:szCs w:val="32"/>
          <w:lang w:eastAsia="zh-CN"/>
        </w:rPr>
        <w:t>胡张庄葡萄</w:t>
      </w:r>
      <w:r>
        <w:rPr>
          <w:rFonts w:hint="eastAsia" w:ascii="仿宋_GB2312" w:hAnsi="仿宋_GB2312" w:eastAsia="仿宋_GB2312" w:cs="仿宋_GB2312"/>
          <w:sz w:val="32"/>
          <w:szCs w:val="32"/>
        </w:rPr>
        <w:t>成为</w:t>
      </w:r>
      <w:r>
        <w:rPr>
          <w:rFonts w:hint="eastAsia" w:ascii="仿宋_GB2312" w:hAnsi="仿宋_GB2312" w:eastAsia="仿宋_GB2312" w:cs="仿宋_GB2312"/>
          <w:sz w:val="32"/>
          <w:szCs w:val="32"/>
          <w:lang w:eastAsia="zh-CN"/>
        </w:rPr>
        <w:t>设施农业发展典范</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科技创新进一步提高。</w:t>
      </w:r>
      <w:r>
        <w:rPr>
          <w:rFonts w:hint="eastAsia" w:ascii="仿宋_GB2312" w:hAnsi="仿宋_GB2312" w:eastAsia="仿宋_GB2312" w:cs="仿宋_GB2312"/>
          <w:color w:val="auto"/>
          <w:sz w:val="32"/>
          <w:szCs w:val="32"/>
          <w:lang w:eastAsia="zh-CN"/>
        </w:rPr>
        <w:t>推动科研机构提质增效，</w:t>
      </w:r>
      <w:r>
        <w:rPr>
          <w:rFonts w:hint="eastAsia" w:ascii="仿宋_GB2312" w:hAnsi="仿宋_GB2312" w:eastAsia="仿宋_GB2312" w:cs="仿宋_GB2312"/>
          <w:color w:val="auto"/>
          <w:sz w:val="32"/>
          <w:szCs w:val="32"/>
        </w:rPr>
        <w:t>创新主体力量日益壮大，国家级高新技术企业年均增速超过20%，达到104家，培育国家科技中小企业118家，雏鹰企业72家，瞪羚企业8家。2020年，华明</w:t>
      </w:r>
      <w:r>
        <w:rPr>
          <w:rFonts w:hint="eastAsia" w:ascii="仿宋_GB2312" w:hAnsi="仿宋_GB2312" w:eastAsia="仿宋_GB2312" w:cs="仿宋_GB2312"/>
          <w:color w:val="auto"/>
          <w:sz w:val="32"/>
          <w:szCs w:val="32"/>
          <w:lang w:eastAsia="zh-CN"/>
        </w:rPr>
        <w:t>街</w:t>
      </w:r>
      <w:r>
        <w:rPr>
          <w:rFonts w:hint="eastAsia" w:ascii="仿宋_GB2312" w:hAnsi="仿宋_GB2312" w:eastAsia="仿宋_GB2312" w:cs="仿宋_GB2312"/>
          <w:color w:val="auto"/>
          <w:sz w:val="32"/>
          <w:szCs w:val="32"/>
        </w:rPr>
        <w:t>国家级高新技术企业、国家科技中小企业、雏鹰企业、瞪羚企业拥有量分别占东丽区总数的27.2%、22.4%、26.6%和40%，已经成为东丽区创新主体集聚高地，并涌现出一批新兴业态，显露新经济发展潜力优势。</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lang w:eastAsia="zh-CN"/>
        </w:rPr>
        <w:t>获批天津市知识产权特色小镇，国家知识产权试点园区</w:t>
      </w:r>
      <w:r>
        <w:rPr>
          <w:rFonts w:hint="eastAsia" w:ascii="仿宋_GB2312" w:hAnsi="仿宋_GB2312" w:eastAsia="仿宋_GB2312" w:cs="仿宋_GB2312"/>
          <w:color w:val="auto"/>
          <w:sz w:val="32"/>
          <w:szCs w:val="32"/>
        </w:rPr>
        <w:t>。持续推动双创载体建设提质，拥有国家级孵化载体5家、市级孵化载体3家，较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十二五末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新增3家，孵化面积达到7.76万平方米，引进孵化企业517家。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城市建设进一步加快。坚持以城市化建设为龙头，实施全面城市化战略，全力推动拆迁工作。全街完成拆迁</w:t>
      </w:r>
      <w:r>
        <w:rPr>
          <w:rFonts w:hint="eastAsia" w:ascii="仿宋_GB2312" w:hAnsi="仿宋_GB2312" w:eastAsia="仿宋_GB2312" w:cs="仿宋_GB2312"/>
          <w:color w:val="auto"/>
          <w:sz w:val="32"/>
          <w:szCs w:val="32"/>
          <w:lang w:val="en-US" w:eastAsia="zh-CN"/>
        </w:rPr>
        <w:t>100余</w:t>
      </w:r>
      <w:r>
        <w:rPr>
          <w:rFonts w:hint="eastAsia" w:ascii="仿宋_GB2312" w:hAnsi="仿宋_GB2312" w:eastAsia="仿宋_GB2312" w:cs="仿宋_GB2312"/>
          <w:color w:val="auto"/>
          <w:sz w:val="32"/>
          <w:szCs w:val="32"/>
        </w:rPr>
        <w:t>万平米，滞留户三个村7户完成清零任务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矽谷港湾拆除违建11418平米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完成赤土51个大坑和北环铁路旁3000米深沟的整改；推动傲绿公司52个闲置大棚整改，通过对外招租方式恢复大棚种植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精心实施</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大工程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改造二类公厕1座，新建一类公厕1座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启动示范镇高层消防设施设备维修工程（坤园、香园、春庭、绿庭系统）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完成永和路人行道及道路两侧建筑综合整治工程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个党群服务中心的硬装和软装工作</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空客还迁区高层住宅129部电梯大修项目</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启动还迁房综合整治工程，</w:t>
      </w:r>
      <w:r>
        <w:rPr>
          <w:rFonts w:hint="default" w:ascii="仿宋_GB2312" w:hAnsi="仿宋_GB2312" w:eastAsia="仿宋_GB2312" w:cs="仿宋_GB2312"/>
          <w:color w:val="auto"/>
          <w:sz w:val="32"/>
          <w:szCs w:val="32"/>
        </w:rPr>
        <w:t>涉及50个园区、490 栋住宅楼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完成漏雨维修、电梯维修、外檐及地下室维修、</w:t>
      </w:r>
      <w:r>
        <w:rPr>
          <w:rFonts w:hint="eastAsia" w:ascii="仿宋_GB2312" w:hAnsi="仿宋_GB2312" w:eastAsia="仿宋_GB2312" w:cs="仿宋_GB2312"/>
          <w:color w:val="auto"/>
          <w:sz w:val="32"/>
          <w:szCs w:val="32"/>
        </w:rPr>
        <w:t>更换雨水管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改造小区排水管道</w:t>
      </w:r>
      <w:r>
        <w:rPr>
          <w:rFonts w:hint="eastAsia" w:ascii="仿宋_GB2312" w:hAnsi="仿宋_GB2312" w:eastAsia="仿宋_GB2312" w:cs="仿宋_GB2312"/>
          <w:color w:val="auto"/>
          <w:sz w:val="32"/>
          <w:szCs w:val="32"/>
          <w:lang w:val="en-US" w:eastAsia="zh-CN"/>
        </w:rPr>
        <w:t>等工程。</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w:t>
      </w:r>
      <w:r>
        <w:rPr>
          <w:rFonts w:hint="eastAsia" w:ascii="仿宋_GB2312" w:hAnsi="仿宋_GB2312" w:eastAsia="仿宋_GB2312" w:cs="仿宋_GB2312"/>
          <w:sz w:val="32"/>
          <w:szCs w:val="32"/>
          <w:lang w:val="en-US" w:eastAsia="zh-CN"/>
        </w:rPr>
        <w:t>环境进一步提升。积极践行绿水青山就是金山银山的理念，不断加大环境监管、治理力度。大气质量不断优化。强化环境卫生管理，在全区</w:t>
      </w:r>
      <w:r>
        <w:rPr>
          <w:rFonts w:hint="default" w:ascii="仿宋_GB2312" w:hAnsi="仿宋_GB2312" w:eastAsia="仿宋_GB2312" w:cs="仿宋_GB2312"/>
          <w:sz w:val="32"/>
          <w:szCs w:val="32"/>
          <w:lang w:val="en-US" w:eastAsia="zh-CN"/>
        </w:rPr>
        <w:t>率先完成与一体化公司的交接</w:t>
      </w:r>
      <w:r>
        <w:rPr>
          <w:rFonts w:hint="eastAsia" w:ascii="仿宋_GB2312" w:hAnsi="仿宋_GB2312" w:eastAsia="仿宋_GB2312" w:cs="仿宋_GB2312"/>
          <w:sz w:val="32"/>
          <w:szCs w:val="32"/>
          <w:lang w:val="en-US" w:eastAsia="zh-CN"/>
        </w:rPr>
        <w:t>，加大道路扫保频次，做到对辖区内主干道路及重点点位机扫、水洗。</w:t>
      </w:r>
      <w:r>
        <w:rPr>
          <w:rFonts w:hint="default" w:ascii="仿宋_GB2312" w:hAnsi="仿宋_GB2312" w:eastAsia="仿宋_GB2312" w:cs="仿宋_GB2312"/>
          <w:sz w:val="32"/>
          <w:szCs w:val="32"/>
          <w:lang w:val="en-US" w:eastAsia="zh-CN"/>
        </w:rPr>
        <w:t>推广社区垃圾分类，</w:t>
      </w:r>
      <w:r>
        <w:rPr>
          <w:rFonts w:hint="eastAsia" w:ascii="仿宋_GB2312" w:hAnsi="仿宋_GB2312" w:eastAsia="仿宋_GB2312" w:cs="仿宋_GB2312"/>
          <w:sz w:val="32"/>
          <w:szCs w:val="32"/>
          <w:lang w:val="en-US" w:eastAsia="zh-CN"/>
        </w:rPr>
        <w:t>在10</w:t>
      </w:r>
      <w:r>
        <w:rPr>
          <w:rFonts w:hint="default" w:ascii="仿宋_GB2312" w:hAnsi="仿宋_GB2312" w:eastAsia="仿宋_GB2312" w:cs="仿宋_GB2312"/>
          <w:sz w:val="32"/>
          <w:szCs w:val="32"/>
          <w:lang w:val="en-US" w:eastAsia="zh-CN"/>
        </w:rPr>
        <w:t>个小区安装智能四分类垃圾箱</w:t>
      </w:r>
      <w:r>
        <w:rPr>
          <w:rFonts w:hint="eastAsia" w:ascii="仿宋_GB2312" w:hAnsi="仿宋_GB2312" w:eastAsia="仿宋_GB2312" w:cs="仿宋_GB2312"/>
          <w:sz w:val="32"/>
          <w:szCs w:val="32"/>
          <w:lang w:val="en-US" w:eastAsia="zh-CN"/>
        </w:rPr>
        <w:t>，全年清理各类垃圾2060余吨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加大市容环境整治力度，清理乱停乱放共享单车、僵尸车；重点清理老村台环境问题，对堆放垃圾、杂草、垃圾池、旱厕等问题进行整改，乡村面貌极大改善。</w:t>
      </w:r>
      <w:r>
        <w:rPr>
          <w:rFonts w:hint="default" w:ascii="仿宋_GB2312" w:hAnsi="仿宋_GB2312" w:eastAsia="仿宋_GB2312" w:cs="仿宋_GB2312"/>
          <w:sz w:val="32"/>
          <w:szCs w:val="32"/>
          <w:lang w:val="en-US" w:eastAsia="zh-CN"/>
        </w:rPr>
        <w:t>持续开展露天焚烧、施工工地、渣土运输等专项治理，从严从重处罚环境污染行为</w:t>
      </w:r>
      <w:r>
        <w:rPr>
          <w:rFonts w:hint="eastAsia" w:ascii="仿宋_GB2312" w:hAnsi="仿宋_GB2312" w:eastAsia="仿宋_GB2312" w:cs="仿宋_GB2312"/>
          <w:sz w:val="32"/>
          <w:szCs w:val="32"/>
          <w:lang w:val="en-US" w:eastAsia="zh-CN"/>
        </w:rPr>
        <w:t>。落实河湖长制，加强市区级河道巡查，清理垃圾、扣押船只以及打捞水面漂浮物，起获销毁各种网具，全街河道断面水质、水生态、水环境面貌明显改善，基本实现“水清、河畅、岸绿、生态”的目标，人民群众对河道水环境的满意度进一步提高。</w:t>
      </w:r>
    </w:p>
    <w:p>
      <w:pPr>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民计民生进一步改善。为民意识明显增强，社会事业持续向好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将“以人民为中心”贯彻工作始终，持之以恒保障和改善民生，</w:t>
      </w:r>
      <w:r>
        <w:rPr>
          <w:rFonts w:hint="eastAsia" w:ascii="仿宋_GB2312" w:hAnsi="仿宋_GB2312" w:eastAsia="仿宋_GB2312" w:cs="仿宋_GB2312"/>
          <w:sz w:val="32"/>
          <w:szCs w:val="32"/>
          <w:lang w:val="en-US"/>
        </w:rPr>
        <w:t>让群众得到更多实惠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唐雅苑、雪优花园、茗润轩三个菜市场，惠及13个社区、3万居民。坚持文化惠民，充分利用街道社区资源，建设华明特色文化项目，第四社区书法、第一社区戏曲等已成为华明文化特色名片，结合春节、中秋等传统节日及建国70周年等重大时间节点举办书法展示、戏曲展演、文艺演出、健身舞展示等文化盛会近50场。推动全民健身工作，举办全民健步行等各类文体活动百余场，</w:t>
      </w:r>
      <w:r>
        <w:rPr>
          <w:rFonts w:hint="eastAsia" w:ascii="仿宋_GB2312" w:hAnsi="仿宋_GB2312" w:eastAsia="仿宋_GB2312" w:cs="仿宋_GB2312"/>
          <w:sz w:val="32"/>
          <w:szCs w:val="32"/>
          <w:lang w:eastAsia="zh-CN"/>
        </w:rPr>
        <w:t>“十三五”期间，</w:t>
      </w:r>
      <w:r>
        <w:rPr>
          <w:rFonts w:hint="eastAsia" w:ascii="仿宋_GB2312" w:hAnsi="仿宋_GB2312" w:eastAsia="仿宋_GB2312" w:cs="仿宋_GB2312"/>
          <w:sz w:val="32"/>
          <w:szCs w:val="32"/>
        </w:rPr>
        <w:t>新建20个园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更新9个园，</w:t>
      </w:r>
      <w:r>
        <w:rPr>
          <w:rFonts w:hint="eastAsia" w:ascii="仿宋_GB2312" w:hAnsi="仿宋_GB2312" w:eastAsia="仿宋_GB2312" w:cs="仿宋_GB2312"/>
          <w:sz w:val="32"/>
          <w:szCs w:val="32"/>
          <w:lang w:eastAsia="zh-CN"/>
        </w:rPr>
        <w:t>新建更新</w:t>
      </w:r>
      <w:r>
        <w:rPr>
          <w:rFonts w:hint="eastAsia" w:ascii="仿宋_GB2312" w:hAnsi="仿宋_GB2312" w:eastAsia="仿宋_GB2312" w:cs="仿宋_GB2312"/>
          <w:sz w:val="32"/>
          <w:szCs w:val="32"/>
        </w:rPr>
        <w:t>器械468件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开展无证幼儿园整改提升专项治理，备案民办托幼点39所，关停10所，完成39所民办托幼点三级监控安装和调试。</w:t>
      </w:r>
      <w:r>
        <w:rPr>
          <w:rFonts w:hint="default"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lang w:val="en-US" w:eastAsia="zh-CN"/>
        </w:rPr>
        <w:t>“一老一小”</w:t>
      </w:r>
      <w:r>
        <w:rPr>
          <w:rFonts w:hint="default" w:ascii="仿宋_GB2312" w:hAnsi="仿宋_GB2312" w:eastAsia="仿宋_GB2312" w:cs="仿宋_GB2312"/>
          <w:sz w:val="32"/>
          <w:szCs w:val="32"/>
          <w:lang w:val="en-US" w:eastAsia="zh-CN"/>
        </w:rPr>
        <w:t>和特殊困难人员生活保障，</w:t>
      </w:r>
      <w:r>
        <w:rPr>
          <w:rFonts w:hint="eastAsia" w:ascii="仿宋_GB2312" w:hAnsi="仿宋_GB2312" w:eastAsia="仿宋_GB2312" w:cs="仿宋_GB2312"/>
          <w:sz w:val="32"/>
          <w:szCs w:val="32"/>
          <w:lang w:val="en-US" w:eastAsia="zh-CN"/>
        </w:rPr>
        <w:t>为434人建立台账，实行分类、动态管理。打好稳就业、保就业、促就业组合拳，“十三五”</w:t>
      </w:r>
      <w:r>
        <w:rPr>
          <w:rFonts w:hint="default" w:ascii="仿宋_GB2312" w:hAnsi="仿宋_GB2312" w:eastAsia="仿宋_GB2312" w:cs="仿宋_GB2312"/>
          <w:sz w:val="32"/>
          <w:szCs w:val="32"/>
          <w:lang w:val="en-US" w:eastAsia="zh-CN"/>
        </w:rPr>
        <w:t>实现新增</w:t>
      </w:r>
      <w:r>
        <w:rPr>
          <w:rFonts w:hint="eastAsia" w:ascii="仿宋_GB2312" w:hAnsi="仿宋_GB2312" w:eastAsia="仿宋_GB2312" w:cs="仿宋_GB2312"/>
          <w:sz w:val="32"/>
          <w:szCs w:val="32"/>
          <w:lang w:val="en-US" w:eastAsia="zh-CN"/>
        </w:rPr>
        <w:t>本地</w:t>
      </w:r>
      <w:r>
        <w:rPr>
          <w:rFonts w:hint="default" w:ascii="仿宋_GB2312" w:hAnsi="仿宋_GB2312" w:eastAsia="仿宋_GB2312" w:cs="仿宋_GB2312"/>
          <w:sz w:val="32"/>
          <w:szCs w:val="32"/>
          <w:lang w:val="en-US" w:eastAsia="zh-CN"/>
        </w:rPr>
        <w:t>就业</w:t>
      </w:r>
      <w:r>
        <w:rPr>
          <w:rFonts w:hint="eastAsia" w:ascii="仿宋_GB2312" w:hAnsi="仿宋_GB2312" w:eastAsia="仿宋_GB2312" w:cs="仿宋_GB2312"/>
          <w:sz w:val="32"/>
          <w:szCs w:val="32"/>
          <w:lang w:val="en-US" w:eastAsia="zh-CN"/>
        </w:rPr>
        <w:t>8835</w:t>
      </w:r>
      <w:r>
        <w:rPr>
          <w:rFonts w:hint="default" w:ascii="仿宋_GB2312" w:hAnsi="仿宋_GB2312" w:eastAsia="仿宋_GB2312" w:cs="仿宋_GB2312"/>
          <w:sz w:val="32"/>
          <w:szCs w:val="32"/>
          <w:lang w:val="en-US" w:eastAsia="zh-CN"/>
        </w:rPr>
        <w:t>人。</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层治理水平进一步细化。扎实推进“智慧党建引领智慧社会建设”。突出党建龙头引领作用，完成街道和社区两级平台的人员组织架构、硬件设施配备，推进18个基层党群服务中心标准化建设。推动全域网格化管理，将网格向农区和工业园区延伸，全域划分190个网格，覆盖率达到100%。2020年，围绕有效破解“社区之表、农村之实”问题，全年处置案件8475件，按期办结率87.6%，基本实现小问题不出社区。平安华明建设不断深化，开展“雪亮工程”，实现第一至第七社区视频点位全覆盖，组织平安志愿者800余人次开展专项治安巡控活动。推进“双百行动”，调处化解各类矛盾纠纷和不稳定因素80余起。安全生产不断强化</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推进网格化监管工作长效化，实现安全生产监管工作全覆盖，通过开展各类安全生产和消防安全专项整治行动，共计查找隐患756处，完成整改733处，建成9个微型消防站，完成消防车通道标志线施划等。</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rPr>
        <w:t>回顾“十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rPr>
        <w:t>五”发展历</w:t>
      </w:r>
      <w:r>
        <w:rPr>
          <w:rFonts w:hint="eastAsia" w:ascii="仿宋_GB2312" w:hAnsi="仿宋_GB2312" w:eastAsia="仿宋_GB2312" w:cs="仿宋_GB2312"/>
          <w:sz w:val="32"/>
          <w:szCs w:val="32"/>
        </w:rPr>
        <w:t>程，成绩取得来之不易，更为我们积累了宝贵经验。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时期，我</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经济社会发展中的一些矛盾和问题依然突出。一是</w:t>
      </w:r>
      <w:r>
        <w:rPr>
          <w:rFonts w:hint="eastAsia" w:ascii="仿宋_GB2312" w:hAnsi="仿宋_GB2312" w:eastAsia="仿宋_GB2312" w:cs="仿宋_GB2312"/>
          <w:sz w:val="32"/>
          <w:szCs w:val="32"/>
          <w:lang w:eastAsia="zh-CN"/>
        </w:rPr>
        <w:t>城市化发展还不够彻底</w:t>
      </w:r>
      <w:r>
        <w:rPr>
          <w:rFonts w:hint="eastAsia" w:ascii="仿宋_GB2312" w:hAnsi="仿宋_GB2312" w:eastAsia="仿宋_GB2312" w:cs="仿宋_GB2312"/>
          <w:sz w:val="32"/>
          <w:szCs w:val="32"/>
        </w:rPr>
        <w:t>，基础设施配套和城市管理水平仍需同步提升。二是经济转型压力较大，科技创新引领、新兴产业壮大、传统产业提升仍需同步加快。三</w:t>
      </w:r>
      <w:r>
        <w:rPr>
          <w:rFonts w:hint="eastAsia" w:ascii="仿宋_GB2312" w:hAnsi="仿宋_GB2312" w:eastAsia="仿宋_GB2312" w:cs="仿宋_GB2312"/>
          <w:color w:val="auto"/>
          <w:sz w:val="32"/>
          <w:szCs w:val="32"/>
        </w:rPr>
        <w:t>是资源环境约束严峻，资源节约环境保护和生态绿化建设仍需同步加强。四是</w:t>
      </w:r>
      <w:r>
        <w:rPr>
          <w:rFonts w:hint="eastAsia" w:ascii="仿宋_GB2312" w:hAnsi="仿宋_GB2312" w:eastAsia="仿宋_GB2312" w:cs="仿宋_GB2312"/>
          <w:color w:val="auto"/>
          <w:sz w:val="32"/>
          <w:szCs w:val="32"/>
          <w:lang w:eastAsia="zh-CN"/>
        </w:rPr>
        <w:t>城市化历史遗留问题较多，债务风险较大。五是</w:t>
      </w:r>
      <w:r>
        <w:rPr>
          <w:rFonts w:hint="eastAsia" w:ascii="仿宋_GB2312" w:hAnsi="仿宋_GB2312" w:eastAsia="仿宋_GB2312" w:cs="仿宋_GB2312"/>
          <w:color w:val="auto"/>
          <w:sz w:val="32"/>
          <w:szCs w:val="32"/>
        </w:rPr>
        <w:t>公共服务设施不够均衡，服务能力和服务水平仍需同步提高。</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黑体" w:eastAsia="黑体" w:cs="Times New Roman"/>
          <w:b w:val="0"/>
          <w:sz w:val="32"/>
          <w:szCs w:val="32"/>
        </w:rPr>
      </w:pPr>
      <w:bookmarkStart w:id="51" w:name="_Toc438047725"/>
      <w:bookmarkStart w:id="52" w:name="_Toc462917674_WPSOffice_Level2"/>
      <w:bookmarkStart w:id="53" w:name="_Toc433812717"/>
      <w:bookmarkStart w:id="54" w:name="_Toc434487867"/>
      <w:r>
        <w:rPr>
          <w:rFonts w:ascii="Times New Roman" w:hAnsi="黑体" w:eastAsia="黑体" w:cs="Times New Roman"/>
          <w:b w:val="0"/>
          <w:sz w:val="32"/>
          <w:szCs w:val="32"/>
        </w:rPr>
        <w:t>二、</w:t>
      </w:r>
      <w:r>
        <w:rPr>
          <w:rFonts w:hint="eastAsia" w:ascii="Times New Roman" w:hAnsi="Times New Roman" w:eastAsia="黑体" w:cs="Times New Roman"/>
          <w:b w:val="0"/>
          <w:sz w:val="32"/>
          <w:szCs w:val="32"/>
          <w:lang w:eastAsia="zh-CN"/>
        </w:rPr>
        <w:t>“</w:t>
      </w:r>
      <w:r>
        <w:rPr>
          <w:rFonts w:ascii="Times New Roman" w:hAnsi="黑体" w:eastAsia="黑体" w:cs="Times New Roman"/>
          <w:b w:val="0"/>
          <w:sz w:val="32"/>
          <w:szCs w:val="32"/>
        </w:rPr>
        <w:t>十</w:t>
      </w:r>
      <w:r>
        <w:rPr>
          <w:rFonts w:hint="eastAsia" w:ascii="Times New Roman" w:hAnsi="黑体" w:eastAsia="黑体" w:cs="Times New Roman"/>
          <w:b w:val="0"/>
          <w:sz w:val="32"/>
          <w:szCs w:val="32"/>
          <w:lang w:eastAsia="zh-CN"/>
        </w:rPr>
        <w:t>四</w:t>
      </w:r>
      <w:r>
        <w:rPr>
          <w:rFonts w:ascii="Times New Roman" w:hAnsi="黑体" w:eastAsia="黑体" w:cs="Times New Roman"/>
          <w:b w:val="0"/>
          <w:sz w:val="32"/>
          <w:szCs w:val="32"/>
        </w:rPr>
        <w:t>五</w:t>
      </w:r>
      <w:r>
        <w:rPr>
          <w:rFonts w:hint="eastAsia" w:ascii="Times New Roman" w:hAnsi="Times New Roman" w:eastAsia="黑体" w:cs="Times New Roman"/>
          <w:b w:val="0"/>
          <w:sz w:val="32"/>
          <w:szCs w:val="32"/>
          <w:lang w:eastAsia="zh-CN"/>
        </w:rPr>
        <w:t>”</w:t>
      </w:r>
      <w:r>
        <w:rPr>
          <w:rFonts w:ascii="Times New Roman" w:hAnsi="黑体" w:eastAsia="黑体" w:cs="Times New Roman"/>
          <w:b w:val="0"/>
          <w:sz w:val="32"/>
          <w:szCs w:val="32"/>
        </w:rPr>
        <w:t>时期面临的形势</w:t>
      </w:r>
      <w:bookmarkEnd w:id="51"/>
      <w:bookmarkEnd w:id="52"/>
      <w:bookmarkEnd w:id="53"/>
      <w:bookmarkEnd w:id="54"/>
    </w:p>
    <w:p>
      <w:pPr>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“十四五”时期是我国全面建设社会主义现代化强国新征程的重要开端，也是我国第二个百年奋斗目标的重要时期和实施创新强国阶段的</w:t>
      </w:r>
      <w:r>
        <w:rPr>
          <w:rFonts w:hint="eastAsia" w:eastAsia="仿宋_GB2312"/>
          <w:sz w:val="32"/>
          <w:szCs w:val="32"/>
          <w:lang w:eastAsia="zh-CN"/>
        </w:rPr>
        <w:t>重要</w:t>
      </w:r>
      <w:r>
        <w:rPr>
          <w:rFonts w:hint="eastAsia" w:eastAsia="仿宋_GB2312"/>
          <w:sz w:val="32"/>
          <w:szCs w:val="32"/>
        </w:rPr>
        <w:t>时期。面对世界迈入新经济发展加速、我国经济向高质量发展转变等国际国内发展环境的深刻变化，华明</w:t>
      </w:r>
      <w:r>
        <w:rPr>
          <w:rFonts w:hint="eastAsia" w:eastAsia="仿宋_GB2312"/>
          <w:sz w:val="32"/>
          <w:szCs w:val="32"/>
          <w:lang w:eastAsia="zh-CN"/>
        </w:rPr>
        <w:t>街将</w:t>
      </w:r>
      <w:r>
        <w:rPr>
          <w:rFonts w:hint="eastAsia" w:eastAsia="仿宋_GB2312"/>
          <w:sz w:val="32"/>
          <w:szCs w:val="32"/>
        </w:rPr>
        <w:t>顺</w:t>
      </w:r>
      <w:r>
        <w:rPr>
          <w:rFonts w:hint="eastAsia" w:eastAsia="仿宋_GB2312"/>
          <w:sz w:val="32"/>
          <w:szCs w:val="32"/>
          <w:lang w:eastAsia="zh-CN"/>
        </w:rPr>
        <w:t>应国内经济大循环为主，国际国内双循环相互促进的发展格局，借助京津冀</w:t>
      </w:r>
      <w:r>
        <w:rPr>
          <w:rFonts w:hint="eastAsia" w:eastAsia="仿宋_GB2312"/>
          <w:sz w:val="32"/>
          <w:szCs w:val="32"/>
        </w:rPr>
        <w:t>发展之</w:t>
      </w:r>
      <w:r>
        <w:rPr>
          <w:rFonts w:hint="eastAsia" w:eastAsia="仿宋_GB2312"/>
          <w:sz w:val="32"/>
          <w:szCs w:val="32"/>
          <w:lang w:eastAsia="zh-CN"/>
        </w:rPr>
        <w:t>机</w:t>
      </w:r>
      <w:r>
        <w:rPr>
          <w:rFonts w:hint="eastAsia" w:eastAsia="仿宋_GB2312"/>
          <w:sz w:val="32"/>
          <w:szCs w:val="32"/>
        </w:rPr>
        <w:t>，谋</w:t>
      </w:r>
      <w:r>
        <w:rPr>
          <w:rFonts w:hint="eastAsia" w:eastAsia="仿宋_GB2312"/>
          <w:sz w:val="32"/>
          <w:szCs w:val="32"/>
          <w:lang w:eastAsia="zh-CN"/>
        </w:rPr>
        <w:t>华明街</w:t>
      </w:r>
      <w:r>
        <w:rPr>
          <w:rFonts w:hint="eastAsia" w:eastAsia="仿宋_GB2312"/>
          <w:sz w:val="32"/>
          <w:szCs w:val="32"/>
        </w:rPr>
        <w:t>发展之势，在危机中育新机、于变局中开新局。</w:t>
      </w:r>
      <w:r>
        <w:rPr>
          <w:rFonts w:eastAsia="仿宋_GB2312"/>
          <w:sz w:val="32"/>
          <w:szCs w:val="32"/>
        </w:rPr>
        <w:t>面向</w:t>
      </w:r>
      <w:r>
        <w:rPr>
          <w:rFonts w:hint="eastAsia" w:eastAsia="仿宋_GB2312"/>
          <w:sz w:val="32"/>
          <w:szCs w:val="32"/>
          <w:lang w:eastAsia="zh-CN"/>
        </w:rPr>
        <w:t>“</w:t>
      </w:r>
      <w:r>
        <w:rPr>
          <w:rFonts w:eastAsia="仿宋_GB2312"/>
          <w:sz w:val="32"/>
          <w:szCs w:val="32"/>
        </w:rPr>
        <w:t>十</w:t>
      </w:r>
      <w:r>
        <w:rPr>
          <w:rFonts w:hint="eastAsia" w:eastAsia="仿宋_GB2312"/>
          <w:sz w:val="32"/>
          <w:szCs w:val="32"/>
          <w:lang w:eastAsia="zh-CN"/>
        </w:rPr>
        <w:t>四</w:t>
      </w:r>
      <w:r>
        <w:rPr>
          <w:rFonts w:eastAsia="仿宋_GB2312"/>
          <w:sz w:val="32"/>
          <w:szCs w:val="32"/>
        </w:rPr>
        <w:t>五</w:t>
      </w:r>
      <w:r>
        <w:rPr>
          <w:rFonts w:hint="eastAsia" w:eastAsia="仿宋_GB2312"/>
          <w:sz w:val="32"/>
          <w:szCs w:val="32"/>
          <w:lang w:eastAsia="zh-CN"/>
        </w:rPr>
        <w:t>”</w:t>
      </w:r>
      <w:r>
        <w:rPr>
          <w:rFonts w:eastAsia="仿宋_GB2312"/>
          <w:sz w:val="32"/>
          <w:szCs w:val="32"/>
        </w:rPr>
        <w:t>，站在新的历史起点，必须树立大局意识、坚持改革思维、突出创新精神、拓展开放视野，充分利用各种有利条件和积极因素，妥善应对风险挑战，有效化解矛盾问题，挖掘发展潜力，培育发展动力，厚植发展优势，拓展发展空间，努力实现率先发展。</w:t>
      </w: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bookmarkStart w:id="55" w:name="_Toc433812718"/>
      <w:bookmarkStart w:id="56" w:name="_Toc434487868"/>
      <w:bookmarkStart w:id="57" w:name="_Toc438047726"/>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bookmarkStart w:id="58" w:name="_Toc462917674_WPSOffice_Level1"/>
      <w:r>
        <w:rPr>
          <w:rFonts w:hint="eastAsia" w:ascii="Times New Roman" w:hAnsi="黑体" w:eastAsia="黑体"/>
          <w:b w:val="0"/>
          <w:sz w:val="32"/>
          <w:szCs w:val="32"/>
          <w:lang w:val="en-US" w:eastAsia="zh-CN"/>
        </w:rPr>
        <w:t>第二章 发展思路和目标</w:t>
      </w:r>
      <w:bookmarkEnd w:id="55"/>
      <w:bookmarkEnd w:id="56"/>
      <w:bookmarkEnd w:id="57"/>
      <w:bookmarkEnd w:id="58"/>
    </w:p>
    <w:p>
      <w:pPr>
        <w:pageBreakBefore w:val="0"/>
        <w:numPr>
          <w:ilvl w:val="0"/>
          <w:numId w:val="0"/>
        </w:numPr>
        <w:kinsoku/>
        <w:wordWrap/>
        <w:overflowPunct/>
        <w:topLinePunct w:val="0"/>
        <w:autoSpaceDE/>
        <w:autoSpaceDN/>
        <w:bidi w:val="0"/>
        <w:spacing w:line="560" w:lineRule="exact"/>
        <w:ind w:leftChars="0"/>
        <w:textAlignment w:val="auto"/>
        <w:rPr>
          <w:rFonts w:hint="eastAsia"/>
          <w:lang w:val="en-US" w:eastAsia="zh-CN"/>
        </w:rPr>
      </w:pP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rPr>
      </w:pPr>
      <w:bookmarkStart w:id="59" w:name="_Toc1562848609_WPSOffice_Level2"/>
      <w:bookmarkStart w:id="60" w:name="_Toc426730684"/>
      <w:bookmarkStart w:id="61" w:name="_Toc438047729"/>
      <w:bookmarkStart w:id="62" w:name="_Toc433812721"/>
      <w:bookmarkStart w:id="63" w:name="_Toc434487871"/>
      <w:r>
        <w:rPr>
          <w:rFonts w:hint="eastAsia" w:ascii="Times New Roman" w:hAnsi="黑体" w:eastAsia="黑体" w:cs="Times New Roman"/>
          <w:b w:val="0"/>
          <w:sz w:val="32"/>
          <w:szCs w:val="32"/>
          <w:lang w:eastAsia="zh-CN"/>
        </w:rPr>
        <w:t>一、</w:t>
      </w:r>
      <w:r>
        <w:rPr>
          <w:rFonts w:hint="eastAsia" w:ascii="Times New Roman" w:hAnsi="黑体" w:eastAsia="黑体" w:cs="Times New Roman"/>
          <w:b w:val="0"/>
          <w:sz w:val="32"/>
          <w:szCs w:val="32"/>
        </w:rPr>
        <w:t>发展思路</w:t>
      </w:r>
      <w:bookmarkEnd w:id="59"/>
    </w:p>
    <w:p>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坚持绿色高质量发展理念，围绕“决胜临空”战略打造天津“空中门户”，实施卫国道沿线街景重构、高品质居住区建设和现代服务业产业提升工程，推进朱赵于片区规划建设，导入总部经济和高端物流产业，做优做精赤土—胡张庄现代都市农业，着力打造高端产业、品质社区、都市农业交相辉映的华彩明城。</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黑体" w:eastAsia="黑体" w:cs="Times New Roman"/>
          <w:b w:val="0"/>
          <w:sz w:val="32"/>
          <w:szCs w:val="32"/>
          <w:lang w:eastAsia="zh-CN"/>
        </w:rPr>
      </w:pPr>
      <w:bookmarkStart w:id="64" w:name="_Toc351770969_WPSOffice_Level2"/>
      <w:r>
        <w:rPr>
          <w:rFonts w:hint="default" w:ascii="Times New Roman" w:hAnsi="黑体" w:eastAsia="黑体" w:cs="Times New Roman"/>
          <w:b w:val="0"/>
          <w:sz w:val="32"/>
          <w:szCs w:val="32"/>
          <w:lang w:eastAsia="zh-CN"/>
        </w:rPr>
        <w:t>二</w:t>
      </w:r>
      <w:r>
        <w:rPr>
          <w:rFonts w:hint="eastAsia" w:ascii="Times New Roman" w:hAnsi="黑体" w:eastAsia="黑体" w:cs="Times New Roman"/>
          <w:b w:val="0"/>
          <w:sz w:val="32"/>
          <w:szCs w:val="32"/>
          <w:lang w:eastAsia="zh-CN"/>
        </w:rPr>
        <w:t>、</w:t>
      </w:r>
      <w:r>
        <w:rPr>
          <w:rFonts w:hint="default" w:ascii="Times New Roman" w:hAnsi="黑体" w:eastAsia="黑体" w:cs="Times New Roman"/>
          <w:b w:val="0"/>
          <w:sz w:val="32"/>
          <w:szCs w:val="32"/>
          <w:lang w:eastAsia="zh-CN"/>
        </w:rPr>
        <w:t>发展目标</w:t>
      </w:r>
      <w:bookmarkEnd w:id="64"/>
    </w:p>
    <w:p>
      <w:pPr>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“十四五”期间，预计实现地区生产总值年均增速6.5%-7.5%左右，一般公共预算收入</w:t>
      </w:r>
      <w:r>
        <w:rPr>
          <w:rFonts w:hint="eastAsia" w:ascii="仿宋_GB2312" w:hAnsi="仿宋_GB2312" w:eastAsia="仿宋_GB2312" w:cs="仿宋_GB2312"/>
          <w:sz w:val="32"/>
          <w:szCs w:val="32"/>
        </w:rPr>
        <w:t>较“十三五”末翻一番，增速达15%</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固定资产投资增速达20%</w:t>
      </w:r>
      <w:r>
        <w:rPr>
          <w:rFonts w:hint="default" w:ascii="仿宋_GB2312" w:hAnsi="仿宋_GB2312" w:eastAsia="仿宋_GB2312" w:cs="仿宋_GB2312"/>
          <w:sz w:val="32"/>
          <w:szCs w:val="32"/>
        </w:rPr>
        <w:t>。经济发展、科技创新、城市建设、民计民生、绿色生态、改革开放实现全面发展。</w:t>
      </w:r>
    </w:p>
    <w:p>
      <w:pPr>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eastAsia="仿宋_GB2312"/>
          <w:sz w:val="32"/>
          <w:szCs w:val="32"/>
        </w:rPr>
        <w:t>产业结构转型升级。产业融合发展，质量效益进一步提升。服务经济为主的产业结构全面形成，高端化、集约化、服务化水平显著提高。战略性新兴产业核心优势基本确立，先进制造业竞争力显著增强。</w:t>
      </w:r>
      <w:r>
        <w:rPr>
          <w:rFonts w:hint="eastAsia" w:eastAsia="仿宋_GB2312"/>
          <w:sz w:val="32"/>
          <w:szCs w:val="32"/>
        </w:rPr>
        <w:t>加快绿色转型发展，推动落实“双碳”目标要求</w:t>
      </w:r>
      <w:r>
        <w:rPr>
          <w:rFonts w:hint="eastAsia" w:eastAsia="仿宋_GB2312"/>
          <w:sz w:val="32"/>
          <w:szCs w:val="32"/>
          <w:lang w:eastAsia="zh-CN"/>
        </w:rPr>
        <w:t>。</w:t>
      </w:r>
    </w:p>
    <w:p>
      <w:pPr>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eastAsia="仿宋_GB2312"/>
          <w:sz w:val="32"/>
          <w:szCs w:val="32"/>
        </w:rPr>
        <w:t>创新能力明显提升。区域创新优势充分发挥，实现经济发展由要素驱动向创新驱动转变，构建全面、优质、高效的创新服务体系。科技支撑引领作用更加显著，创新氛围日益浓厚，创新要素加快集聚，创新成果不断显现，</w:t>
      </w:r>
      <w:r>
        <w:rPr>
          <w:rFonts w:hint="eastAsia" w:eastAsia="仿宋_GB2312"/>
          <w:sz w:val="32"/>
          <w:szCs w:val="32"/>
          <w:lang w:eastAsia="zh-CN"/>
        </w:rPr>
        <w:t>做实华明智能制造实力小镇和知识产权特色小镇</w:t>
      </w:r>
      <w:r>
        <w:rPr>
          <w:rFonts w:eastAsia="仿宋_GB2312"/>
          <w:sz w:val="32"/>
          <w:szCs w:val="32"/>
        </w:rPr>
        <w:t>。</w:t>
      </w:r>
    </w:p>
    <w:p>
      <w:pPr>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lang w:val="zh-CN" w:eastAsia="zh-CN"/>
        </w:rPr>
        <w:t>实施乡村振兴战略。围绕绿色高质量发展，提高农业绿色化、优质化、特色化、品牌化水平，努力使华明地区成为天津乃至京津冀现代都市型农业发展和美丽乡村建设的引领区、示范区和先行区，成为乡村振兴战略实施的示范样板和展示窗口。</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eastAsia="仿宋_GB2312"/>
          <w:sz w:val="32"/>
          <w:szCs w:val="32"/>
        </w:rPr>
        <w:t>城市功能不断完善。</w:t>
      </w:r>
      <w:r>
        <w:rPr>
          <w:rFonts w:hint="eastAsia" w:ascii="仿宋_GB2312" w:hAnsi="仿宋_GB2312" w:eastAsia="仿宋_GB2312" w:cs="仿宋_GB2312"/>
          <w:sz w:val="32"/>
          <w:szCs w:val="32"/>
        </w:rPr>
        <w:t>结合现代化城市规划建设理念和绿色生态屏障等上位规划要求，立足当前华明城市空间结构，优化城市功能空间、产业发展空间和绿色生态空间布局，提升城市形象与城市活力。</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西部城市空间发展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对照天津市到2035年基本建成现代化大都市的战略目标，华明街将把握津</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滨</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双城空间发展格局重构机遇，发挥区位优势，补短板，加快建成引领主城品质提升的智慧都市活力新城，为经济社会发展拓展空间，同步增强城市综合服务功能，提升城市管理水平和整体城市品质。</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按照《天津市东丽区国民经济和社会发展第十四个五年规划纲要》提出的加快建设“科创绿谷·临空新城”总体站位，华明将重点打造环内都市新核心。</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区域为华明环内主片区，东临空港经济区、华明高新区，西邻河东区，为天津市“一主五副”津滨副中心地区，但目前大部分土地还处于待开发状态，为全面提升华明城市形象，创造华明经济发展新动能，计划到2025年将卫国道开发带打造为环内都市新核心，成为华明经济发展新高地。</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——便利交通。坐享地铁2号线和卫国道的双重交通便捷，联系中心城区和环外地区的重要纽带，现状地铁2号线国山道和登州路站点，未来规划高铁贯穿，使该区域成为天津市的“空中门户”和“入市口”。</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——临空优势。依托东丽区临空经济中心，借助天津滨海国际机场、自由贸易试验区资源，提升机场辐射带动能力，</w:t>
      </w: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打造高端宜居社区，同时为周边区域引进高端人才配备生活配套。</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——商业机遇。引进都市商业综合服务商，配合临空经济区主阵地，大力发展航空枢纽经济，推进大型购物中心和步行商业街区建设，塑造航空主题“网红”打卡地等新业态，</w:t>
      </w: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吸引跨境电商、临空商贸、航空配套服务等企业落户，围绕临空经济、航运物流打造特色服务业发展集聚区，打造具有更大影响力的消费新地标。</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——配套提升。同步东丽区入市口道路街景卫国道部分提升改造计划，打造统一美观的沿街建筑，提升入市口整体城市形象。</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中部城市管理优化</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自华明小城镇建设完成以来，经过10余年的保养维护，尽管社区配套还比较完善，但老式的城市管理模式导致小城镇管理滞后，管理水平需要提高。因此计划到2025年引领主城区城市品质提升，建设绿色发展、生态宜居的活力新</w:t>
      </w:r>
      <w:r>
        <w:rPr>
          <w:rFonts w:hint="eastAsia" w:ascii="仿宋_GB2312" w:hAnsi="仿宋_GB2312" w:eastAsia="仿宋_GB2312" w:cs="仿宋_GB2312"/>
          <w:sz w:val="32"/>
          <w:szCs w:val="32"/>
          <w:lang w:eastAsia="zh-CN"/>
        </w:rPr>
        <w:t>示镇</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——革新城市管理模式。</w:t>
      </w:r>
      <w:r>
        <w:rPr>
          <w:rFonts w:hint="eastAsia" w:ascii="仿宋_GB2312" w:hAnsi="仿宋_GB2312" w:eastAsia="仿宋_GB2312" w:cs="仿宋_GB2312"/>
          <w:sz w:val="32"/>
          <w:szCs w:val="32"/>
          <w:lang w:val="en-US" w:eastAsia="zh-CN"/>
        </w:rPr>
        <w:t>以城市服务一体化模式提升示范镇管理水平，</w:t>
      </w:r>
      <w:r>
        <w:rPr>
          <w:rFonts w:hint="eastAsia" w:ascii="仿宋_GB2312" w:hAnsi="仿宋_GB2312" w:eastAsia="仿宋_GB2312" w:cs="仿宋_GB2312"/>
          <w:sz w:val="32"/>
          <w:szCs w:val="32"/>
        </w:rPr>
        <w:t>大力吸引社会资本参与城市建设管理，</w:t>
      </w:r>
      <w:r>
        <w:rPr>
          <w:rFonts w:hint="eastAsia" w:ascii="仿宋_GB2312" w:hAnsi="仿宋_GB2312" w:eastAsia="仿宋_GB2312" w:cs="仿宋_GB2312"/>
          <w:sz w:val="32"/>
          <w:szCs w:val="32"/>
          <w:lang w:val="en-US" w:eastAsia="zh-CN"/>
        </w:rPr>
        <w:t>在物业服务、停车管理、便民菜市场运营、社区商业品质提升等方面进行深入合作</w:t>
      </w:r>
      <w:r>
        <w:rPr>
          <w:rFonts w:hint="default"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落实城市管网。在新建区域引入综合管廊，综合利用地下空间资源，统筹各类管线铺设，实现供水、电力、燃气、热力、通信、排水等地下管线统一规划、设计、施工和维护；在建成区域以“海绵城市”指标</w:t>
      </w:r>
      <w:r>
        <w:rPr>
          <w:rFonts w:hint="eastAsia" w:ascii="仿宋_GB2312" w:hAnsi="仿宋_GB2312" w:eastAsia="仿宋_GB2312" w:cs="仿宋_GB2312"/>
          <w:sz w:val="32"/>
          <w:szCs w:val="32"/>
          <w:lang w:eastAsia="zh-CN"/>
        </w:rPr>
        <w:t>体系</w:t>
      </w:r>
      <w:r>
        <w:rPr>
          <w:rFonts w:hint="eastAsia" w:ascii="仿宋_GB2312" w:hAnsi="仿宋_GB2312" w:eastAsia="仿宋_GB2312" w:cs="仿宋_GB2312"/>
          <w:sz w:val="32"/>
          <w:szCs w:val="32"/>
        </w:rPr>
        <w:t>为导向控制开发强度，结合城区改造和城市更新，解决道路积水等问题。</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交通网络系统。协助推进地铁13号线、滨海Z2线东丽支线等轨道交通建设，加强华明街、东丽湖等北部片区与主城区轨道交通对接；完成金航道修建、推动机场北路卫国道以北路段修建，疏解卫国道交通拥堵；开展交通秩序整治，规划道路循环系统提升交通组织水平，打通东区弘程东道和弘愿道“断头路”，优化交通组织；规范路侧停车的同时，通过改扩建改造加大停车位供给，保障交通秩序。</w:t>
      </w:r>
    </w:p>
    <w:p>
      <w:pPr>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储备未来发展空间。在外环线东侧</w:t>
      </w:r>
      <w:r>
        <w:rPr>
          <w:rFonts w:hint="eastAsia" w:ascii="仿宋_GB2312" w:hAnsi="仿宋_GB2312" w:eastAsia="仿宋_GB2312" w:cs="仿宋_GB2312"/>
          <w:sz w:val="32"/>
          <w:szCs w:val="32"/>
          <w:lang w:val="en-US" w:eastAsia="zh-CN"/>
        </w:rPr>
        <w:t>500米绿化带、机场大道东侧300米绿化带、东丽郊野公园周围，因地制宜，留白留绿留出未来发展空间，不断增强人民群众获得感。</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——提升商业回报。根据居民分布、消费习惯和购买力水平特征，优化商业配套业态和网点布局，解决华明都市商业发展滞后和分布不均问题，打造建邦</w:t>
      </w:r>
      <w:r>
        <w:rPr>
          <w:rFonts w:hint="eastAsia" w:ascii="仿宋_GB2312" w:hAnsi="仿宋_GB2312" w:eastAsia="仿宋_GB2312" w:cs="仿宋_GB2312"/>
          <w:sz w:val="32"/>
          <w:szCs w:val="32"/>
          <w:lang w:eastAsia="zh-CN"/>
        </w:rPr>
        <w:t>时代广场</w:t>
      </w:r>
      <w:r>
        <w:rPr>
          <w:rFonts w:hint="eastAsia" w:ascii="仿宋_GB2312" w:hAnsi="仿宋_GB2312" w:eastAsia="仿宋_GB2312" w:cs="仿宋_GB2312"/>
          <w:sz w:val="32"/>
          <w:szCs w:val="32"/>
        </w:rPr>
        <w:t>、左岸</w:t>
      </w:r>
      <w:r>
        <w:rPr>
          <w:rFonts w:hint="eastAsia" w:ascii="仿宋_GB2312" w:hAnsi="仿宋_GB2312" w:eastAsia="仿宋_GB2312" w:cs="仿宋_GB2312"/>
          <w:sz w:val="32"/>
          <w:szCs w:val="32"/>
          <w:lang w:eastAsia="zh-CN"/>
        </w:rPr>
        <w:t>商业广场</w:t>
      </w:r>
      <w:r>
        <w:rPr>
          <w:rFonts w:hint="eastAsia" w:ascii="仿宋_GB2312" w:hAnsi="仿宋_GB2312" w:eastAsia="仿宋_GB2312" w:cs="仿宋_GB2312"/>
          <w:sz w:val="32"/>
          <w:szCs w:val="32"/>
        </w:rPr>
        <w:t>等具有吸引力的华明商圈，拉拢外溢空港的消费群体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提升完善社区商业配套</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东部乡村振兴落实</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落实乡村振兴战略要求，以融合发展为抓手，提升农业质量效益和竞争力，协同推进农业与二、三产业融合，在华明设施农业的基础上大力发展智慧农业，加快提升农业现代化水平。</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——做强农业品牌，打响“胡张庄葡萄”品牌，全面实现棚改种植，优化种植环境，培育高端品种，错峰上市，提升单位农产品收益。</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——加快培育农业融合新载体，推进龙头企业产业化发展，增强农业机械化操作水平，推进农业生产工业化、制度化、规范化。</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推广</w:t>
      </w:r>
      <w:r>
        <w:rPr>
          <w:rFonts w:hint="eastAsia" w:ascii="仿宋_GB2312" w:hAnsi="仿宋_GB2312" w:eastAsia="仿宋_GB2312" w:cs="仿宋_GB2312"/>
          <w:sz w:val="32"/>
          <w:szCs w:val="32"/>
        </w:rPr>
        <w:t>永和村2000亩旱改水</w:t>
      </w:r>
      <w:r>
        <w:rPr>
          <w:rFonts w:hint="eastAsia" w:ascii="仿宋_GB2312" w:hAnsi="仿宋_GB2312" w:eastAsia="仿宋_GB2312" w:cs="仿宋_GB2312"/>
          <w:sz w:val="32"/>
          <w:szCs w:val="32"/>
          <w:lang w:eastAsia="zh-CN"/>
        </w:rPr>
        <w:t>稻蟹套养</w:t>
      </w:r>
      <w:r>
        <w:rPr>
          <w:rFonts w:hint="eastAsia" w:ascii="仿宋_GB2312" w:hAnsi="仿宋_GB2312" w:eastAsia="仿宋_GB2312" w:cs="仿宋_GB2312"/>
          <w:sz w:val="32"/>
          <w:szCs w:val="32"/>
        </w:rPr>
        <w:t>成果，拓展育苗及水域种养面积及品种，坚守耕地红线，坚决落实“农地农用”要求。</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充分利用生态资源优势，创建华明高品质农业产业融合发展示范园，生产、生活、生态“三生同步”，一产、二产、三产“三产融合”，农业、文化、旅游“三位一体”的“宜居宜业宜游宜学宜乐”产业融合示范高地，实现乡村振兴目标。</w:t>
      </w:r>
    </w:p>
    <w:bookmarkEnd w:id="60"/>
    <w:bookmarkEnd w:id="61"/>
    <w:bookmarkEnd w:id="62"/>
    <w:bookmarkEnd w:id="63"/>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eastAsia="zh-CN"/>
        </w:rPr>
      </w:pPr>
      <w:bookmarkStart w:id="65" w:name="_Toc434487880"/>
      <w:bookmarkStart w:id="66" w:name="_Toc12213"/>
      <w:bookmarkStart w:id="67" w:name="_Toc5277"/>
      <w:bookmarkStart w:id="68" w:name="_Toc4541"/>
      <w:bookmarkStart w:id="69" w:name="_Toc7336"/>
      <w:bookmarkStart w:id="70" w:name="_Toc433812735"/>
      <w:bookmarkStart w:id="71" w:name="_Toc15758"/>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eastAsia="zh-CN"/>
        </w:rPr>
      </w:pPr>
    </w:p>
    <w:p>
      <w:pPr>
        <w:pageBreakBefore w:val="0"/>
        <w:kinsoku/>
        <w:wordWrap/>
        <w:overflowPunct/>
        <w:topLinePunct w:val="0"/>
        <w:autoSpaceDE/>
        <w:autoSpaceDN/>
        <w:bidi w:val="0"/>
        <w:spacing w:line="560" w:lineRule="exact"/>
        <w:textAlignment w:val="auto"/>
        <w:rPr>
          <w:rFonts w:hint="eastAsia" w:ascii="Times New Roman" w:hAnsi="黑体" w:eastAsia="黑体"/>
          <w:b w:val="0"/>
          <w:sz w:val="32"/>
          <w:szCs w:val="32"/>
          <w:lang w:eastAsia="zh-CN"/>
        </w:rPr>
      </w:pPr>
    </w:p>
    <w:p>
      <w:pPr>
        <w:pStyle w:val="2"/>
        <w:pageBreakBefore w:val="0"/>
        <w:kinsoku/>
        <w:wordWrap/>
        <w:overflowPunct/>
        <w:topLinePunct w:val="0"/>
        <w:autoSpaceDE/>
        <w:autoSpaceDN/>
        <w:bidi w:val="0"/>
        <w:spacing w:line="560" w:lineRule="exact"/>
        <w:textAlignment w:val="auto"/>
        <w:rPr>
          <w:rFonts w:hint="eastAsia" w:ascii="Times New Roman" w:hAnsi="黑体" w:eastAsia="黑体"/>
          <w:b w:val="0"/>
          <w:sz w:val="32"/>
          <w:szCs w:val="32"/>
          <w:lang w:eastAsia="zh-CN"/>
        </w:rPr>
      </w:pPr>
    </w:p>
    <w:p>
      <w:pPr>
        <w:pStyle w:val="2"/>
        <w:pageBreakBefore w:val="0"/>
        <w:kinsoku/>
        <w:wordWrap/>
        <w:overflowPunct/>
        <w:topLinePunct w:val="0"/>
        <w:autoSpaceDE/>
        <w:autoSpaceDN/>
        <w:bidi w:val="0"/>
        <w:spacing w:line="560" w:lineRule="exact"/>
        <w:textAlignment w:val="auto"/>
        <w:rPr>
          <w:rFonts w:hint="eastAsia" w:ascii="Times New Roman" w:hAnsi="黑体" w:eastAsia="黑体"/>
          <w:b w:val="0"/>
          <w:sz w:val="32"/>
          <w:szCs w:val="32"/>
          <w:lang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eastAsia="zh-CN"/>
        </w:rPr>
      </w:pPr>
      <w:bookmarkStart w:id="72" w:name="_Toc1562848609_WPSOffice_Level1"/>
      <w:r>
        <w:rPr>
          <w:rFonts w:hint="eastAsia" w:ascii="Times New Roman" w:hAnsi="黑体" w:eastAsia="黑体"/>
          <w:b w:val="0"/>
          <w:sz w:val="32"/>
          <w:szCs w:val="32"/>
          <w:lang w:eastAsia="zh-CN"/>
        </w:rPr>
        <w:t>第三章</w:t>
      </w:r>
      <w:r>
        <w:rPr>
          <w:rFonts w:hint="eastAsia" w:ascii="Times New Roman" w:hAnsi="黑体" w:eastAsia="黑体"/>
          <w:b w:val="0"/>
          <w:sz w:val="32"/>
          <w:szCs w:val="32"/>
          <w:lang w:val="en-US" w:eastAsia="zh-CN"/>
        </w:rPr>
        <w:t xml:space="preserve"> </w:t>
      </w:r>
      <w:r>
        <w:rPr>
          <w:rFonts w:hint="eastAsia" w:ascii="Times New Roman" w:hAnsi="黑体" w:eastAsia="黑体"/>
          <w:b w:val="0"/>
          <w:sz w:val="32"/>
          <w:szCs w:val="32"/>
          <w:lang w:eastAsia="zh-CN"/>
        </w:rPr>
        <w:t>推动经济高质量发展迈出更大步伐</w:t>
      </w:r>
      <w:bookmarkEnd w:id="72"/>
    </w:p>
    <w:p>
      <w:pPr>
        <w:pageBreakBefore w:val="0"/>
        <w:numPr>
          <w:ilvl w:val="0"/>
          <w:numId w:val="0"/>
        </w:numPr>
        <w:kinsoku/>
        <w:wordWrap/>
        <w:overflowPunct/>
        <w:topLinePunct w:val="0"/>
        <w:autoSpaceDE/>
        <w:autoSpaceDN/>
        <w:bidi w:val="0"/>
        <w:spacing w:line="560" w:lineRule="exact"/>
        <w:ind w:leftChars="0"/>
        <w:textAlignment w:val="auto"/>
        <w:rPr>
          <w:rFonts w:hint="eastAsia"/>
          <w:lang w:eastAsia="zh-CN"/>
        </w:rPr>
      </w:pP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坚持高端高质高新产业发展方向，调整优化产业结构，提升产业层次，推动制造业转型与服务业升级融合发展，促进生产型经济向生产服务型经济转变，形成战略性新兴产业和现代服务业为主导的现代产业体系。</w:t>
      </w:r>
      <w:r>
        <w:rPr>
          <w:rFonts w:hint="eastAsia" w:ascii="仿宋_GB2312" w:hAnsi="仿宋_GB2312" w:eastAsia="仿宋_GB2312" w:cs="仿宋_GB2312"/>
          <w:sz w:val="32"/>
          <w:szCs w:val="32"/>
          <w:lang w:eastAsia="zh-CN"/>
        </w:rPr>
        <w:t>以发展为要务，全面落实</w:t>
      </w:r>
      <w:r>
        <w:rPr>
          <w:rFonts w:hint="eastAsia" w:ascii="仿宋_GB2312" w:hAnsi="仿宋_GB2312" w:eastAsia="仿宋_GB2312" w:cs="仿宋_GB2312"/>
          <w:sz w:val="32"/>
          <w:szCs w:val="32"/>
          <w:lang w:val="en-US" w:eastAsia="zh-CN"/>
        </w:rPr>
        <w:t>区委区政府“全员抓招商、全员抓项目、全员抓税收、全员抓营商环境”工作机制。</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73" w:name="_Toc396289803_WPSOffice_Level2"/>
      <w:r>
        <w:rPr>
          <w:rFonts w:hint="eastAsia" w:ascii="Times New Roman" w:hAnsi="黑体" w:eastAsia="黑体" w:cs="Times New Roman"/>
          <w:b w:val="0"/>
          <w:sz w:val="32"/>
          <w:szCs w:val="32"/>
          <w:lang w:val="en-US" w:eastAsia="zh-CN"/>
        </w:rPr>
        <w:t>一、发挥区位优势，谱写京津冀协同发展新篇章</w:t>
      </w:r>
      <w:bookmarkEnd w:id="73"/>
    </w:p>
    <w:p>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eastAsia" w:ascii="Times New Roman" w:hAnsi="Times New Roman" w:eastAsia="仿宋_GB2312" w:cs="Times New Roman"/>
          <w:color w:val="000000"/>
          <w:sz w:val="32"/>
          <w:szCs w:val="32"/>
          <w:lang w:val="en-US" w:eastAsia="zh-CN" w:bidi="ar"/>
        </w:rPr>
        <w:t>承接北京非首都资源疏解。充分利用津滨高铁机场站的优势，进一步缩短和北京企业的交通距离，</w:t>
      </w:r>
      <w:r>
        <w:rPr>
          <w:rFonts w:hint="default" w:ascii="Times New Roman" w:hAnsi="Times New Roman" w:eastAsia="仿宋_GB2312" w:cs="Times New Roman"/>
          <w:color w:val="000000"/>
          <w:sz w:val="32"/>
          <w:szCs w:val="32"/>
          <w:lang w:val="en-US" w:eastAsia="zh-CN" w:bidi="ar"/>
        </w:rPr>
        <w:t>以加强京津冀产业协同发展为导向，以</w:t>
      </w:r>
      <w:r>
        <w:rPr>
          <w:rFonts w:hint="eastAsia" w:ascii="Times New Roman" w:hAnsi="Times New Roman" w:eastAsia="仿宋_GB2312" w:cs="Times New Roman"/>
          <w:color w:val="000000"/>
          <w:sz w:val="32"/>
          <w:szCs w:val="32"/>
          <w:lang w:val="en-US" w:eastAsia="zh-CN" w:bidi="ar"/>
        </w:rPr>
        <w:t>特色产业园中园为抓手</w:t>
      </w:r>
      <w:r>
        <w:rPr>
          <w:rFonts w:hint="default" w:ascii="Times New Roman" w:hAnsi="Times New Roman" w:eastAsia="仿宋_GB2312" w:cs="Times New Roman"/>
          <w:color w:val="000000"/>
          <w:sz w:val="32"/>
          <w:szCs w:val="32"/>
          <w:lang w:val="en-US" w:eastAsia="zh-CN" w:bidi="ar"/>
        </w:rPr>
        <w:t>，提升对北京外溢资源的承接力度。</w:t>
      </w:r>
      <w:r>
        <w:rPr>
          <w:rFonts w:hint="eastAsia" w:ascii="Times New Roman" w:hAnsi="Times New Roman" w:eastAsia="仿宋_GB2312" w:cs="Times New Roman"/>
          <w:color w:val="000000"/>
          <w:sz w:val="32"/>
          <w:szCs w:val="32"/>
          <w:lang w:val="en-US" w:eastAsia="zh-CN" w:bidi="ar"/>
        </w:rPr>
        <w:t>聚焦亦庄、东升、朝阳等区域，实施区域战略合作招商，</w:t>
      </w:r>
      <w:r>
        <w:rPr>
          <w:rFonts w:hint="default" w:ascii="Times New Roman" w:hAnsi="Times New Roman" w:eastAsia="仿宋_GB2312" w:cs="Times New Roman"/>
          <w:color w:val="000000"/>
          <w:sz w:val="32"/>
          <w:szCs w:val="32"/>
          <w:lang w:val="en-US" w:eastAsia="zh-CN" w:bidi="ar"/>
        </w:rPr>
        <w:t>推动共建共享</w:t>
      </w:r>
      <w:r>
        <w:rPr>
          <w:rFonts w:hint="eastAsia" w:ascii="Times New Roman" w:hAnsi="Times New Roman" w:eastAsia="仿宋_GB2312" w:cs="Times New Roman"/>
          <w:color w:val="000000"/>
          <w:sz w:val="32"/>
          <w:szCs w:val="32"/>
          <w:lang w:val="en-US" w:eastAsia="zh-CN" w:bidi="ar"/>
        </w:rPr>
        <w:t>；聚焦</w:t>
      </w:r>
      <w:r>
        <w:rPr>
          <w:rFonts w:hint="default" w:ascii="Times New Roman" w:hAnsi="Times New Roman" w:eastAsia="仿宋_GB2312" w:cs="Times New Roman"/>
          <w:color w:val="000000"/>
          <w:sz w:val="32"/>
          <w:szCs w:val="32"/>
          <w:lang w:val="en-US" w:eastAsia="zh-CN" w:bidi="ar"/>
        </w:rPr>
        <w:t>瞪羚企业、独角兽企业等高成长企业和平台型组织，优化区域产业生态</w:t>
      </w:r>
      <w:r>
        <w:rPr>
          <w:rFonts w:hint="eastAsia" w:ascii="Times New Roman" w:hAnsi="Times New Roman" w:eastAsia="仿宋_GB2312" w:cs="Times New Roman"/>
          <w:color w:val="000000"/>
          <w:sz w:val="32"/>
          <w:szCs w:val="32"/>
          <w:lang w:val="en-US" w:eastAsia="zh-CN" w:bidi="ar"/>
        </w:rPr>
        <w:t>；聚焦数字产业、物流城市配送</w:t>
      </w:r>
      <w:r>
        <w:rPr>
          <w:rFonts w:hint="default" w:ascii="Times New Roman" w:hAnsi="Times New Roman" w:eastAsia="仿宋_GB2312" w:cs="Times New Roman"/>
          <w:color w:val="000000"/>
          <w:sz w:val="32"/>
          <w:szCs w:val="32"/>
          <w:lang w:val="en-US" w:eastAsia="zh-CN" w:bidi="ar"/>
        </w:rPr>
        <w:t>等重点领域，以</w:t>
      </w:r>
      <w:r>
        <w:rPr>
          <w:rFonts w:hint="eastAsia" w:ascii="Times New Roman" w:hAnsi="Times New Roman" w:eastAsia="仿宋_GB2312" w:cs="Times New Roman"/>
          <w:color w:val="000000"/>
          <w:sz w:val="32"/>
          <w:szCs w:val="32"/>
          <w:lang w:val="en-US" w:eastAsia="zh-CN" w:bidi="ar"/>
        </w:rPr>
        <w:t>矽谷港湾、南坨工</w:t>
      </w:r>
      <w:r>
        <w:rPr>
          <w:rFonts w:hint="eastAsia" w:ascii="仿宋_GB2312" w:eastAsia="仿宋_GB2312"/>
          <w:sz w:val="32"/>
          <w:szCs w:val="32"/>
          <w:lang w:val="en-US" w:eastAsia="zh-CN"/>
        </w:rPr>
        <w:t>业园、北于堡工业园</w:t>
      </w:r>
      <w:r>
        <w:rPr>
          <w:rFonts w:hint="default" w:ascii="仿宋_GB2312" w:eastAsia="仿宋_GB2312"/>
          <w:sz w:val="32"/>
          <w:szCs w:val="32"/>
          <w:lang w:val="en-US" w:eastAsia="zh-CN"/>
        </w:rPr>
        <w:t>为承接载体，</w:t>
      </w:r>
      <w:r>
        <w:rPr>
          <w:rFonts w:hint="eastAsia" w:ascii="仿宋_GB2312" w:eastAsia="仿宋_GB2312"/>
          <w:sz w:val="32"/>
          <w:szCs w:val="32"/>
          <w:lang w:val="en-US" w:eastAsia="zh-CN"/>
        </w:rPr>
        <w:t>提升产业层次和经济效能</w:t>
      </w:r>
      <w:r>
        <w:rPr>
          <w:rFonts w:hint="default" w:ascii="仿宋_GB2312" w:eastAsia="仿宋_GB2312"/>
          <w:sz w:val="32"/>
          <w:szCs w:val="32"/>
          <w:lang w:val="en-US" w:eastAsia="zh-CN"/>
        </w:rPr>
        <w:t>。到2025年，</w:t>
      </w:r>
      <w:r>
        <w:rPr>
          <w:rFonts w:hint="eastAsia" w:ascii="仿宋_GB2312" w:eastAsia="仿宋_GB2312"/>
          <w:sz w:val="32"/>
          <w:szCs w:val="32"/>
          <w:lang w:val="en-US" w:eastAsia="zh-CN"/>
        </w:rPr>
        <w:t>年引进北京区域投资500万元以上项目30个，其中实体经济项目15个</w:t>
      </w:r>
      <w:r>
        <w:rPr>
          <w:rFonts w:hint="default" w:ascii="仿宋_GB2312" w:eastAsia="仿宋_GB2312"/>
          <w:sz w:val="32"/>
          <w:szCs w:val="32"/>
          <w:lang w:val="en-US" w:eastAsia="zh-CN"/>
        </w:rPr>
        <w:t>。</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74" w:name="_Toc1251948456_WPSOffice_Level2"/>
      <w:r>
        <w:rPr>
          <w:rFonts w:hint="eastAsia" w:ascii="Times New Roman" w:hAnsi="黑体" w:eastAsia="黑体" w:cs="Times New Roman"/>
          <w:b w:val="0"/>
          <w:sz w:val="32"/>
          <w:szCs w:val="32"/>
          <w:lang w:val="en-US" w:eastAsia="zh-CN"/>
        </w:rPr>
        <w:t>二、拓展招商渠道，发挥载体效能</w:t>
      </w:r>
      <w:bookmarkEnd w:id="74"/>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强化招商机遇意识，创新招商方式方法，完善招商工作机制，千方百计抓招商，推动我街招商引资工作迈上新台阶、取得新突破。构建全街一盘棋的大招商格局，统筹项目、载体、政策、要素，建立有序招商机制。拓展招商中介资源，利用本地企业资源，抓住产业协会资源等。环内环外片区错位、互补发展，矽谷港湾作为环内片区重点发展数字产业和服务业，南坨工业园和北于堡工业园重点发展城市配送物流产业。</w:t>
      </w:r>
      <w:r>
        <w:rPr>
          <w:rFonts w:hint="eastAsia" w:ascii="仿宋_GB2312" w:eastAsia="仿宋_GB2312"/>
          <w:sz w:val="32"/>
          <w:szCs w:val="32"/>
          <w:lang w:eastAsia="zh-CN"/>
        </w:rPr>
        <w:t>每年租赁或销售存量载体</w:t>
      </w:r>
      <w:r>
        <w:rPr>
          <w:rFonts w:hint="eastAsia" w:ascii="仿宋_GB2312" w:eastAsia="仿宋_GB2312"/>
          <w:sz w:val="32"/>
          <w:szCs w:val="32"/>
          <w:lang w:val="en-US" w:eastAsia="zh-CN"/>
        </w:rPr>
        <w:t>3000平米，</w:t>
      </w:r>
      <w:r>
        <w:rPr>
          <w:rFonts w:hint="eastAsia" w:ascii="仿宋_GB2312" w:eastAsia="仿宋_GB2312"/>
          <w:sz w:val="32"/>
          <w:szCs w:val="32"/>
        </w:rPr>
        <w:t>新引进投资</w:t>
      </w:r>
      <w:r>
        <w:rPr>
          <w:rFonts w:hint="eastAsia" w:ascii="仿宋_GB2312" w:eastAsia="仿宋_GB2312"/>
          <w:sz w:val="32"/>
          <w:szCs w:val="32"/>
          <w:lang w:eastAsia="zh-CN"/>
        </w:rPr>
        <w:t>亿元以上</w:t>
      </w:r>
      <w:r>
        <w:rPr>
          <w:rFonts w:hint="eastAsia" w:ascii="仿宋_GB2312" w:eastAsia="仿宋_GB2312"/>
          <w:sz w:val="32"/>
          <w:szCs w:val="32"/>
          <w:lang w:val="en-US" w:eastAsia="zh-CN"/>
        </w:rPr>
        <w:t>项目3家（含投资规模大、带动能力强、行业龙头等优势企业，上市公司），到2025年，国家高新技术企业数量达到200家，国家科技型中小企业数量达到160家，雏鹰企业达到88家，瞪羚企业达到20家。通过努力，不断完善区域功能性配套和提高产业聚集度，大幅提升</w:t>
      </w:r>
      <w:r>
        <w:rPr>
          <w:rFonts w:hint="eastAsia" w:ascii="仿宋_GB2312" w:eastAsia="仿宋_GB2312"/>
          <w:sz w:val="32"/>
          <w:szCs w:val="32"/>
        </w:rPr>
        <w:t>招商引资的质量和效益</w:t>
      </w:r>
      <w:r>
        <w:rPr>
          <w:rFonts w:hint="eastAsia" w:ascii="仿宋_GB2312" w:eastAsia="仿宋_GB2312"/>
          <w:sz w:val="32"/>
          <w:szCs w:val="32"/>
          <w:lang w:eastAsia="zh-CN"/>
        </w:rPr>
        <w:t>。</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75" w:name="_Toc1966765602_WPSOffice_Level2"/>
      <w:r>
        <w:rPr>
          <w:rFonts w:hint="eastAsia" w:ascii="Times New Roman" w:hAnsi="黑体" w:eastAsia="黑体" w:cs="Times New Roman"/>
          <w:b w:val="0"/>
          <w:sz w:val="32"/>
          <w:szCs w:val="32"/>
          <w:lang w:val="en-US" w:eastAsia="zh-CN"/>
        </w:rPr>
        <w:t>三、狠抓营商环境，激发经济发展活力</w:t>
      </w:r>
      <w:bookmarkEnd w:id="75"/>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Calibri" w:eastAsia="仿宋_GB2312" w:cs="Times New Roman"/>
          <w:color w:val="auto"/>
          <w:sz w:val="32"/>
          <w:szCs w:val="32"/>
          <w:lang w:val="en-US" w:eastAsia="zh-CN"/>
        </w:rPr>
      </w:pPr>
      <w:r>
        <w:rPr>
          <w:rFonts w:hint="eastAsia" w:ascii="Times New Roman" w:hAnsi="Times New Roman" w:eastAsia="仿宋_GB2312" w:cs="Times New Roman"/>
          <w:color w:val="000000"/>
          <w:sz w:val="32"/>
          <w:szCs w:val="32"/>
          <w:lang w:val="en-US" w:eastAsia="zh-CN" w:bidi="ar"/>
        </w:rPr>
        <w:t xml:space="preserve">    </w:t>
      </w:r>
      <w:r>
        <w:rPr>
          <w:rFonts w:hint="eastAsia" w:ascii="仿宋_GB2312" w:hAnsi="仿宋_GB2312" w:eastAsia="仿宋_GB2312" w:cs="仿宋_GB2312"/>
          <w:sz w:val="32"/>
          <w:szCs w:val="32"/>
          <w:lang w:val="en-US" w:eastAsia="zh-CN"/>
        </w:rPr>
        <w:t>优化发展软环境，提升企业满意度，着力打造小区域功能性配套，以满足企业对生产生活的商业需求。一是鼓励建融家园、龙湖地产等开发商盘活慧谷园等楼宇载体，完善相关配套作为人才公寓。二是在矽谷港湾、映春路沿线等商业地块</w:t>
      </w:r>
      <w:r>
        <w:rPr>
          <w:rFonts w:hint="default" w:ascii="仿宋_GB2312" w:hAnsi="仿宋_GB2312" w:eastAsia="仿宋_GB2312" w:cs="仿宋_GB2312"/>
          <w:sz w:val="32"/>
          <w:szCs w:val="32"/>
          <w:lang w:val="en-US" w:eastAsia="zh-CN"/>
        </w:rPr>
        <w:t>规划建设邻里中心，为园区企业提供餐饮、文化娱乐、商业零售、社交等配套。</w:t>
      </w:r>
      <w:r>
        <w:rPr>
          <w:rFonts w:hint="eastAsia" w:ascii="仿宋_GB2312" w:hAnsi="仿宋_GB2312" w:eastAsia="仿宋_GB2312" w:cs="仿宋_GB2312"/>
          <w:sz w:val="32"/>
          <w:szCs w:val="32"/>
          <w:lang w:val="en-US" w:eastAsia="zh-CN"/>
        </w:rPr>
        <w:t>三是加强经营性公建管理，提升商户品质，为社区发展提供更加便利的生活配套支撑。四是继续开展系列撮合对接会，举办电力装备补链强链扩链等活动，在就业对接、产销合作、提供新技术新产品应用场景等方面助力企业成长。五是建立华明服务业企业清单，为辖区内企业提供集中配餐、物流配送、洗衣、员工招聘、学前教育、艺术培训、代理记账等便民服务，帮助小微企业拓展本地市场。六是探索企业服务长效机制，加强街道统计和服务能力，对企业实行分类分级管理，建立华明企业服务信息化平台，统筹街道部门职能，“一支队伍”进企业，减少企业接待次数，切实做到服务企业帮忙不添乱</w:t>
      </w:r>
      <w:r>
        <w:rPr>
          <w:rFonts w:hint="eastAsia" w:ascii="仿宋_GB2312" w:hAnsi="仿宋_GB2312" w:eastAsia="仿宋_GB2312" w:cs="仿宋_GB2312"/>
          <w:color w:val="auto"/>
          <w:sz w:val="32"/>
          <w:szCs w:val="32"/>
          <w:lang w:val="en-US" w:eastAsia="zh-CN"/>
        </w:rPr>
        <w:t>。</w:t>
      </w:r>
      <w:r>
        <w:rPr>
          <w:rFonts w:hint="eastAsia" w:ascii="仿宋_GB2312" w:eastAsia="仿宋_GB2312" w:cs="Times New Roman"/>
          <w:color w:val="auto"/>
          <w:sz w:val="32"/>
          <w:szCs w:val="32"/>
          <w:lang w:val="en-US" w:eastAsia="zh-CN"/>
        </w:rPr>
        <w:t>七是落实行政审批容缺后补，加快推进政务服务诚信体系建设，不断提升政务服务效率。</w:t>
      </w:r>
    </w:p>
    <w:bookmarkEnd w:id="65"/>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zh-CN" w:eastAsia="zh-CN"/>
        </w:rPr>
      </w:pPr>
      <w:bookmarkStart w:id="76" w:name="_Toc505924446_WPSOffice_Level2"/>
      <w:bookmarkStart w:id="77" w:name="_Toc438047737"/>
      <w:r>
        <w:rPr>
          <w:rFonts w:hint="eastAsia" w:ascii="Times New Roman" w:hAnsi="黑体" w:eastAsia="黑体" w:cs="Times New Roman"/>
          <w:b w:val="0"/>
          <w:sz w:val="32"/>
          <w:szCs w:val="32"/>
          <w:lang w:val="zh-CN" w:eastAsia="zh-CN"/>
        </w:rPr>
        <w:t>四、实施乡村振兴战略，厚植绿色生态优势</w:t>
      </w:r>
      <w:bookmarkEnd w:id="76"/>
    </w:p>
    <w:p>
      <w:pPr>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bCs/>
          <w:sz w:val="32"/>
          <w:szCs w:val="32"/>
        </w:rPr>
      </w:pPr>
      <w:r>
        <w:rPr>
          <w:rFonts w:hint="eastAsia" w:ascii="仿宋_GB2312" w:eastAsia="仿宋_GB2312"/>
          <w:bCs/>
          <w:sz w:val="32"/>
          <w:szCs w:val="32"/>
        </w:rPr>
        <w:t>按照“因地制宜、特色发展”的规划原则，全面研究各村的特色优势资源，产业发展基础和交通区位条件，深入挖掘在地资源、充分</w:t>
      </w:r>
      <w:r>
        <w:rPr>
          <w:rFonts w:hint="eastAsia" w:ascii="仿宋_GB2312" w:eastAsia="仿宋_GB2312"/>
          <w:bCs/>
          <w:sz w:val="32"/>
          <w:szCs w:val="32"/>
          <w:lang w:eastAsia="zh-CN"/>
        </w:rPr>
        <w:t>发挥</w:t>
      </w:r>
      <w:r>
        <w:rPr>
          <w:rFonts w:hint="eastAsia" w:ascii="仿宋_GB2312" w:eastAsia="仿宋_GB2312"/>
          <w:bCs/>
          <w:sz w:val="32"/>
          <w:szCs w:val="32"/>
        </w:rPr>
        <w:t>比较优势，构建“一带一体一品牌”产业发展理念。</w:t>
      </w:r>
    </w:p>
    <w:p>
      <w:pPr>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一带：依托北部沿金钟河两侧，充分利用丽湖和赤土胡张庄鱼池，打造生态水景绿色观光带。</w:t>
      </w:r>
    </w:p>
    <w:p>
      <w:pPr>
        <w:pageBreakBefore w:val="0"/>
        <w:widowControl w:val="0"/>
        <w:kinsoku/>
        <w:wordWrap/>
        <w:overflowPunct/>
        <w:topLinePunct w:val="0"/>
        <w:autoSpaceDE/>
        <w:autoSpaceDN/>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一体：华明田园综合体，是指胡张庄乡村振兴示范区为基础，以永和村</w:t>
      </w:r>
      <w:r>
        <w:rPr>
          <w:rFonts w:hint="eastAsia" w:ascii="仿宋_GB2312" w:eastAsia="仿宋_GB2312" w:cs="仿宋_GB2312"/>
          <w:sz w:val="32"/>
          <w:szCs w:val="32"/>
          <w:lang w:eastAsia="zh-CN" w:bidi="ar-SA"/>
        </w:rPr>
        <w:t>稻蟹立体种养基地为依托</w:t>
      </w:r>
      <w:r>
        <w:rPr>
          <w:rFonts w:hint="eastAsia" w:ascii="仿宋_GB2312" w:eastAsia="仿宋_GB2312"/>
          <w:bCs/>
          <w:sz w:val="32"/>
          <w:szCs w:val="32"/>
        </w:rPr>
        <w:t>、借重东湖休闲旅游观光资源和“赤土扣肉”文化品牌影响，构建集种植养殖、采摘体验、文旅观光、农产品加工于一体的产业体系，实现生产、生活、生态功能促进融合，形成现代都市型农业新亮点。</w:t>
      </w:r>
    </w:p>
    <w:p>
      <w:pPr>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品牌：打造一个“津农精品”品牌，坚持品牌化发展方向，整合扶植宽达水产、胡张庄葡萄、蓬源乳品、赤土扣肉、欢坨西红柿等特色产品，做好龙头产品品牌文章，以高端生态产品提升龙头品牌效益，带动农户增收。</w:t>
      </w: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bookmarkStart w:id="78" w:name="_Toc351770969_WPSOffice_Level1"/>
      <w:r>
        <w:rPr>
          <w:rFonts w:hint="eastAsia" w:ascii="Times New Roman" w:hAnsi="黑体" w:eastAsia="黑体"/>
          <w:b w:val="0"/>
          <w:sz w:val="32"/>
          <w:szCs w:val="32"/>
          <w:lang w:val="en-US" w:eastAsia="zh-CN"/>
        </w:rPr>
        <w:t>第四章 全面提高城市管理精细化水平</w:t>
      </w:r>
      <w:bookmarkEnd w:id="77"/>
      <w:bookmarkEnd w:id="78"/>
    </w:p>
    <w:p>
      <w:pPr>
        <w:pageBreakBefore w:val="0"/>
        <w:numPr>
          <w:ilvl w:val="0"/>
          <w:numId w:val="0"/>
        </w:numPr>
        <w:kinsoku/>
        <w:wordWrap/>
        <w:overflowPunct/>
        <w:topLinePunct w:val="0"/>
        <w:autoSpaceDE/>
        <w:autoSpaceDN/>
        <w:bidi w:val="0"/>
        <w:spacing w:line="560" w:lineRule="exact"/>
        <w:ind w:leftChars="0"/>
        <w:textAlignment w:val="auto"/>
        <w:rPr>
          <w:rFonts w:hint="eastAsia"/>
          <w:lang w:eastAsia="zh-CN"/>
        </w:rPr>
      </w:pPr>
    </w:p>
    <w:p>
      <w:pPr>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eastAsia="仿宋_GB2312"/>
          <w:sz w:val="32"/>
          <w:szCs w:val="32"/>
        </w:rPr>
        <w:t>以打造新型城镇化示范区为目标，以建设绿色生态宜居城区、高端产业聚集区和京津城市功能拓展区为方向，坚持中心城区、新市镇、功能区协调发展，高起点规划、高水平建设、高效能管理，妥善解决城镇化遗留问题，实现农村向城市的历史性转变。</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r>
        <w:rPr>
          <w:rFonts w:hint="eastAsia" w:ascii="Times New Roman" w:hAnsi="黑体" w:eastAsia="黑体" w:cs="Times New Roman"/>
          <w:b w:val="0"/>
          <w:sz w:val="32"/>
          <w:szCs w:val="32"/>
          <w:lang w:val="en-US" w:eastAsia="zh-CN"/>
        </w:rPr>
        <w:t xml:space="preserve"> </w:t>
      </w:r>
      <w:bookmarkStart w:id="79" w:name="_Toc1822414115_WPSOffice_Level2"/>
      <w:r>
        <w:rPr>
          <w:rFonts w:hint="eastAsia" w:ascii="Times New Roman" w:hAnsi="黑体" w:eastAsia="黑体" w:cs="Times New Roman"/>
          <w:b w:val="0"/>
          <w:sz w:val="32"/>
          <w:szCs w:val="32"/>
          <w:lang w:val="en-US" w:eastAsia="zh-CN"/>
        </w:rPr>
        <w:t>一、量力而行逐步推动城市更新</w:t>
      </w:r>
      <w:bookmarkEnd w:id="79"/>
    </w:p>
    <w:p>
      <w:pPr>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bCs/>
          <w:sz w:val="32"/>
          <w:szCs w:val="32"/>
        </w:rPr>
      </w:pPr>
      <w:r>
        <w:rPr>
          <w:rFonts w:hint="eastAsia" w:ascii="仿宋_GB2312" w:eastAsia="仿宋_GB2312"/>
          <w:bCs/>
          <w:sz w:val="32"/>
          <w:szCs w:val="32"/>
        </w:rPr>
        <w:t>一是注重基础设施规划引领，围绕宝能城区域和示范镇北部规划路网</w:t>
      </w:r>
      <w:r>
        <w:rPr>
          <w:rFonts w:hint="eastAsia" w:ascii="仿宋_GB2312" w:eastAsia="仿宋_GB2312"/>
          <w:bCs/>
          <w:sz w:val="32"/>
          <w:szCs w:val="32"/>
          <w:lang w:eastAsia="zh-CN"/>
        </w:rPr>
        <w:t>，最大限度解决东西向出行问题</w:t>
      </w:r>
      <w:r>
        <w:rPr>
          <w:rFonts w:hint="eastAsia" w:ascii="仿宋_GB2312" w:eastAsia="仿宋_GB2312"/>
          <w:bCs/>
          <w:sz w:val="32"/>
          <w:szCs w:val="32"/>
        </w:rPr>
        <w:t>。二是注重城市形象品</w:t>
      </w:r>
      <w:r>
        <w:rPr>
          <w:rFonts w:hint="eastAsia" w:ascii="仿宋_GB2312" w:eastAsia="仿宋_GB2312"/>
          <w:bCs/>
          <w:sz w:val="32"/>
          <w:szCs w:val="32"/>
          <w:lang w:eastAsia="zh-CN"/>
        </w:rPr>
        <w:t>位</w:t>
      </w:r>
      <w:r>
        <w:rPr>
          <w:rFonts w:hint="eastAsia" w:ascii="仿宋_GB2312" w:eastAsia="仿宋_GB2312"/>
          <w:bCs/>
          <w:sz w:val="32"/>
          <w:szCs w:val="32"/>
        </w:rPr>
        <w:t>提升，研究制定“金巢计划”</w:t>
      </w:r>
      <w:r>
        <w:rPr>
          <w:rFonts w:hint="eastAsia" w:ascii="仿宋_GB2312" w:eastAsia="仿宋_GB2312"/>
          <w:bCs/>
          <w:sz w:val="32"/>
          <w:szCs w:val="32"/>
          <w:lang w:eastAsia="zh-CN"/>
        </w:rPr>
        <w:t>，实施</w:t>
      </w:r>
      <w:r>
        <w:rPr>
          <w:rFonts w:hint="eastAsia" w:ascii="仿宋_GB2312" w:eastAsia="仿宋_GB2312"/>
          <w:bCs/>
          <w:sz w:val="32"/>
          <w:szCs w:val="32"/>
        </w:rPr>
        <w:t>卫国道沿线街景和产业规划，力求以高端产业带动形成靓丽和独具特色的空中“迎宾线”。三是审慎对待发展空间“留白”，</w:t>
      </w:r>
      <w:r>
        <w:rPr>
          <w:rFonts w:hint="eastAsia" w:ascii="仿宋_GB2312" w:eastAsia="仿宋_GB2312"/>
          <w:bCs/>
          <w:sz w:val="32"/>
          <w:szCs w:val="32"/>
          <w:lang w:eastAsia="zh-CN"/>
        </w:rPr>
        <w:t>对</w:t>
      </w:r>
      <w:r>
        <w:rPr>
          <w:rFonts w:hint="eastAsia" w:ascii="仿宋_GB2312" w:eastAsia="仿宋_GB2312"/>
          <w:bCs/>
          <w:sz w:val="32"/>
          <w:szCs w:val="32"/>
        </w:rPr>
        <w:t>朱庄村和于明庄村</w:t>
      </w:r>
      <w:r>
        <w:rPr>
          <w:rFonts w:hint="eastAsia" w:ascii="仿宋_GB2312" w:eastAsia="仿宋_GB2312"/>
          <w:bCs/>
          <w:sz w:val="32"/>
          <w:szCs w:val="32"/>
          <w:lang w:eastAsia="zh-CN"/>
        </w:rPr>
        <w:t>这两个</w:t>
      </w:r>
      <w:r>
        <w:rPr>
          <w:rFonts w:hint="eastAsia" w:ascii="仿宋_GB2312" w:eastAsia="仿宋_GB2312"/>
          <w:bCs/>
          <w:sz w:val="32"/>
          <w:szCs w:val="32"/>
        </w:rPr>
        <w:t>华明最后的村庄区域，</w:t>
      </w:r>
      <w:r>
        <w:rPr>
          <w:rFonts w:hint="eastAsia" w:ascii="仿宋_GB2312" w:eastAsia="仿宋_GB2312"/>
          <w:bCs/>
          <w:sz w:val="32"/>
          <w:szCs w:val="32"/>
          <w:lang w:eastAsia="zh-CN"/>
        </w:rPr>
        <w:t>结合</w:t>
      </w:r>
      <w:r>
        <w:rPr>
          <w:rFonts w:hint="eastAsia" w:ascii="仿宋_GB2312" w:eastAsia="仿宋_GB2312"/>
          <w:bCs/>
          <w:sz w:val="32"/>
          <w:szCs w:val="32"/>
        </w:rPr>
        <w:t>临空经济区的二片区规划，</w:t>
      </w:r>
      <w:r>
        <w:rPr>
          <w:rFonts w:hint="eastAsia" w:ascii="仿宋_GB2312" w:eastAsia="仿宋_GB2312"/>
          <w:bCs/>
          <w:sz w:val="32"/>
          <w:szCs w:val="32"/>
          <w:lang w:eastAsia="zh-CN"/>
        </w:rPr>
        <w:t>借势开发、审慎发展，</w:t>
      </w:r>
      <w:r>
        <w:rPr>
          <w:rFonts w:hint="eastAsia" w:ascii="仿宋_GB2312" w:eastAsia="仿宋_GB2312"/>
          <w:bCs/>
          <w:sz w:val="32"/>
          <w:szCs w:val="32"/>
        </w:rPr>
        <w:t>绝不搞超出自身承受能力开发，主动对接洽谈项目，把握发展机会，以项目落地促进区域发展。</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80" w:name="_Toc1954815766_WPSOffice_Level2"/>
      <w:r>
        <w:rPr>
          <w:rFonts w:hint="eastAsia" w:ascii="Times New Roman" w:hAnsi="黑体" w:eastAsia="黑体" w:cs="Times New Roman"/>
          <w:b w:val="0"/>
          <w:sz w:val="32"/>
          <w:szCs w:val="32"/>
          <w:lang w:val="en-US" w:eastAsia="zh-CN"/>
        </w:rPr>
        <w:t>二、多措并举努力提升物业费收缴率</w:t>
      </w:r>
      <w:bookmarkEnd w:id="80"/>
    </w:p>
    <w:p>
      <w:pPr>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“十四五”期间物业费收缴率力争达到95%以上并长期保持；在全面提升物业费收缴率的基础上</w:t>
      </w:r>
      <w:r>
        <w:rPr>
          <w:rFonts w:hint="eastAsia" w:ascii="仿宋_GB2312" w:eastAsia="仿宋_GB2312"/>
          <w:bCs/>
          <w:sz w:val="32"/>
          <w:szCs w:val="32"/>
        </w:rPr>
        <w:t>，努力打造精品物业，引进精品物业不少于3家；以经营城市的理念和模式引入社会资本，</w:t>
      </w:r>
      <w:r>
        <w:rPr>
          <w:rFonts w:hint="eastAsia" w:ascii="仿宋_GB2312" w:eastAsia="仿宋_GB2312"/>
          <w:bCs/>
          <w:sz w:val="32"/>
          <w:szCs w:val="32"/>
          <w:lang w:eastAsia="zh-CN"/>
        </w:rPr>
        <w:t>尝</w:t>
      </w:r>
      <w:r>
        <w:rPr>
          <w:rFonts w:hint="eastAsia" w:ascii="仿宋_GB2312" w:eastAsia="仿宋_GB2312"/>
          <w:bCs/>
          <w:sz w:val="32"/>
          <w:szCs w:val="32"/>
        </w:rPr>
        <w:t>试将市容与物业统筹管理，打造干净、整洁、靓丽、有序的市容市貌和居住环境；社区电动自行车充电桩</w:t>
      </w:r>
      <w:r>
        <w:rPr>
          <w:rFonts w:hint="eastAsia" w:ascii="仿宋_GB2312" w:eastAsia="仿宋_GB2312"/>
          <w:bCs/>
          <w:sz w:val="32"/>
          <w:szCs w:val="32"/>
          <w:lang w:val="en-US" w:eastAsia="zh-CN"/>
        </w:rPr>
        <w:t>实现全覆盖，引进新能源汽车充电网络，促进低碳环保绿色出行。</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81" w:name="_Toc679982881_WPSOffice_Level2"/>
      <w:r>
        <w:rPr>
          <w:rFonts w:hint="eastAsia" w:ascii="Times New Roman" w:hAnsi="黑体" w:eastAsia="黑体" w:cs="Times New Roman"/>
          <w:b w:val="0"/>
          <w:sz w:val="32"/>
          <w:szCs w:val="32"/>
          <w:lang w:val="en-US" w:eastAsia="zh-CN"/>
        </w:rPr>
        <w:t>三、日臻完备城市设施和功能</w:t>
      </w:r>
      <w:bookmarkEnd w:id="81"/>
    </w:p>
    <w:p>
      <w:pPr>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bCs/>
          <w:sz w:val="32"/>
          <w:szCs w:val="32"/>
        </w:rPr>
      </w:pPr>
      <w:r>
        <w:rPr>
          <w:rFonts w:hint="eastAsia" w:ascii="仿宋_GB2312" w:eastAsia="仿宋_GB2312"/>
          <w:bCs/>
          <w:sz w:val="32"/>
          <w:szCs w:val="32"/>
          <w:lang w:val="en-US" w:eastAsia="zh-CN"/>
        </w:rPr>
        <w:t>建设智慧停车系统，充分利用有限资源解决停车难问题；疏通地下管网，接驳张贵</w:t>
      </w:r>
      <w:r>
        <w:rPr>
          <w:rFonts w:hint="eastAsia" w:ascii="仿宋_GB2312" w:eastAsia="仿宋_GB2312"/>
          <w:bCs/>
          <w:sz w:val="32"/>
          <w:szCs w:val="32"/>
        </w:rPr>
        <w:t>庄污水处理厂，适时改造排水系统，打造海绵城市</w:t>
      </w:r>
      <w:bookmarkStart w:id="82" w:name="_Toc5336"/>
      <w:bookmarkStart w:id="83" w:name="_Toc25340"/>
      <w:bookmarkStart w:id="84" w:name="_Toc280344357"/>
      <w:bookmarkStart w:id="85" w:name="_Toc13314"/>
      <w:bookmarkStart w:id="86" w:name="_Toc434487884"/>
      <w:r>
        <w:rPr>
          <w:rFonts w:hint="eastAsia" w:ascii="仿宋_GB2312" w:eastAsia="仿宋_GB2312"/>
          <w:bCs/>
          <w:sz w:val="32"/>
          <w:szCs w:val="32"/>
          <w:lang w:eastAsia="zh-CN"/>
        </w:rPr>
        <w:t>；</w:t>
      </w:r>
      <w:r>
        <w:rPr>
          <w:rFonts w:hint="eastAsia" w:ascii="仿宋_GB2312" w:eastAsia="仿宋_GB2312"/>
          <w:bCs/>
          <w:sz w:val="32"/>
          <w:szCs w:val="32"/>
          <w:lang w:val="en-US" w:eastAsia="zh-CN"/>
        </w:rPr>
        <w:t>建立完善的可回收垃圾、有害垃圾、厨余垃圾和其他垃圾的投放、收集、运输、贮存、处置体系和监督管理体系；实施商户牌匾规范改造，提升街容景观水平。为满足街域内人民群众日常生活及企业生产经营对货运机动车运输的需求，结合周边道路交通实际，</w:t>
      </w:r>
      <w:r>
        <w:rPr>
          <w:rFonts w:hint="default" w:ascii="仿宋_GB2312" w:eastAsia="仿宋_GB2312"/>
          <w:bCs/>
          <w:sz w:val="32"/>
          <w:szCs w:val="32"/>
          <w:lang w:val="en-US" w:eastAsia="zh-CN"/>
        </w:rPr>
        <w:t>对</w:t>
      </w:r>
      <w:r>
        <w:rPr>
          <w:rFonts w:hint="eastAsia" w:ascii="仿宋_GB2312" w:eastAsia="仿宋_GB2312"/>
          <w:bCs/>
          <w:sz w:val="32"/>
          <w:szCs w:val="32"/>
          <w:lang w:val="en-US" w:eastAsia="zh-CN"/>
        </w:rPr>
        <w:t>津汉公路、杨北公路、跃进路</w:t>
      </w:r>
      <w:r>
        <w:rPr>
          <w:rFonts w:hint="default" w:ascii="仿宋_GB2312" w:eastAsia="仿宋_GB2312"/>
          <w:bCs/>
          <w:sz w:val="32"/>
          <w:szCs w:val="32"/>
          <w:lang w:val="en-US" w:eastAsia="zh-CN"/>
        </w:rPr>
        <w:t>等道路围合成的区域内道路采取货运机动车限行管理措施</w:t>
      </w:r>
      <w:r>
        <w:rPr>
          <w:rFonts w:hint="eastAsia" w:ascii="仿宋_GB2312" w:eastAsia="仿宋_GB2312"/>
          <w:bCs/>
          <w:sz w:val="32"/>
          <w:szCs w:val="32"/>
          <w:lang w:val="en-US" w:eastAsia="zh-CN"/>
        </w:rPr>
        <w:t>。</w:t>
      </w:r>
      <w:r>
        <w:rPr>
          <w:rFonts w:hint="eastAsia" w:ascii="仿宋_GB2312" w:eastAsia="仿宋_GB2312"/>
          <w:bCs/>
          <w:sz w:val="32"/>
          <w:szCs w:val="32"/>
          <w:lang w:eastAsia="zh-CN"/>
        </w:rPr>
        <w:t>联通社区景观</w:t>
      </w:r>
      <w:r>
        <w:rPr>
          <w:rFonts w:hint="eastAsia" w:ascii="仿宋_GB2312" w:eastAsia="仿宋_GB2312"/>
          <w:bCs/>
          <w:sz w:val="32"/>
          <w:szCs w:val="32"/>
        </w:rPr>
        <w:t>绿轴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通过局部错落、拼接，将周边自然资源融入社区的开放空间，打造花园组团，优化结构空间，形成汇聚公共活力与资源的城市活力轴，形成独特的地标，营造一体化社区生态景观轴，为居民提供休憩和活动的场所。</w:t>
      </w:r>
    </w:p>
    <w:p>
      <w:pPr>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bCs/>
          <w:sz w:val="32"/>
          <w:szCs w:val="32"/>
          <w:lang w:eastAsia="zh-CN"/>
        </w:rPr>
      </w:pPr>
    </w:p>
    <w:p>
      <w:pPr>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bCs/>
          <w:sz w:val="32"/>
          <w:szCs w:val="32"/>
        </w:rPr>
      </w:pPr>
    </w:p>
    <w:p>
      <w:pPr>
        <w:pageBreakBefore w:val="0"/>
        <w:widowControl w:val="0"/>
        <w:kinsoku/>
        <w:wordWrap/>
        <w:overflowPunct/>
        <w:topLinePunct w:val="0"/>
        <w:autoSpaceDE/>
        <w:autoSpaceDN/>
        <w:bidi w:val="0"/>
        <w:spacing w:line="560" w:lineRule="exact"/>
        <w:ind w:left="0" w:firstLine="420" w:firstLineChars="200"/>
        <w:textAlignment w:val="auto"/>
        <w:rPr>
          <w:rFonts w:hint="default"/>
          <w:color w:val="FF0000"/>
          <w:lang w:val="en-US"/>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bookmarkStart w:id="87" w:name="_Toc396289803_WPSOffice_Level1"/>
      <w:r>
        <w:rPr>
          <w:rFonts w:hint="eastAsia" w:ascii="Times New Roman" w:hAnsi="黑体" w:eastAsia="黑体"/>
          <w:b w:val="0"/>
          <w:sz w:val="32"/>
          <w:szCs w:val="32"/>
          <w:lang w:val="en-US" w:eastAsia="zh-CN"/>
        </w:rPr>
        <w:t>第五章 以人为本，增进民生福祉</w:t>
      </w:r>
      <w:bookmarkEnd w:id="87"/>
    </w:p>
    <w:p>
      <w:pPr>
        <w:pageBreakBefore w:val="0"/>
        <w:numPr>
          <w:ilvl w:val="0"/>
          <w:numId w:val="0"/>
        </w:numPr>
        <w:kinsoku/>
        <w:wordWrap/>
        <w:overflowPunct/>
        <w:topLinePunct w:val="0"/>
        <w:autoSpaceDE/>
        <w:autoSpaceDN/>
        <w:bidi w:val="0"/>
        <w:spacing w:line="560" w:lineRule="exact"/>
        <w:ind w:leftChars="0"/>
        <w:textAlignment w:val="auto"/>
        <w:rPr>
          <w:rFonts w:hint="eastAsia"/>
          <w:lang w:eastAsia="zh-CN"/>
        </w:rPr>
      </w:pP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立足智慧华明定位，坚持以人为本、民生至上，全面提升华明城市综合承载力，重点补齐基本公共服务短板，积极扩大优质公共服务供给，提升高端公共服务品质，开放公共服务数字场景，打造更高质量的民生幸福家园。</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88" w:name="_Toc610113590_WPSOffice_Level2"/>
      <w:r>
        <w:rPr>
          <w:rFonts w:hint="eastAsia" w:ascii="Times New Roman" w:hAnsi="黑体" w:eastAsia="黑体" w:cs="Times New Roman"/>
          <w:b w:val="0"/>
          <w:sz w:val="32"/>
          <w:szCs w:val="32"/>
          <w:lang w:val="en-US" w:eastAsia="zh-CN"/>
        </w:rPr>
        <w:t>一、促进基础教育优质均衡发展</w:t>
      </w:r>
      <w:bookmarkEnd w:id="88"/>
      <w:r>
        <w:rPr>
          <w:rFonts w:hint="eastAsia" w:ascii="Times New Roman" w:hAnsi="黑体" w:eastAsia="黑体" w:cs="Times New Roman"/>
          <w:b w:val="0"/>
          <w:sz w:val="32"/>
          <w:szCs w:val="32"/>
          <w:lang w:val="en-US" w:eastAsia="zh-CN"/>
        </w:rPr>
        <w:t xml:space="preserve"> </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坚持公益性与素质教育两大原则，着力缩小基础教育城乡差距，促进基础教育优质均衡发展，提升学前教育保教质量、义务教育教学质量。在各社区普遍建立社区学校（老年大学分校），建成四个社区老年学习中心。建立健全社区教育机构和办学网络，成立社区教育办公室，建立社区教育联席</w:t>
      </w:r>
      <w:r>
        <w:rPr>
          <w:rFonts w:hint="eastAsia" w:ascii="仿宋_GB2312" w:eastAsia="仿宋_GB2312"/>
          <w:sz w:val="32"/>
          <w:szCs w:val="32"/>
          <w:lang w:val="en-US" w:eastAsia="zh-CN"/>
        </w:rPr>
        <w:t>会议制度，举办老年大学，开展远程教育、网上教育。积极对接区教育局、住建委启动华明家园东区教育项目规划建设。到2025年新增公益性民办幼儿园2所，支持民办园提供普惠服务，扩大普惠学位供给。</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89" w:name="_Toc1526907920_WPSOffice_Level2"/>
      <w:r>
        <w:rPr>
          <w:rFonts w:hint="eastAsia" w:ascii="Times New Roman" w:hAnsi="黑体" w:eastAsia="黑体" w:cs="Times New Roman"/>
          <w:b w:val="0"/>
          <w:sz w:val="32"/>
          <w:szCs w:val="32"/>
          <w:lang w:val="en-US" w:eastAsia="zh-CN"/>
        </w:rPr>
        <w:t>二、树立正确健康观建设健康华明</w:t>
      </w:r>
      <w:bookmarkEnd w:id="89"/>
    </w:p>
    <w:p>
      <w:pPr>
        <w:pageBreakBefore w:val="0"/>
        <w:widowControl w:val="0"/>
        <w:kinsoku/>
        <w:wordWrap/>
        <w:overflowPunct/>
        <w:topLinePunct w:val="0"/>
        <w:autoSpaceDE/>
        <w:autoSpaceDN/>
        <w:bidi w:val="0"/>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围绕健康中国建设要求，加快建设健康华明，深入开展基本医疗卫生服务均等化、疾病预防控制体系建设等重点工程，全方位、全周期保障和促进人民健康。强化卫生防病和健康知识宣传，鼓励社区、社区卫生服务中心、学校等积极开展健康教育活动。依托社区卫生服务中心（站），推广体医结合的疾病管理和健康服务模式。建立精神卫生综合管理机制，完善社区精神卫生康复站功能，推进心理健康教育、咨询、危机干预。优化医疗卫生资源配置，推动基本医疗卫生服务均等化，“十四五</w:t>
      </w:r>
      <w:r>
        <w:rPr>
          <w:rFonts w:hint="eastAsia" w:ascii="仿宋_GB2312" w:eastAsia="仿宋_GB2312"/>
          <w:bCs/>
          <w:sz w:val="32"/>
          <w:szCs w:val="32"/>
          <w:lang w:val="en-US" w:eastAsia="zh-CN"/>
        </w:rPr>
        <w:t>”期间，新建社区卫生服务站7个，做强基层医疗卫生服务能力。采取引进人才、加强医护人员培训、与大医院联合建设等方法，全面提升社区医疗服务水平。健全重大疫情等突发公共卫生事件应急响应机制。到2025年，建成反应迅速的疫情应急响应和救治机制，重大疫情防控水平进一步</w:t>
      </w:r>
      <w:r>
        <w:rPr>
          <w:rFonts w:hint="eastAsia" w:eastAsia="仿宋_GB2312"/>
          <w:sz w:val="32"/>
          <w:szCs w:val="32"/>
          <w:lang w:val="en-US" w:eastAsia="zh-CN"/>
        </w:rPr>
        <w:t>提高。</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90" w:name="_Toc1287330814_WPSOffice_Level2"/>
      <w:r>
        <w:rPr>
          <w:rFonts w:hint="eastAsia" w:ascii="Times New Roman" w:hAnsi="黑体" w:eastAsia="黑体" w:cs="Times New Roman"/>
          <w:b w:val="0"/>
          <w:sz w:val="32"/>
          <w:szCs w:val="32"/>
          <w:lang w:val="en-US" w:eastAsia="zh-CN"/>
        </w:rPr>
        <w:t>三、兜牢民生底线提高民生保障水平</w:t>
      </w:r>
      <w:bookmarkEnd w:id="90"/>
      <w:r>
        <w:rPr>
          <w:rFonts w:hint="eastAsia" w:ascii="Times New Roman" w:hAnsi="黑体" w:eastAsia="黑体" w:cs="Times New Roman"/>
          <w:b w:val="0"/>
          <w:sz w:val="32"/>
          <w:szCs w:val="32"/>
          <w:lang w:val="en-US" w:eastAsia="zh-CN"/>
        </w:rPr>
        <w:t xml:space="preserve"> </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sz w:val="32"/>
          <w:szCs w:val="32"/>
          <w:lang w:val="en-US" w:eastAsia="zh-CN"/>
        </w:rPr>
      </w:pPr>
      <w:r>
        <w:rPr>
          <w:rFonts w:hint="eastAsia" w:eastAsia="仿宋_GB2312"/>
          <w:sz w:val="32"/>
          <w:szCs w:val="32"/>
          <w:lang w:val="en-US" w:eastAsia="zh-CN"/>
        </w:rPr>
        <w:t>统筹优化社会救助与社会福利体系。统筹完善社会救助、社会福利、慈善事业、优抚安置等制度，维护社会底线公平，解除困难群体生存危机。落实城乡低保制度和特困人员救助供养政策，深化“救急难”工作平台应用，推进社会救助信息共享、数据监测工作，推动救助管理站设施建设。贯彻落实男女平等基本国策，为妇女儿童全面发展营造新环境，开展“巾帼就业”行动，完善“养治教康”儿童福利服务设施网络，健全特殊困境妇女儿童关爱帮扶机制。促进公益慈善事业健康发展，激发专业化社会服务机构、志愿服务组织和慈善组织活力，培育民间互助基金、项目捐赠、慈善信托、网络慈善等新模式，有效补充政府力量。</w:t>
      </w:r>
      <w:r>
        <w:rPr>
          <w:rFonts w:hint="eastAsia" w:ascii="仿宋_GB2312" w:eastAsia="仿宋_GB2312"/>
          <w:bCs/>
          <w:sz w:val="32"/>
          <w:szCs w:val="32"/>
          <w:lang w:val="en-US" w:eastAsia="zh-CN"/>
        </w:rPr>
        <w:t>到2025年，形成以“托底线、救急难、保民生”为基础的社会救助和社会福利体系。</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91" w:name="_Toc1364031803_WPSOffice_Level2"/>
      <w:r>
        <w:rPr>
          <w:rFonts w:hint="eastAsia" w:ascii="Times New Roman" w:hAnsi="黑体" w:eastAsia="黑体" w:cs="Times New Roman"/>
          <w:b w:val="0"/>
          <w:sz w:val="32"/>
          <w:szCs w:val="32"/>
          <w:lang w:val="en-US" w:eastAsia="zh-CN"/>
        </w:rPr>
        <w:t>四、创新服务模式提升养老服务品质</w:t>
      </w:r>
      <w:bookmarkEnd w:id="91"/>
      <w:r>
        <w:rPr>
          <w:rFonts w:hint="eastAsia" w:ascii="Times New Roman" w:hAnsi="黑体" w:eastAsia="黑体" w:cs="Times New Roman"/>
          <w:b w:val="0"/>
          <w:sz w:val="32"/>
          <w:szCs w:val="32"/>
          <w:lang w:val="en-US" w:eastAsia="zh-CN"/>
        </w:rPr>
        <w:t xml:space="preserve"> </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sz w:val="32"/>
          <w:szCs w:val="32"/>
          <w:lang w:val="en-US" w:eastAsia="zh-CN"/>
        </w:rPr>
      </w:pPr>
      <w:r>
        <w:rPr>
          <w:rFonts w:hint="eastAsia" w:eastAsia="仿宋_GB2312"/>
          <w:sz w:val="32"/>
          <w:szCs w:val="32"/>
          <w:lang w:val="en-US" w:eastAsia="zh-CN"/>
        </w:rPr>
        <w:t>积极应对人口老龄化，加快完善居家为基础、社区为依托、机构为补充、医养有机结合的多层次养老服务体系，加强老年人民生保障和服务供给，建设“老有所养”的和谐社会，确保全体老年人共享小康社会建设成果。推动居家养老、社区养老和机构养老融合发展；引入社会力量扩大养老服务有效供给；加强医养结合提升健康养老服务水平；建服务网络健全老年人关爱体系，扶持发展各类为老服务志愿组织，鼓励支持社会工作者参与养老服务，加强老年人心理疏导和精神慰藉。</w:t>
      </w:r>
      <w:r>
        <w:rPr>
          <w:rFonts w:hint="eastAsia" w:ascii="仿宋_GB2312" w:eastAsia="仿宋_GB2312"/>
          <w:bCs/>
          <w:sz w:val="32"/>
          <w:szCs w:val="32"/>
          <w:lang w:val="en-US" w:eastAsia="zh-CN"/>
        </w:rPr>
        <w:t>到2025年，新建或改扩建社区老年日照中心6个；形成低端有保障、中端有扶持、高端有引导的养老服务体系，实现每千人常住人口养老床位数</w:t>
      </w:r>
      <w:r>
        <w:rPr>
          <w:rFonts w:hint="default" w:ascii="仿宋_GB2312" w:eastAsia="仿宋_GB2312"/>
          <w:bCs/>
          <w:sz w:val="32"/>
          <w:szCs w:val="32"/>
          <w:lang w:val="en-US" w:eastAsia="zh-CN"/>
        </w:rPr>
        <w:t>40</w:t>
      </w:r>
      <w:r>
        <w:rPr>
          <w:rFonts w:hint="eastAsia" w:ascii="仿宋_GB2312" w:eastAsia="仿宋_GB2312"/>
          <w:bCs/>
          <w:sz w:val="32"/>
          <w:szCs w:val="32"/>
          <w:lang w:val="en-US" w:eastAsia="zh-CN"/>
        </w:rPr>
        <w:t>张以上，民办养老机构床位占比不低于</w:t>
      </w:r>
      <w:r>
        <w:rPr>
          <w:rFonts w:hint="default" w:ascii="仿宋_GB2312" w:eastAsia="仿宋_GB2312"/>
          <w:bCs/>
          <w:sz w:val="32"/>
          <w:szCs w:val="32"/>
          <w:lang w:val="en-US" w:eastAsia="zh-CN"/>
        </w:rPr>
        <w:t>70</w:t>
      </w:r>
      <w:r>
        <w:rPr>
          <w:rFonts w:hint="eastAsia" w:ascii="仿宋_GB2312" w:eastAsia="仿宋_GB2312"/>
          <w:bCs/>
          <w:sz w:val="32"/>
          <w:szCs w:val="32"/>
          <w:lang w:val="en-US" w:eastAsia="zh-CN"/>
        </w:rPr>
        <w:t>%；全街护理型床位占养老机构床位总数</w:t>
      </w:r>
      <w:r>
        <w:rPr>
          <w:rFonts w:hint="default" w:ascii="仿宋_GB2312" w:eastAsia="仿宋_GB2312"/>
          <w:bCs/>
          <w:sz w:val="32"/>
          <w:szCs w:val="32"/>
          <w:lang w:val="en-US" w:eastAsia="zh-CN"/>
        </w:rPr>
        <w:t>50</w:t>
      </w:r>
      <w:r>
        <w:rPr>
          <w:rFonts w:hint="eastAsia" w:ascii="仿宋_GB2312" w:eastAsia="仿宋_GB2312"/>
          <w:bCs/>
          <w:sz w:val="32"/>
          <w:szCs w:val="32"/>
          <w:lang w:val="en-US" w:eastAsia="zh-CN"/>
        </w:rPr>
        <w:t>%以上；形成完善的老年人关爱服务体系，建设社区老年大学4所。</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92" w:name="_Toc2028869129_WPSOffice_Level2"/>
      <w:r>
        <w:rPr>
          <w:rFonts w:hint="eastAsia" w:ascii="Times New Roman" w:hAnsi="黑体" w:eastAsia="黑体" w:cs="Times New Roman"/>
          <w:b w:val="0"/>
          <w:sz w:val="32"/>
          <w:szCs w:val="32"/>
          <w:lang w:val="en-US" w:eastAsia="zh-CN"/>
        </w:rPr>
        <w:t>五、加强人口管理释放“人口红利”</w:t>
      </w:r>
      <w:bookmarkEnd w:id="92"/>
      <w:r>
        <w:rPr>
          <w:rFonts w:hint="eastAsia" w:ascii="Times New Roman" w:hAnsi="黑体" w:eastAsia="黑体" w:cs="Times New Roman"/>
          <w:b w:val="0"/>
          <w:sz w:val="32"/>
          <w:szCs w:val="32"/>
          <w:lang w:val="en-US" w:eastAsia="zh-CN"/>
        </w:rPr>
        <w:t xml:space="preserve"> </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sz w:val="32"/>
          <w:szCs w:val="32"/>
          <w:lang w:val="en-US" w:eastAsia="zh-CN"/>
        </w:rPr>
      </w:pPr>
      <w:r>
        <w:rPr>
          <w:rFonts w:hint="eastAsia" w:eastAsia="仿宋_GB2312"/>
          <w:sz w:val="32"/>
          <w:szCs w:val="32"/>
          <w:lang w:val="en-US" w:eastAsia="zh-CN"/>
        </w:rPr>
        <w:t>以促进人口均衡发展、全面提升人口素质为主线，综合施策，创造有利于发展的人口总量势能、结构红利和素质资本叠加优势，促进人口与经济、社会、资源、环境协调发展，为智慧华明建设提供坚实基础和持久动力。</w:t>
      </w:r>
      <w:r>
        <w:rPr>
          <w:rFonts w:hint="eastAsia" w:eastAsia="仿宋_GB2312"/>
          <w:sz w:val="32"/>
          <w:szCs w:val="32"/>
          <w:highlight w:val="none"/>
          <w:lang w:val="en-US" w:eastAsia="zh-CN"/>
        </w:rPr>
        <w:t>实现适度生育水平，延续人口势能优势。健全妇幼健康计划生</w:t>
      </w:r>
      <w:r>
        <w:rPr>
          <w:rFonts w:hint="eastAsia" w:eastAsia="仿宋_GB2312"/>
          <w:sz w:val="32"/>
          <w:szCs w:val="32"/>
          <w:lang w:val="en-US" w:eastAsia="zh-CN"/>
        </w:rPr>
        <w:t>育服务体系，做好优生优育服务，发展婴幼儿照护服务，合理规划配置婴童照料资源，保障母婴权益。加大对计划生育家庭的扶助力度，对全面两孩政策实施前的独生子女家庭继续实行现行各项奖励扶助政策，在社会保障、集体收益分配、就业创业等方面予以倾斜。完善计划生育家庭特别扶助制度，加大对残疾人家庭、贫困家庭、计划生育特殊家庭、老年空巢家庭、单亲家庭等的帮扶支持力度。</w:t>
      </w:r>
      <w:r>
        <w:rPr>
          <w:rFonts w:hint="eastAsia" w:ascii="仿宋_GB2312" w:eastAsia="仿宋_GB2312"/>
          <w:bCs/>
          <w:sz w:val="32"/>
          <w:szCs w:val="32"/>
          <w:lang w:val="en-US" w:eastAsia="zh-CN"/>
        </w:rPr>
        <w:t>到2025年，将人口自然增长率维持在</w:t>
      </w:r>
      <w:r>
        <w:rPr>
          <w:rFonts w:hint="default" w:ascii="仿宋_GB2312" w:eastAsia="仿宋_GB2312"/>
          <w:bCs/>
          <w:sz w:val="32"/>
          <w:szCs w:val="32"/>
          <w:lang w:val="en-US" w:eastAsia="zh-CN"/>
        </w:rPr>
        <w:t>3</w:t>
      </w:r>
      <w:r>
        <w:rPr>
          <w:rFonts w:hint="eastAsia" w:ascii="仿宋_GB2312" w:eastAsia="仿宋_GB2312"/>
          <w:bCs/>
          <w:sz w:val="32"/>
          <w:szCs w:val="32"/>
          <w:lang w:val="en-US" w:eastAsia="zh-CN"/>
        </w:rPr>
        <w:t>.</w:t>
      </w:r>
      <w:r>
        <w:rPr>
          <w:rFonts w:hint="default" w:ascii="仿宋_GB2312" w:eastAsia="仿宋_GB2312"/>
          <w:bCs/>
          <w:sz w:val="32"/>
          <w:szCs w:val="32"/>
          <w:lang w:val="en-US" w:eastAsia="zh-CN"/>
        </w:rPr>
        <w:t>0</w:t>
      </w:r>
      <w:r>
        <w:rPr>
          <w:rFonts w:hint="eastAsia" w:ascii="仿宋_GB2312" w:eastAsia="仿宋_GB2312"/>
          <w:bCs/>
          <w:sz w:val="32"/>
          <w:szCs w:val="32"/>
          <w:lang w:val="en-US" w:eastAsia="zh-CN"/>
        </w:rPr>
        <w:t>‰以上。</w:t>
      </w: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bookmarkStart w:id="93" w:name="_Toc1251948456_WPSOffice_Level1"/>
      <w:r>
        <w:rPr>
          <w:rFonts w:hint="eastAsia" w:ascii="Times New Roman" w:hAnsi="黑体" w:eastAsia="黑体"/>
          <w:b w:val="0"/>
          <w:sz w:val="32"/>
          <w:szCs w:val="32"/>
          <w:lang w:val="en-US" w:eastAsia="zh-CN"/>
        </w:rPr>
        <w:t>第六章 扎实推进生态体系建设</w:t>
      </w:r>
      <w:bookmarkEnd w:id="93"/>
    </w:p>
    <w:p>
      <w:pPr>
        <w:pageBreakBefore w:val="0"/>
        <w:numPr>
          <w:ilvl w:val="0"/>
          <w:numId w:val="0"/>
        </w:numPr>
        <w:kinsoku/>
        <w:wordWrap/>
        <w:overflowPunct/>
        <w:topLinePunct w:val="0"/>
        <w:autoSpaceDE/>
        <w:autoSpaceDN/>
        <w:bidi w:val="0"/>
        <w:spacing w:line="560" w:lineRule="exact"/>
        <w:ind w:leftChars="0"/>
        <w:textAlignment w:val="auto"/>
        <w:rPr>
          <w:rFonts w:hint="eastAsia"/>
          <w:lang w:val="en-US" w:eastAsia="zh-CN"/>
        </w:rPr>
      </w:pP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牢固树立和践行“绿水青山就是金山银山”的绿色发展理念贯穿发展各领域、全过程，持续改善区域生态环境质量，力争到2025年空气质量优良天数比率为65%，PM2.5年均浓度达到48微克/立方米以下。不断增强人民群众的幸福感，满足人民对优美生态环境的需求，构建政府为主导、企业为主体、社会组织和公众共同参与的生态环境治理体系，促进生态文明建设。</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94" w:name="_Toc1586894663_WPSOffice_Level2"/>
      <w:r>
        <w:rPr>
          <w:rFonts w:hint="eastAsia" w:ascii="Times New Roman" w:hAnsi="黑体" w:eastAsia="黑体" w:cs="Times New Roman"/>
          <w:b w:val="0"/>
          <w:sz w:val="32"/>
          <w:szCs w:val="32"/>
          <w:lang w:val="en-US" w:eastAsia="zh-CN"/>
        </w:rPr>
        <w:t>一、推进企业绿色发展</w:t>
      </w:r>
      <w:bookmarkEnd w:id="94"/>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落实市委绿色现代化建设的战略布局，切实改善区域环境质量，创新环境管理新模式，引入第三方环境服务机构作为环保管家，在未来五年对区域内企业分批次进行环保核查，通过第三方专业指导和有效监督，及时发现企业存在的环境问题，帮助企业优化环境管理机制，高效利用环保资金，降低环保成本，降低环境风险，树立绿色环保企业形象。促使政府与企业两端的环境规划、运行等与环境及绿色发展相关方面的工作进行有机整合，更好的体现企业生态现代化。</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95" w:name="_Toc1642389290_WPSOffice_Level2"/>
      <w:r>
        <w:rPr>
          <w:rFonts w:hint="eastAsia" w:ascii="Times New Roman" w:hAnsi="黑体" w:eastAsia="黑体" w:cs="Times New Roman"/>
          <w:b w:val="0"/>
          <w:sz w:val="32"/>
          <w:szCs w:val="32"/>
          <w:lang w:val="en-US" w:eastAsia="zh-CN"/>
        </w:rPr>
        <w:t>二、加强扬尘面源治理</w:t>
      </w:r>
      <w:bookmarkEnd w:id="95"/>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开展清新空气专项治理，重点把控辖区内的渣土污染源，严格控制渣土堆放和运输，对裸露的地表和渣土、堆料等全部实施苫盖，严格监督建筑工地落实六个“百分百”的目标要求。严密监控和依法治理乱烧垃圾、秸秆和有毒有害物等违法行为。使绿色发展与绿色民生紧密结合，让人民群众共享美丽华明建设成果。</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96" w:name="_Toc1128488174_WPSOffice_Level2"/>
      <w:r>
        <w:rPr>
          <w:rFonts w:hint="eastAsia" w:ascii="Times New Roman" w:hAnsi="黑体" w:eastAsia="黑体" w:cs="Times New Roman"/>
          <w:b w:val="0"/>
          <w:sz w:val="32"/>
          <w:szCs w:val="32"/>
          <w:lang w:val="en-US" w:eastAsia="zh-CN"/>
        </w:rPr>
        <w:t>三、妥善应对重污染天气</w:t>
      </w:r>
      <w:bookmarkEnd w:id="96"/>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根据区应急指挥部办公室发布的重污染天气等级，全街工业企业依据重污染天气减排清单，按照最新的“一厂一策”</w:t>
      </w:r>
      <w:r>
        <w:rPr>
          <w:rFonts w:hint="eastAsia" w:ascii="仿宋_GB2312" w:eastAsia="仿宋_GB2312"/>
          <w:bCs/>
          <w:sz w:val="32"/>
          <w:szCs w:val="32"/>
          <w:lang w:val="en-US" w:eastAsia="zh-CN"/>
        </w:rPr>
        <w:t>的要求，通过针对涉气工序停限产或提高污染治理设施运行效率等方式实现减排，保证非重点行业主要污染物总体减排40%以上。</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97" w:name="_Toc1008883808_WPSOffice_Level2"/>
      <w:r>
        <w:rPr>
          <w:rFonts w:hint="eastAsia" w:ascii="Times New Roman" w:hAnsi="黑体" w:eastAsia="黑体" w:cs="Times New Roman"/>
          <w:b w:val="0"/>
          <w:sz w:val="32"/>
          <w:szCs w:val="32"/>
          <w:lang w:val="en-US" w:eastAsia="zh-CN"/>
        </w:rPr>
        <w:t>四、强化精细化管控</w:t>
      </w:r>
      <w:bookmarkEnd w:id="97"/>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一是对重点区域内餐饮、干洗等商户建档立卡、动态更新，加强巡查检查。二是运用在线监控、工况用电、高架视频等监控手段提升精准治污水平。三是强化各涉危险废物汽修单位规范化管理，加强监管力度。</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98" w:name="_Toc2063431582_WPSOffice_Level2"/>
      <w:r>
        <w:rPr>
          <w:rFonts w:hint="eastAsia" w:ascii="Times New Roman" w:hAnsi="黑体" w:eastAsia="黑体" w:cs="Times New Roman"/>
          <w:b w:val="0"/>
          <w:sz w:val="32"/>
          <w:szCs w:val="32"/>
          <w:lang w:val="en-US" w:eastAsia="zh-CN"/>
        </w:rPr>
        <w:t>五、加强水污染防治</w:t>
      </w:r>
      <w:bookmarkEnd w:id="98"/>
    </w:p>
    <w:p>
      <w:pPr>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bCs/>
          <w:sz w:val="32"/>
          <w:szCs w:val="32"/>
          <w:lang w:val="en-US" w:eastAsia="zh-CN"/>
        </w:rPr>
      </w:pPr>
      <w:r>
        <w:rPr>
          <w:rFonts w:hint="default" w:eastAsia="仿宋_GB2312"/>
          <w:sz w:val="32"/>
          <w:szCs w:val="32"/>
          <w:lang w:val="en-US" w:eastAsia="zh-CN"/>
        </w:rPr>
        <w:t>深入</w:t>
      </w:r>
      <w:r>
        <w:rPr>
          <w:rFonts w:hint="eastAsia" w:eastAsia="仿宋_GB2312"/>
          <w:sz w:val="32"/>
          <w:szCs w:val="32"/>
          <w:lang w:val="en-US" w:eastAsia="zh-CN"/>
        </w:rPr>
        <w:t>贯彻落实东丽区</w:t>
      </w:r>
      <w:r>
        <w:rPr>
          <w:rFonts w:hint="default" w:eastAsia="仿宋_GB2312"/>
          <w:sz w:val="32"/>
          <w:szCs w:val="32"/>
          <w:lang w:val="en-US" w:eastAsia="zh-CN"/>
        </w:rPr>
        <w:t>水污染防治行动计划，加快水生态系统整治，大幅提升水环境质量。重点</w:t>
      </w:r>
      <w:r>
        <w:rPr>
          <w:rFonts w:hint="eastAsia" w:eastAsia="仿宋_GB2312"/>
          <w:sz w:val="32"/>
          <w:szCs w:val="32"/>
          <w:lang w:val="en-US" w:eastAsia="zh-CN"/>
        </w:rPr>
        <w:t>推进金钟河、北塘排水河和东西减河</w:t>
      </w:r>
      <w:r>
        <w:rPr>
          <w:rFonts w:hint="eastAsia" w:ascii="仿宋_GB2312" w:eastAsia="仿宋_GB2312"/>
          <w:bCs/>
          <w:sz w:val="32"/>
          <w:szCs w:val="32"/>
          <w:lang w:val="en-US" w:eastAsia="zh-CN"/>
        </w:rPr>
        <w:t>区域段</w:t>
      </w:r>
      <w:r>
        <w:rPr>
          <w:rFonts w:hint="default" w:ascii="仿宋_GB2312" w:eastAsia="仿宋_GB2312"/>
          <w:bCs/>
          <w:sz w:val="32"/>
          <w:szCs w:val="32"/>
          <w:lang w:val="en-US" w:eastAsia="zh-CN"/>
        </w:rPr>
        <w:t>污染治理与生态净化修复，提升流域水生态环境</w:t>
      </w:r>
      <w:r>
        <w:rPr>
          <w:rFonts w:hint="eastAsia" w:ascii="仿宋_GB2312" w:eastAsia="仿宋_GB2312"/>
          <w:bCs/>
          <w:sz w:val="32"/>
          <w:szCs w:val="32"/>
          <w:lang w:val="en-US" w:eastAsia="zh-CN"/>
        </w:rPr>
        <w:t>；加强对上述流域进行沿岸口门排查治理、水质控污截流、雨污混流排查治理、堤岸</w:t>
      </w:r>
      <w:r>
        <w:rPr>
          <w:rFonts w:hint="eastAsia" w:eastAsia="仿宋_GB2312"/>
          <w:sz w:val="32"/>
          <w:szCs w:val="32"/>
          <w:lang w:val="en-US" w:eastAsia="zh-CN"/>
        </w:rPr>
        <w:t>垃圾卫生清理、水面漂浮物清理和河岸生态修复等，</w:t>
      </w:r>
      <w:r>
        <w:rPr>
          <w:rFonts w:hint="default" w:eastAsia="仿宋_GB2312"/>
          <w:sz w:val="32"/>
          <w:szCs w:val="32"/>
          <w:lang w:val="en-US" w:eastAsia="zh-CN"/>
        </w:rPr>
        <w:t>大幅提升水环境质量</w:t>
      </w:r>
      <w:r>
        <w:rPr>
          <w:rFonts w:hint="eastAsia" w:eastAsia="仿宋_GB2312"/>
          <w:sz w:val="32"/>
          <w:szCs w:val="32"/>
          <w:lang w:val="en-US" w:eastAsia="zh-CN"/>
        </w:rPr>
        <w:t>。</w:t>
      </w:r>
      <w:r>
        <w:rPr>
          <w:rFonts w:hint="default" w:eastAsia="仿宋_GB2312"/>
          <w:sz w:val="32"/>
          <w:szCs w:val="32"/>
          <w:lang w:val="en-US" w:eastAsia="zh-CN"/>
        </w:rPr>
        <w:t>强化农</w:t>
      </w:r>
      <w:r>
        <w:rPr>
          <w:rFonts w:hint="eastAsia" w:eastAsia="仿宋_GB2312"/>
          <w:sz w:val="32"/>
          <w:szCs w:val="32"/>
          <w:lang w:val="en-US" w:eastAsia="zh-CN"/>
        </w:rPr>
        <w:t>村</w:t>
      </w:r>
      <w:r>
        <w:rPr>
          <w:rFonts w:hint="default" w:eastAsia="仿宋_GB2312"/>
          <w:sz w:val="32"/>
          <w:szCs w:val="32"/>
          <w:lang w:val="en-US" w:eastAsia="zh-CN"/>
        </w:rPr>
        <w:t>生活污水治理，</w:t>
      </w:r>
      <w:r>
        <w:rPr>
          <w:rFonts w:hint="eastAsia" w:eastAsia="仿宋_GB2312"/>
          <w:sz w:val="32"/>
          <w:szCs w:val="32"/>
          <w:lang w:val="en-US" w:eastAsia="zh-CN"/>
        </w:rPr>
        <w:t>对赤土、赵庄老村台生活污水收集进行集中管理，定期清运，避免污水外溢。</w:t>
      </w:r>
      <w:r>
        <w:rPr>
          <w:rFonts w:hint="default" w:ascii="仿宋_GB2312" w:eastAsia="仿宋_GB2312"/>
          <w:bCs/>
          <w:sz w:val="32"/>
          <w:szCs w:val="32"/>
          <w:lang w:val="en-US" w:eastAsia="zh-CN"/>
        </w:rPr>
        <w:t>到</w:t>
      </w:r>
      <w:r>
        <w:rPr>
          <w:rFonts w:hint="eastAsia" w:ascii="仿宋_GB2312" w:eastAsia="仿宋_GB2312"/>
          <w:bCs/>
          <w:sz w:val="32"/>
          <w:szCs w:val="32"/>
          <w:lang w:val="en-US" w:eastAsia="zh-CN"/>
        </w:rPr>
        <w:t>2025</w:t>
      </w:r>
      <w:r>
        <w:rPr>
          <w:rFonts w:hint="default" w:ascii="仿宋_GB2312" w:eastAsia="仿宋_GB2312"/>
          <w:bCs/>
          <w:sz w:val="32"/>
          <w:szCs w:val="32"/>
          <w:lang w:val="en-US" w:eastAsia="zh-CN"/>
        </w:rPr>
        <w:t>年，水环境质量达到天津市要求。</w:t>
      </w: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bookmarkStart w:id="99" w:name="_Toc1966765602_WPSOffice_Level1"/>
      <w:r>
        <w:rPr>
          <w:rFonts w:hint="eastAsia" w:ascii="Times New Roman" w:hAnsi="黑体" w:eastAsia="黑体"/>
          <w:b w:val="0"/>
          <w:sz w:val="32"/>
          <w:szCs w:val="32"/>
          <w:lang w:val="en-US" w:eastAsia="zh-CN"/>
        </w:rPr>
        <w:t>第七章 促进文化事业繁荣发展</w:t>
      </w:r>
      <w:bookmarkEnd w:id="99"/>
    </w:p>
    <w:p>
      <w:pPr>
        <w:pageBreakBefore w:val="0"/>
        <w:numPr>
          <w:ilvl w:val="0"/>
          <w:numId w:val="0"/>
        </w:numPr>
        <w:kinsoku/>
        <w:wordWrap/>
        <w:overflowPunct/>
        <w:topLinePunct w:val="0"/>
        <w:autoSpaceDE/>
        <w:autoSpaceDN/>
        <w:bidi w:val="0"/>
        <w:spacing w:line="560" w:lineRule="exact"/>
        <w:ind w:leftChars="0"/>
        <w:textAlignment w:val="auto"/>
        <w:rPr>
          <w:rFonts w:hint="eastAsia"/>
          <w:lang w:val="en-US" w:eastAsia="zh-CN"/>
        </w:rPr>
      </w:pP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坚持以社会主义核心价值观为引领,加强社会主义精神文明建设，不断完善文化服务体系，丰富文化底蕴、促进满足人民文化需求和增强人民精神力量相统一，不断增强文化软实力，建设文化强街。</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100" w:name="_Toc1424973019_WPSOffice_Level2"/>
      <w:r>
        <w:rPr>
          <w:rFonts w:hint="eastAsia" w:ascii="Times New Roman" w:hAnsi="黑体" w:eastAsia="黑体" w:cs="Times New Roman"/>
          <w:b w:val="0"/>
          <w:sz w:val="32"/>
          <w:szCs w:val="32"/>
          <w:lang w:val="en-US" w:eastAsia="zh-CN"/>
        </w:rPr>
        <w:t>一、加强精神文明建设</w:t>
      </w:r>
      <w:bookmarkEnd w:id="100"/>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（一）加强社会主义思想引导建设文明城区</w:t>
      </w:r>
    </w:p>
    <w:p>
      <w:pPr>
        <w:pageBreakBefore w:val="0"/>
        <w:widowControl w:val="0"/>
        <w:kinsoku/>
        <w:wordWrap/>
        <w:overflowPunct/>
        <w:topLinePunct w:val="0"/>
        <w:autoSpaceDE/>
        <w:autoSpaceDN/>
        <w:bidi w:val="0"/>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深入开展习近平新时代中国特色社会主义思想学习教育，推进理想信念教育常态化制度化，加强爱国主义、集体主义、社会主义教育。培育和践行社会主义核心价值观，推动创建国家文明城区建设。弘扬身边正能量，广泛宣传道德模范和身边好人先进事述。加强未成年人思想道德教育，持续开展“扣好人生第一粒扣子”、“争做新时代好少年”等主题教育实践活动。深化中国梦，着力用华明的变化、现实的成绩，教育引导群众更好的认知和认同经济社会发展取得的成效。</w:t>
      </w:r>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（二）深入推进学雷锋志愿服务活动</w:t>
      </w:r>
    </w:p>
    <w:p>
      <w:pPr>
        <w:pageBreakBefore w:val="0"/>
        <w:widowControl w:val="0"/>
        <w:kinsoku/>
        <w:wordWrap/>
        <w:overflowPunct/>
        <w:topLinePunct w:val="0"/>
        <w:autoSpaceDE/>
        <w:autoSpaceDN/>
        <w:bidi w:val="0"/>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结合落实《志愿服务条例》《天津市志愿服务条例》，大力弘扬雷锋精神和志愿精神，推进学雷锋志愿服务制度化常态化。开展新时代文明实践活动和志愿服务项目展示交流，培育精准对接群众需求的工作品牌和项目。加强以志愿者为主体的文明实践队伍建设，统筹整合资源，打通宣传教育群众、关心服务群众“最后一公里”。</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101" w:name="_Toc242181941_WPSOffice_Level2"/>
      <w:r>
        <w:rPr>
          <w:rFonts w:hint="eastAsia" w:ascii="Times New Roman" w:hAnsi="黑体" w:eastAsia="黑体" w:cs="Times New Roman"/>
          <w:b w:val="0"/>
          <w:sz w:val="32"/>
          <w:szCs w:val="32"/>
          <w:lang w:val="en-US" w:eastAsia="zh-CN"/>
        </w:rPr>
        <w:t>二、推进文体事业繁荣</w:t>
      </w:r>
      <w:bookmarkEnd w:id="101"/>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（一）完善公共文化服务体系</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推进基本公共文化服务均等化和标准化建设，提高公共文化服务效能。按照天津市公共文化服务体系标准，依托党群服务中心建设完善社区综合文化服务中心，完善社区、街道公共文化体育设施配套，提升基层文化设施水平和效能，加强精</w:t>
      </w:r>
      <w:r>
        <w:rPr>
          <w:rFonts w:hint="eastAsia" w:ascii="仿宋_GB2312" w:eastAsia="仿宋_GB2312"/>
          <w:bCs/>
          <w:sz w:val="32"/>
          <w:szCs w:val="32"/>
          <w:lang w:val="en-US" w:eastAsia="zh-CN"/>
        </w:rPr>
        <w:t>细化管理，提高设施使用率及群众文化活动参与率。到2025年，公共</w:t>
      </w:r>
      <w:r>
        <w:rPr>
          <w:rFonts w:hint="eastAsia" w:eastAsia="仿宋_GB2312"/>
          <w:sz w:val="32"/>
          <w:szCs w:val="32"/>
          <w:lang w:val="en-US" w:eastAsia="zh-CN"/>
        </w:rPr>
        <w:t>文化设施全面覆盖，公共文化服务质量显著提升。</w:t>
      </w:r>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（二）提升公共文化服务水平</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依托街道、社区综合文化服务中心，开展全民阅读系列活动，建设书香华明。加强文化执法，全面规范文化市场秩序。深化“基层文化百团工程”建设，加强基层文化团队的引导和管理，持续增强群众文化参与热情。面向基层文艺团队和文化骨干，广泛开展文化辅导和技能培训。继承发扬中华优秀传统文化，加大对我街重点非物质文化遗产项目保护、传承和开发力度。</w:t>
      </w:r>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（三）建立更高水平全民健身公共服务体系</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highlight w:val="none"/>
          <w:lang w:val="en-US" w:eastAsia="zh-CN"/>
        </w:rPr>
      </w:pPr>
      <w:r>
        <w:rPr>
          <w:rFonts w:hint="eastAsia" w:eastAsia="仿宋_GB2312"/>
          <w:sz w:val="32"/>
          <w:szCs w:val="32"/>
          <w:lang w:val="en-US" w:eastAsia="zh-CN"/>
        </w:rPr>
        <w:t>实施全民健身计划，全面提升城乡居民身体素质。推进公共体育</w:t>
      </w:r>
      <w:r>
        <w:rPr>
          <w:rFonts w:hint="eastAsia" w:ascii="仿宋_GB2312" w:eastAsia="仿宋_GB2312"/>
          <w:bCs/>
          <w:sz w:val="32"/>
          <w:szCs w:val="32"/>
          <w:lang w:val="en-US" w:eastAsia="zh-CN"/>
        </w:rPr>
        <w:t>场地设施和符合开放条件的体育场地设施向社会开放，完善“15分钟健身圈”。健全全民健身组织网络，依托体育组织推进健身活动和健身指导普及，培养一批社会体育指导员和全民健身志愿者。到2025年，建有体育组织的社区达到90%以上，</w:t>
      </w:r>
      <w:r>
        <w:rPr>
          <w:rFonts w:hint="eastAsia" w:ascii="仿宋_GB2312" w:eastAsia="仿宋_GB2312"/>
          <w:bCs/>
          <w:sz w:val="32"/>
          <w:szCs w:val="32"/>
          <w:highlight w:val="none"/>
          <w:lang w:val="en-US" w:eastAsia="zh-CN"/>
        </w:rPr>
        <w:t>社会体育指导员和全民健身志愿者达到600人。</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r>
        <w:rPr>
          <w:rFonts w:hint="eastAsia" w:ascii="Times New Roman" w:hAnsi="黑体" w:eastAsia="黑体" w:cs="Times New Roman"/>
          <w:b w:val="0"/>
          <w:sz w:val="32"/>
          <w:szCs w:val="32"/>
          <w:lang w:val="en-US" w:eastAsia="zh-CN"/>
        </w:rPr>
        <w:t xml:space="preserve"> </w:t>
      </w:r>
      <w:bookmarkStart w:id="102" w:name="_Toc1761712660_WPSOffice_Level2"/>
      <w:r>
        <w:rPr>
          <w:rFonts w:hint="eastAsia" w:ascii="Times New Roman" w:hAnsi="黑体" w:eastAsia="黑体" w:cs="Times New Roman"/>
          <w:b w:val="0"/>
          <w:sz w:val="32"/>
          <w:szCs w:val="32"/>
          <w:lang w:val="en-US" w:eastAsia="zh-CN"/>
        </w:rPr>
        <w:t>三、社区文化事业</w:t>
      </w:r>
      <w:bookmarkEnd w:id="102"/>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（一）加大资金投入力度</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将加强社区文化建设、发展社区文化事业作为全街一项重点工作，着力改造提升社区文化场所设施等硬件建设，根据社区实际情况和居民需求购置音响、健身器材、桌椅、图书等，有效保障社区文化、图书、市民教育等各功能室的正常开放。</w:t>
      </w:r>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（二）壮大社区文化队伍</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利用社区资源优势，培养特色文化团队。邀请市区老师专题授课，组织社区文化团队开展经验交流，提高全街文艺团队整体实力。同时，加强社区文化管理员的培育管理，提高服务基层文化工作能力。</w:t>
      </w:r>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（三）广泛开展群众性文化活动</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弘扬主旋律，大力宣传党的方针政策、社会主义核心价值观。激发社区文化新热情，针对不同年龄人群，开展特色活动，如组织青少年开展爱国主义教育；组织老年人开展养生保健、戏曲表演；组织广大妇女开展端午节包粽子、制作中秋月饼慰问困难户等活动，筑牢群众基础。</w:t>
      </w:r>
    </w:p>
    <w:p>
      <w:pPr>
        <w:pageBreakBefore w:val="0"/>
        <w:numPr>
          <w:ilvl w:val="0"/>
          <w:numId w:val="0"/>
        </w:numPr>
        <w:kinsoku/>
        <w:wordWrap/>
        <w:overflowPunct/>
        <w:topLinePunct w:val="0"/>
        <w:autoSpaceDE/>
        <w:autoSpaceDN/>
        <w:bidi w:val="0"/>
        <w:spacing w:line="560" w:lineRule="exact"/>
        <w:textAlignment w:val="auto"/>
        <w:rPr>
          <w:rFonts w:hint="eastAsia"/>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kinsoku/>
        <w:wordWrap/>
        <w:overflowPunct/>
        <w:topLinePunct w:val="0"/>
        <w:autoSpaceDE/>
        <w:autoSpaceDN/>
        <w:bidi w:val="0"/>
        <w:spacing w:line="560" w:lineRule="exact"/>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bookmarkStart w:id="103" w:name="_Toc505924446_WPSOffice_Level1"/>
      <w:r>
        <w:rPr>
          <w:rFonts w:hint="eastAsia" w:ascii="Times New Roman" w:hAnsi="黑体" w:eastAsia="黑体"/>
          <w:b w:val="0"/>
          <w:sz w:val="32"/>
          <w:szCs w:val="32"/>
          <w:lang w:val="en-US" w:eastAsia="zh-CN"/>
        </w:rPr>
        <w:t>第八章 构建平安华明</w:t>
      </w:r>
      <w:bookmarkEnd w:id="103"/>
    </w:p>
    <w:p>
      <w:pPr>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eastAsia="仿宋_GB2312"/>
          <w:sz w:val="32"/>
          <w:szCs w:val="32"/>
          <w:lang w:val="en-US" w:eastAsia="zh-CN"/>
        </w:rPr>
        <w:t>把保护人民群众生命和财产安全摆在首要位置，贯彻落实习近平总书记关于安全生产、应急管理等重要论述，坚持“红线意识”和“底线思维”，以“四铁”的工作作风狠抓各项安全工作的落实。</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104" w:name="_Toc1638443572_WPSOffice_Level2"/>
      <w:r>
        <w:rPr>
          <w:rFonts w:hint="eastAsia" w:ascii="Times New Roman" w:hAnsi="黑体" w:eastAsia="黑体" w:cs="Times New Roman"/>
          <w:b w:val="0"/>
          <w:sz w:val="32"/>
          <w:szCs w:val="32"/>
          <w:lang w:val="en-US" w:eastAsia="zh-CN"/>
        </w:rPr>
        <w:t>一、切实做好常态化疫情防控</w:t>
      </w:r>
      <w:bookmarkEnd w:id="104"/>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color w:val="auto"/>
          <w:sz w:val="32"/>
          <w:szCs w:val="32"/>
          <w:lang w:val="en-US" w:eastAsia="zh-CN"/>
        </w:rPr>
        <w:t>按照“外防输入、内防反弹”的工作要求，不断加强领导、完善体系、压实责任，慎终如始，毫不松懈抓实抓细各项举措，不断巩固疫情防控成果。一是思想不松，体系完善。绷紧防疫之弦不放松，保持指挥机构不散、人员力量不减，按照属地与属事相结合原则，实行管行业管疫情一岗双责。二是突出重点，精准防控。宣传引导家庭和个人保持自我防护；做好重点人员排查管控；公共场所核验“两码一卡”、测温、要求戴口罩等。三是精心准备，应对筛查。不断完善大筛查预案，适时开展各行业人群大筛实战演练，确保全人群大筛工作快速、精准、有序。四是接种疫苗，构筑屏障。广泛宣传，持续做好疫苗接种工作，做到迎接尽接，筑牢安全免疫屏障。</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105" w:name="_Toc1676224316_WPSOffice_Level2"/>
      <w:r>
        <w:rPr>
          <w:rFonts w:hint="eastAsia" w:ascii="Times New Roman" w:hAnsi="黑体" w:eastAsia="黑体" w:cs="Times New Roman"/>
          <w:b w:val="0"/>
          <w:sz w:val="32"/>
          <w:szCs w:val="32"/>
          <w:lang w:val="en-US" w:eastAsia="zh-CN"/>
        </w:rPr>
        <w:t>二、牢牢抓好安全管理</w:t>
      </w:r>
      <w:bookmarkEnd w:id="105"/>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（一）深化安全生产管理水平</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充分发挥街道安委会成员单位巡查作用，全面落实街道属地管理责任，重点对危险化学品、消防安全、道路交通、建筑施工、特种设备等重点行业领域常态化排查整治，着力把安全隐患消除在萌芽状态，确保隐患排查治理取得实效。深入推动安全隐患排查和安全预防控制体系，督促企业落实主体责任，持续增加安全管理投入，鼓励企业引入评估机制，指导企业进行科学管理，加快推进安全生产由企业被动接受监督向主动加强管理转变、安全风险管控由政府推动为主向企业自主开展转变、隐患排查治理由部门执法为主向企业日常自查自纠转变。</w:t>
      </w:r>
    </w:p>
    <w:p>
      <w:pPr>
        <w:pStyle w:val="5"/>
        <w:pageBreakBefore w:val="0"/>
        <w:kinsoku/>
        <w:wordWrap/>
        <w:overflowPunct/>
        <w:topLinePunct w:val="0"/>
        <w:autoSpaceDE/>
        <w:autoSpaceDN/>
        <w:bidi w:val="0"/>
        <w:spacing w:line="560" w:lineRule="exact"/>
        <w:ind w:left="0" w:leftChars="0" w:firstLine="0" w:firstLineChars="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   （二）强化食品药品安全监管</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深入落实“四个最严”监管要求，强化食品药品监管，充分发挥食品药品三级监管网络作用，切实加强基层食品药品安全监管队伍监管能力和水平，筑牢食品药品第一道防线。以创建食品安全示范区为契机，建立更科学合理的食品药品安全监管体系，加强各社区、集体经济组织食品药品协管员监督管理，扎实开展“三小”行业的日常巡查检查，切实消除食品安全隐患，最大程度减少食品安全事件发生，确保居民“舌尖上的安全”。加强药品日常监管，严厉打击非法收售药品违法行为，严守药品安全底线，确保居民用药安全。</w:t>
      </w:r>
    </w:p>
    <w:p>
      <w:pPr>
        <w:pStyle w:val="5"/>
        <w:pageBreakBefore w:val="0"/>
        <w:kinsoku/>
        <w:wordWrap/>
        <w:overflowPunct/>
        <w:topLinePunct w:val="0"/>
        <w:autoSpaceDE/>
        <w:autoSpaceDN/>
        <w:bidi w:val="0"/>
        <w:spacing w:line="560" w:lineRule="exac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（三）完善应急管理体系建设</w:t>
      </w: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着力健全应急预案体系，规范应急预案管理。结合街道实际，不断更新完善应急预案，实现街道、社区两个层面应急预案全覆盖。加强应急演练，健全统一指挥、上下联动的应急队伍；完善应急避难场所提升改造；完善监测预警、风险防控、隐患排查的应急协同机制；强化应急物资保障；健全应急救援队伍体系，形成以综合、专业应急救援队伍为主，专家和社会应急救援队伍为辅的应急救援队伍体系，通过应急实战演练，增强应急预案的可操作性，提高应急救援队伍的处突能力。提升综合消防救援体系现代化水平。</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color w:val="auto"/>
          <w:sz w:val="32"/>
          <w:szCs w:val="32"/>
          <w:lang w:val="en-US" w:eastAsia="zh-CN"/>
        </w:rPr>
      </w:pPr>
      <w:bookmarkStart w:id="106" w:name="_Toc1839185554_WPSOffice_Level2"/>
      <w:r>
        <w:rPr>
          <w:rFonts w:hint="eastAsia" w:ascii="Times New Roman" w:hAnsi="黑体" w:eastAsia="黑体" w:cs="Times New Roman"/>
          <w:b w:val="0"/>
          <w:color w:val="auto"/>
          <w:sz w:val="32"/>
          <w:szCs w:val="32"/>
          <w:lang w:val="en-US" w:eastAsia="zh-CN"/>
        </w:rPr>
        <w:t>三、深化平安华明建设</w:t>
      </w:r>
      <w:bookmarkEnd w:id="106"/>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坚持总体国家安全观，加强系统治理、依法治理、综合治理。坚决维护政治安全，坚决防范和打击各种渗透颠覆破坏活动、暴力恐怖活动、民族分裂活动、宗教极端活动和邪教活动。强化涉毒人员社戒社康、精神病患者肇事肇祸等特殊人群的管理、服务。在辖区内积极开展国家安全宣传教育。维护社会安全稳定，坚</w:t>
      </w:r>
      <w:bookmarkStart w:id="112" w:name="_GoBack"/>
      <w:bookmarkEnd w:id="112"/>
      <w:r>
        <w:rPr>
          <w:rFonts w:hint="eastAsia" w:eastAsia="仿宋_GB2312"/>
          <w:color w:val="auto"/>
          <w:sz w:val="32"/>
          <w:szCs w:val="32"/>
          <w:lang w:val="en-US" w:eastAsia="zh-CN"/>
        </w:rPr>
        <w:t>持和发展新时代“枫桥经验”，畅通和规范群众诉求表达、利益协调、权益保障通道。完善信访制度，规范信访工作流程，坚持副职以上领导信访值班制度、信访联席会制度，持续推进重点疑难信访案件有效化解。依托社区矛盾纠纷排查化解机制，充分发挥街道矛盾纠纷调处化解中心作用，把各类社会风险隐患化解在萌芽状态、解决在基层末端。防范化解风险隐患，做好铁路沿线周边安全保障工作。在重大敏感节点落实对重点人疏解稳控工作，高质量完成重大维稳安保任务。积极推进扫黑除恶长效机制，推动实现“无黑”街道（社区）目标。落实依法治区工作，制定街道年度全面依法治区工作要点，推行行政规范性文件合法性审核机制，规范和加强行政应诉工作。加强法制咨询与宣传工作。</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color w:val="auto"/>
          <w:sz w:val="32"/>
          <w:szCs w:val="32"/>
          <w:lang w:val="en-US" w:eastAsia="zh-CN"/>
        </w:rPr>
      </w:pPr>
      <w:bookmarkStart w:id="107" w:name="_Toc753250102_WPSOffice_Level2"/>
      <w:r>
        <w:rPr>
          <w:rFonts w:hint="eastAsia" w:ascii="Times New Roman" w:hAnsi="黑体" w:eastAsia="黑体" w:cs="Times New Roman"/>
          <w:b w:val="0"/>
          <w:color w:val="auto"/>
          <w:sz w:val="32"/>
          <w:szCs w:val="32"/>
          <w:lang w:val="en-US" w:eastAsia="zh-CN"/>
        </w:rPr>
        <w:t>四、全面加强网络安全工作</w:t>
      </w:r>
      <w:bookmarkEnd w:id="107"/>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全面加强新时期网络安全工作的各项要求，提升辖区居民网络安全意识，积极落实上级有关工作要求，把网络安全工作摆在突出位置，不断开创全街网络安全工作发展新局面。一是打好宣传主动仗。依托街道新媒体平台，普及《网络安全法》相关知识，了解网络诈骗新手段以及网络安全隐患，切实增强全员安全防范意识，确保网络安全知识普及率。二是做好教育工作。将增强全民网络安全意识作为一项基础性工作来抓，结合法律“七进”，深入机关、学校、企业、社区等组织开展形式丰富的网络安全法宣传教育活动，加强网络安全教育。三是抓好网络媒体监管。充分利用好网格系统，加大全街网络安全监管力度，做好网络安全防护策略，着力维护网络意识形态安全。</w:t>
      </w: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bookmarkStart w:id="108" w:name="_Toc1822414115_WPSOffice_Level1"/>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p>
    <w:p>
      <w:pPr>
        <w:pStyle w:val="3"/>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Times New Roman" w:hAnsi="黑体" w:eastAsia="黑体"/>
          <w:b w:val="0"/>
          <w:sz w:val="32"/>
          <w:szCs w:val="32"/>
          <w:lang w:val="en-US" w:eastAsia="zh-CN"/>
        </w:rPr>
      </w:pPr>
      <w:r>
        <w:rPr>
          <w:rFonts w:hint="eastAsia" w:ascii="Times New Roman" w:hAnsi="黑体" w:eastAsia="黑体"/>
          <w:b w:val="0"/>
          <w:sz w:val="32"/>
          <w:szCs w:val="32"/>
          <w:lang w:val="en-US" w:eastAsia="zh-CN"/>
        </w:rPr>
        <w:t>第九章 坚持党建引领，总揽工作大局</w:t>
      </w:r>
      <w:bookmarkEnd w:id="108"/>
    </w:p>
    <w:p>
      <w:pPr>
        <w:pageBreakBefore w:val="0"/>
        <w:numPr>
          <w:ilvl w:val="0"/>
          <w:numId w:val="0"/>
        </w:numPr>
        <w:kinsoku/>
        <w:wordWrap/>
        <w:overflowPunct/>
        <w:topLinePunct w:val="0"/>
        <w:autoSpaceDE/>
        <w:autoSpaceDN/>
        <w:bidi w:val="0"/>
        <w:spacing w:line="560" w:lineRule="exact"/>
        <w:ind w:leftChars="0"/>
        <w:textAlignment w:val="auto"/>
        <w:rPr>
          <w:rFonts w:hint="eastAsia"/>
          <w:lang w:val="en-US" w:eastAsia="zh-CN"/>
        </w:rPr>
      </w:pPr>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面对新冠肺炎疫情常态化、经济形势复杂变化等严峻形势，街各级党组织要始终坚持以习近平新时代中国特色社会主义思想为指导，严格贯彻落实十九届二中、三中、四中、五中全会精神，增强“四个意识”、坚定“四个自信”、做到“两个维护”，始终落实管党治党主体责任，以前所未有的力度推进全面从严治党，切实肩负起重大历史责任，为实现绿色高质量发展提供坚强政治保证。</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109" w:name="_Toc1594208388_WPSOffice_Level2"/>
      <w:r>
        <w:rPr>
          <w:rFonts w:hint="eastAsia" w:ascii="Times New Roman" w:hAnsi="黑体" w:eastAsia="黑体" w:cs="Times New Roman"/>
          <w:b w:val="0"/>
          <w:sz w:val="32"/>
          <w:szCs w:val="32"/>
          <w:lang w:val="en-US" w:eastAsia="zh-CN"/>
        </w:rPr>
        <w:t>一、持续巩固“不忘初心、牢记使命”主题教育成果</w:t>
      </w:r>
      <w:bookmarkEnd w:id="109"/>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提升执政理论水平。持续把“不忘初心、牢记使命”作为促进干部担当作为，加强党的建设的永恒课题，要把坚决做到“两个维护”作为政治建设、制度建设的首要，坚持“四个服从”，推动全体党员坚定自觉地在思想上政治上行动上同以习近平同志为核心的党中央保持高度一致，坚决把维护习近平总书记党中央的核心、全党的核心地位落到实处。要坚持以习近平总书记对天津工作提出的“三个着力”重要要求为元为纲，把习近平总书记一系列重要指示批示作为党内重要政治要件，建立健全严密的制度体系、工作机制和保障系统，确保党中央做出的重大决策部署上传下达迅捷、贯彻执行有力、落地落实见效。</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110" w:name="_Toc971230584_WPSOffice_Level2"/>
      <w:r>
        <w:rPr>
          <w:rFonts w:hint="eastAsia" w:ascii="Times New Roman" w:hAnsi="黑体" w:eastAsia="黑体" w:cs="Times New Roman"/>
          <w:b w:val="0"/>
          <w:sz w:val="32"/>
          <w:szCs w:val="32"/>
          <w:lang w:val="en-US" w:eastAsia="zh-CN"/>
        </w:rPr>
        <w:t>二、厚植人民至上的情怀，全面转变工作作风</w:t>
      </w:r>
      <w:bookmarkEnd w:id="110"/>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党员领导干部，必须强化公仆意识，对群众心存敬畏、心存感恩、心存大爱，为百姓谋利益、谋幸福。要深化落实包联工作机制，主动深入基层、深入企业、深入群众，听取意见建议、开展政策宣讲、解决疑难问题。要坚持落实“向群众汇报”制度，持续加大“下”考“上”的力度，全方位开展满意度测评，把人民高兴不高兴、满意不满意、答应不答应作为检验工作的标准、标尺，把抓服务就是抓发展的思想树得更牢。</w:t>
      </w:r>
    </w:p>
    <w:p>
      <w:pPr>
        <w:pStyle w:val="4"/>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黑体" w:eastAsia="黑体" w:cs="Times New Roman"/>
          <w:b w:val="0"/>
          <w:sz w:val="32"/>
          <w:szCs w:val="32"/>
          <w:lang w:val="en-US" w:eastAsia="zh-CN"/>
        </w:rPr>
      </w:pPr>
      <w:bookmarkStart w:id="111" w:name="_Toc118742300_WPSOffice_Level2"/>
      <w:r>
        <w:rPr>
          <w:rFonts w:hint="eastAsia" w:ascii="Times New Roman" w:hAnsi="黑体" w:eastAsia="黑体" w:cs="Times New Roman"/>
          <w:b w:val="0"/>
          <w:sz w:val="32"/>
          <w:szCs w:val="32"/>
          <w:lang w:val="en-US" w:eastAsia="zh-CN"/>
        </w:rPr>
        <w:t>三、层层压实责任，营造良好政治生态</w:t>
      </w:r>
      <w:bookmarkEnd w:id="111"/>
    </w:p>
    <w:p>
      <w:pPr>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街道党工委落实全面从严治党主体责任，领导班子成员落实“一岗双责”，层层压实基层组织责任，倒逼基层党组织发挥作用，不折不扣落实上级党组织的决策部署。要坚持以上率下，突出“关键少数”作用，带领“广大多数”干事创业，紧盯拆还迁、“双违”治理、“双创”、疫情防控等重点领域，带领全街干部群众攻坚克难，始终使党组织保持先进性和战斗力。要继续深化不作为不担当、形式主义官僚主义、“圈子文化”“好人主义”“码头文化”等专项整治工作，驰而不息纠正“四风”，通过“白宋案”等反面典型案例，督促领导干部以案促改，加强自身警示教育，切实担负起政治责任，发挥关键作用，当好政治上的“明白人”和争做事业发展的“实干家”。</w:t>
      </w:r>
      <w:bookmarkEnd w:id="66"/>
      <w:bookmarkEnd w:id="67"/>
      <w:bookmarkEnd w:id="68"/>
      <w:bookmarkEnd w:id="69"/>
      <w:bookmarkEnd w:id="70"/>
      <w:bookmarkEnd w:id="71"/>
      <w:bookmarkEnd w:id="82"/>
      <w:bookmarkEnd w:id="83"/>
      <w:bookmarkEnd w:id="84"/>
      <w:bookmarkEnd w:id="85"/>
      <w:bookmarkEnd w:id="86"/>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B34EA"/>
    <w:rsid w:val="039F27C5"/>
    <w:rsid w:val="054338F8"/>
    <w:rsid w:val="09AA3C2A"/>
    <w:rsid w:val="0B6501B5"/>
    <w:rsid w:val="0C5C3A7D"/>
    <w:rsid w:val="0CF83A74"/>
    <w:rsid w:val="0D772E9F"/>
    <w:rsid w:val="0FCF635B"/>
    <w:rsid w:val="10091609"/>
    <w:rsid w:val="16936EB6"/>
    <w:rsid w:val="1A09776A"/>
    <w:rsid w:val="1CB50357"/>
    <w:rsid w:val="21DA1FBB"/>
    <w:rsid w:val="245F5FBF"/>
    <w:rsid w:val="2606BBFD"/>
    <w:rsid w:val="26A64B82"/>
    <w:rsid w:val="276CA4CA"/>
    <w:rsid w:val="28872B81"/>
    <w:rsid w:val="28E92A06"/>
    <w:rsid w:val="2B0959C0"/>
    <w:rsid w:val="2CB21A92"/>
    <w:rsid w:val="386C6C13"/>
    <w:rsid w:val="3ADB44DB"/>
    <w:rsid w:val="3B5FB219"/>
    <w:rsid w:val="3D156993"/>
    <w:rsid w:val="3FAEFD88"/>
    <w:rsid w:val="3FF7902A"/>
    <w:rsid w:val="4293436E"/>
    <w:rsid w:val="42E6289F"/>
    <w:rsid w:val="44657624"/>
    <w:rsid w:val="45E848F2"/>
    <w:rsid w:val="45FD4CCE"/>
    <w:rsid w:val="477A799E"/>
    <w:rsid w:val="47886DDA"/>
    <w:rsid w:val="479B6E3C"/>
    <w:rsid w:val="47ED52EB"/>
    <w:rsid w:val="48D61272"/>
    <w:rsid w:val="48DC4F0F"/>
    <w:rsid w:val="4FF98D89"/>
    <w:rsid w:val="512822A1"/>
    <w:rsid w:val="57DF5FDC"/>
    <w:rsid w:val="582E1447"/>
    <w:rsid w:val="593C4703"/>
    <w:rsid w:val="5970134A"/>
    <w:rsid w:val="59EF223A"/>
    <w:rsid w:val="59FF5968"/>
    <w:rsid w:val="5CCC0838"/>
    <w:rsid w:val="5D5D9007"/>
    <w:rsid w:val="65766B69"/>
    <w:rsid w:val="65F55D5A"/>
    <w:rsid w:val="66DB40AC"/>
    <w:rsid w:val="67FF8DC8"/>
    <w:rsid w:val="68DEECCA"/>
    <w:rsid w:val="69021E51"/>
    <w:rsid w:val="69B86B37"/>
    <w:rsid w:val="69E578E5"/>
    <w:rsid w:val="6BF2A1E7"/>
    <w:rsid w:val="6EDC626A"/>
    <w:rsid w:val="6FFFD095"/>
    <w:rsid w:val="71D44924"/>
    <w:rsid w:val="72F557AA"/>
    <w:rsid w:val="73B75F8C"/>
    <w:rsid w:val="74EB34EA"/>
    <w:rsid w:val="77FF7562"/>
    <w:rsid w:val="797FD96D"/>
    <w:rsid w:val="7A7D832A"/>
    <w:rsid w:val="7BDFEDF0"/>
    <w:rsid w:val="7C1D5DD3"/>
    <w:rsid w:val="7CFFDC51"/>
    <w:rsid w:val="7D69D6F5"/>
    <w:rsid w:val="7E9669CE"/>
    <w:rsid w:val="7EBF1F13"/>
    <w:rsid w:val="7EE61271"/>
    <w:rsid w:val="7EEDD453"/>
    <w:rsid w:val="7F534A5A"/>
    <w:rsid w:val="B4F71013"/>
    <w:rsid w:val="B63F874D"/>
    <w:rsid w:val="B6EF52A0"/>
    <w:rsid w:val="B79FD3BB"/>
    <w:rsid w:val="BAFBD2C0"/>
    <w:rsid w:val="BFBF91CB"/>
    <w:rsid w:val="CEFF144D"/>
    <w:rsid w:val="CFEFD937"/>
    <w:rsid w:val="EBFF489E"/>
    <w:rsid w:val="EDF0CFFD"/>
    <w:rsid w:val="EE7D1038"/>
    <w:rsid w:val="F76BEC43"/>
    <w:rsid w:val="F7734A0B"/>
    <w:rsid w:val="F7DDF194"/>
    <w:rsid w:val="F7DFB910"/>
    <w:rsid w:val="F7FF9959"/>
    <w:rsid w:val="F9BF1275"/>
    <w:rsid w:val="FBDBBBEE"/>
    <w:rsid w:val="FBFFFA6F"/>
    <w:rsid w:val="FD7D3BD9"/>
    <w:rsid w:val="FEF7823B"/>
    <w:rsid w:val="FFE7C686"/>
    <w:rsid w:val="FFEB46F8"/>
    <w:rsid w:val="FFFFE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480" w:lineRule="exact"/>
      <w:jc w:val="center"/>
      <w:outlineLvl w:val="0"/>
    </w:pPr>
    <w:rPr>
      <w:rFonts w:ascii="仿宋_GB2312" w:eastAsia="仿宋_GB2312"/>
      <w:b/>
      <w:sz w:val="30"/>
      <w:szCs w:val="30"/>
    </w:rPr>
  </w:style>
  <w:style w:type="paragraph" w:styleId="4">
    <w:name w:val="heading 2"/>
    <w:basedOn w:val="1"/>
    <w:next w:val="1"/>
    <w:unhideWhenUsed/>
    <w:qFormat/>
    <w:uiPriority w:val="0"/>
    <w:pPr>
      <w:keepNext/>
      <w:keepLines/>
      <w:ind w:firstLine="801"/>
      <w:outlineLvl w:val="1"/>
    </w:pPr>
    <w:rPr>
      <w:rFonts w:ascii="Arial" w:hAnsi="Arial" w:eastAsia="楷体"/>
      <w:b/>
      <w:szCs w:val="22"/>
    </w:rPr>
  </w:style>
  <w:style w:type="paragraph" w:styleId="5">
    <w:name w:val="heading 3"/>
    <w:basedOn w:val="1"/>
    <w:next w:val="1"/>
    <w:unhideWhenUsed/>
    <w:qFormat/>
    <w:uiPriority w:val="0"/>
    <w:pPr>
      <w:keepNext/>
      <w:keepLines/>
      <w:spacing w:line="416" w:lineRule="auto"/>
      <w:ind w:firstLine="801"/>
      <w:outlineLvl w:val="2"/>
    </w:pPr>
    <w:rPr>
      <w:rFonts w:ascii="等线" w:hAnsi="等线" w:cs="Times New Roman"/>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rPr>
      <w:rFonts w:ascii="宋体" w:hAnsi="Courier New" w:eastAsia="宋体" w:cs="Times New Roman"/>
      <w:kern w:val="0"/>
      <w:sz w:val="20"/>
      <w:szCs w:val="20"/>
    </w:rPr>
  </w:style>
  <w:style w:type="paragraph" w:styleId="6">
    <w:name w:val="Body Text"/>
    <w:basedOn w:val="1"/>
    <w:qFormat/>
    <w:uiPriority w:val="1"/>
    <w:pPr>
      <w:ind w:left="120"/>
    </w:pPr>
    <w:rPr>
      <w:rFonts w:ascii="仿宋_GB2312" w:hAnsi="仿宋_GB2312" w:cs="仿宋_GB2312"/>
      <w:szCs w:val="32"/>
      <w:lang w:val="zh-CN" w:bidi="zh-CN"/>
    </w:rPr>
  </w:style>
  <w:style w:type="paragraph" w:styleId="7">
    <w:name w:val="Plain Text"/>
    <w:unhideWhenUsed/>
    <w:qFormat/>
    <w:uiPriority w:val="0"/>
    <w:pPr>
      <w:widowControl w:val="0"/>
      <w:spacing w:line="600" w:lineRule="exact"/>
      <w:ind w:firstLine="560" w:firstLineChars="200"/>
      <w:jc w:val="both"/>
    </w:pPr>
    <w:rPr>
      <w:rFonts w:ascii="Times New Roman" w:hAnsi="Times New Roman" w:eastAsia="仿宋_GB2312" w:cs="Times New Roman"/>
      <w:kern w:val="2"/>
      <w:sz w:val="3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gei正文"/>
    <w:qFormat/>
    <w:uiPriority w:val="0"/>
    <w:pPr>
      <w:spacing w:line="560" w:lineRule="exact"/>
      <w:ind w:firstLine="200" w:firstLineChars="200"/>
      <w:jc w:val="both"/>
    </w:pPr>
    <w:rPr>
      <w:rFonts w:ascii="仿宋_GB2312" w:hAnsi="Times New Roman" w:eastAsia="仿宋_GB2312" w:cs="Times New Roman"/>
      <w:kern w:val="2"/>
      <w:sz w:val="32"/>
      <w:szCs w:val="28"/>
      <w:lang w:val="en-US" w:eastAsia="zh-CN" w:bidi="ar-SA"/>
    </w:rPr>
  </w:style>
  <w:style w:type="table" w:customStyle="1" w:styleId="16">
    <w:name w:val="网格型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7">
    <w:name w:val="NormalCharacter"/>
    <w:qFormat/>
    <w:uiPriority w:val="0"/>
    <w:rPr>
      <w:rFonts w:ascii="Calibri" w:hAnsi="Calibri" w:eastAsia="宋体"/>
      <w:kern w:val="2"/>
      <w:sz w:val="24"/>
      <w:lang w:val="en-US" w:eastAsia="zh-CN"/>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124af8f-6dff-4546-9865-96e95477db99}"/>
        <w:style w:val=""/>
        <w:category>
          <w:name w:val="常规"/>
          <w:gallery w:val="placeholder"/>
        </w:category>
        <w:types>
          <w:type w:val="bbPlcHdr"/>
        </w:types>
        <w:behaviors>
          <w:behavior w:val="content"/>
        </w:behaviors>
        <w:description w:val=""/>
        <w:guid w:val="{3124af8f-6dff-4546-9865-96e95477db99}"/>
      </w:docPartPr>
      <w:docPartBody>
        <w:p>
          <w:r>
            <w:rPr>
              <w:color w:val="808080"/>
            </w:rPr>
            <w:t>单击此处输入文字。</w:t>
          </w:r>
        </w:p>
      </w:docPartBody>
    </w:docPart>
    <w:docPart>
      <w:docPartPr>
        <w:name w:val="{2081d1a9-6ab0-4665-a172-a35f791171f7}"/>
        <w:style w:val=""/>
        <w:category>
          <w:name w:val="常规"/>
          <w:gallery w:val="placeholder"/>
        </w:category>
        <w:types>
          <w:type w:val="bbPlcHdr"/>
        </w:types>
        <w:behaviors>
          <w:behavior w:val="content"/>
        </w:behaviors>
        <w:description w:val=""/>
        <w:guid w:val="{2081d1a9-6ab0-4665-a172-a35f791171f7}"/>
      </w:docPartPr>
      <w:docPartBody>
        <w:p>
          <w:r>
            <w:rPr>
              <w:color w:val="808080"/>
            </w:rPr>
            <w:t>单击此处输入文字。</w:t>
          </w:r>
        </w:p>
      </w:docPartBody>
    </w:docPart>
    <w:docPart>
      <w:docPartPr>
        <w:name w:val="{fc34a72a-78d7-4703-a361-f14ede27e8cc}"/>
        <w:style w:val=""/>
        <w:category>
          <w:name w:val="常规"/>
          <w:gallery w:val="placeholder"/>
        </w:category>
        <w:types>
          <w:type w:val="bbPlcHdr"/>
        </w:types>
        <w:behaviors>
          <w:behavior w:val="content"/>
        </w:behaviors>
        <w:description w:val=""/>
        <w:guid w:val="{fc34a72a-78d7-4703-a361-f14ede27e8cc}"/>
      </w:docPartPr>
      <w:docPartBody>
        <w:p>
          <w:r>
            <w:rPr>
              <w:color w:val="808080"/>
            </w:rPr>
            <w:t>单击此处输入文字。</w:t>
          </w:r>
        </w:p>
      </w:docPartBody>
    </w:docPart>
    <w:docPart>
      <w:docPartPr>
        <w:name w:val="{8088f227-d5ea-4ceb-885d-2f57d7beaefe}"/>
        <w:style w:val=""/>
        <w:category>
          <w:name w:val="常规"/>
          <w:gallery w:val="placeholder"/>
        </w:category>
        <w:types>
          <w:type w:val="bbPlcHdr"/>
        </w:types>
        <w:behaviors>
          <w:behavior w:val="content"/>
        </w:behaviors>
        <w:description w:val=""/>
        <w:guid w:val="{8088f227-d5ea-4ceb-885d-2f57d7beaefe}"/>
      </w:docPartPr>
      <w:docPartBody>
        <w:p>
          <w:r>
            <w:rPr>
              <w:color w:val="808080"/>
            </w:rPr>
            <w:t>单击此处输入文字。</w:t>
          </w:r>
        </w:p>
      </w:docPartBody>
    </w:docPart>
    <w:docPart>
      <w:docPartPr>
        <w:name w:val="{b8f7c861-d757-4f63-a938-ffa6f2470a89}"/>
        <w:style w:val=""/>
        <w:category>
          <w:name w:val="常规"/>
          <w:gallery w:val="placeholder"/>
        </w:category>
        <w:types>
          <w:type w:val="bbPlcHdr"/>
        </w:types>
        <w:behaviors>
          <w:behavior w:val="content"/>
        </w:behaviors>
        <w:description w:val=""/>
        <w:guid w:val="{b8f7c861-d757-4f63-a938-ffa6f2470a89}"/>
      </w:docPartPr>
      <w:docPartBody>
        <w:p>
          <w:r>
            <w:rPr>
              <w:color w:val="808080"/>
            </w:rPr>
            <w:t>单击此处输入文字。</w:t>
          </w:r>
        </w:p>
      </w:docPartBody>
    </w:docPart>
    <w:docPart>
      <w:docPartPr>
        <w:name w:val="{0944e262-c263-4adf-be69-61c872e88d9c}"/>
        <w:style w:val=""/>
        <w:category>
          <w:name w:val="常规"/>
          <w:gallery w:val="placeholder"/>
        </w:category>
        <w:types>
          <w:type w:val="bbPlcHdr"/>
        </w:types>
        <w:behaviors>
          <w:behavior w:val="content"/>
        </w:behaviors>
        <w:description w:val=""/>
        <w:guid w:val="{0944e262-c263-4adf-be69-61c872e88d9c}"/>
      </w:docPartPr>
      <w:docPartBody>
        <w:p>
          <w:r>
            <w:rPr>
              <w:color w:val="808080"/>
            </w:rPr>
            <w:t>单击此处输入文字。</w:t>
          </w:r>
        </w:p>
      </w:docPartBody>
    </w:docPart>
    <w:docPart>
      <w:docPartPr>
        <w:name w:val="{e2782f67-4ebf-4d89-8903-a5989d4a6c87}"/>
        <w:style w:val=""/>
        <w:category>
          <w:name w:val="常规"/>
          <w:gallery w:val="placeholder"/>
        </w:category>
        <w:types>
          <w:type w:val="bbPlcHdr"/>
        </w:types>
        <w:behaviors>
          <w:behavior w:val="content"/>
        </w:behaviors>
        <w:description w:val=""/>
        <w:guid w:val="{e2782f67-4ebf-4d89-8903-a5989d4a6c87}"/>
      </w:docPartPr>
      <w:docPartBody>
        <w:p>
          <w:r>
            <w:rPr>
              <w:color w:val="808080"/>
            </w:rPr>
            <w:t>单击此处输入文字。</w:t>
          </w:r>
        </w:p>
      </w:docPartBody>
    </w:docPart>
    <w:docPart>
      <w:docPartPr>
        <w:name w:val="{dc1fe745-5e1e-4a30-afe2-32b186812bf4}"/>
        <w:style w:val=""/>
        <w:category>
          <w:name w:val="常规"/>
          <w:gallery w:val="placeholder"/>
        </w:category>
        <w:types>
          <w:type w:val="bbPlcHdr"/>
        </w:types>
        <w:behaviors>
          <w:behavior w:val="content"/>
        </w:behaviors>
        <w:description w:val=""/>
        <w:guid w:val="{dc1fe745-5e1e-4a30-afe2-32b186812bf4}"/>
      </w:docPartPr>
      <w:docPartBody>
        <w:p>
          <w:r>
            <w:rPr>
              <w:color w:val="808080"/>
            </w:rPr>
            <w:t>单击此处输入文字。</w:t>
          </w:r>
        </w:p>
      </w:docPartBody>
    </w:docPart>
    <w:docPart>
      <w:docPartPr>
        <w:name w:val="{b1f557bb-7adc-4c67-9f52-a0272133e19c}"/>
        <w:style w:val=""/>
        <w:category>
          <w:name w:val="常规"/>
          <w:gallery w:val="placeholder"/>
        </w:category>
        <w:types>
          <w:type w:val="bbPlcHdr"/>
        </w:types>
        <w:behaviors>
          <w:behavior w:val="content"/>
        </w:behaviors>
        <w:description w:val=""/>
        <w:guid w:val="{b1f557bb-7adc-4c67-9f52-a0272133e19c}"/>
      </w:docPartPr>
      <w:docPartBody>
        <w:p>
          <w:r>
            <w:rPr>
              <w:color w:val="808080"/>
            </w:rPr>
            <w:t>单击此处输入文字。</w:t>
          </w:r>
        </w:p>
      </w:docPartBody>
    </w:docPart>
    <w:docPart>
      <w:docPartPr>
        <w:name w:val="{fc6b815d-d28f-4d4c-ad8b-9e8dec4b9fa0}"/>
        <w:style w:val=""/>
        <w:category>
          <w:name w:val="常规"/>
          <w:gallery w:val="placeholder"/>
        </w:category>
        <w:types>
          <w:type w:val="bbPlcHdr"/>
        </w:types>
        <w:behaviors>
          <w:behavior w:val="content"/>
        </w:behaviors>
        <w:description w:val=""/>
        <w:guid w:val="{fc6b815d-d28f-4d4c-ad8b-9e8dec4b9fa0}"/>
      </w:docPartPr>
      <w:docPartBody>
        <w:p>
          <w:r>
            <w:rPr>
              <w:color w:val="808080"/>
            </w:rPr>
            <w:t>单击此处输入文字。</w:t>
          </w:r>
        </w:p>
      </w:docPartBody>
    </w:docPart>
    <w:docPart>
      <w:docPartPr>
        <w:name w:val="{2b69658d-0029-44c8-bdb0-181b74a1941d}"/>
        <w:style w:val=""/>
        <w:category>
          <w:name w:val="常规"/>
          <w:gallery w:val="placeholder"/>
        </w:category>
        <w:types>
          <w:type w:val="bbPlcHdr"/>
        </w:types>
        <w:behaviors>
          <w:behavior w:val="content"/>
        </w:behaviors>
        <w:description w:val=""/>
        <w:guid w:val="{2b69658d-0029-44c8-bdb0-181b74a1941d}"/>
      </w:docPartPr>
      <w:docPartBody>
        <w:p>
          <w:r>
            <w:rPr>
              <w:color w:val="808080"/>
            </w:rPr>
            <w:t>单击此处输入文字。</w:t>
          </w:r>
        </w:p>
      </w:docPartBody>
    </w:docPart>
    <w:docPart>
      <w:docPartPr>
        <w:name w:val="{e9932250-078c-4f55-b21e-ae65506a4c07}"/>
        <w:style w:val=""/>
        <w:category>
          <w:name w:val="常规"/>
          <w:gallery w:val="placeholder"/>
        </w:category>
        <w:types>
          <w:type w:val="bbPlcHdr"/>
        </w:types>
        <w:behaviors>
          <w:behavior w:val="content"/>
        </w:behaviors>
        <w:description w:val=""/>
        <w:guid w:val="{e9932250-078c-4f55-b21e-ae65506a4c07}"/>
      </w:docPartPr>
      <w:docPartBody>
        <w:p>
          <w:r>
            <w:rPr>
              <w:color w:val="808080"/>
            </w:rPr>
            <w:t>单击此处输入文字。</w:t>
          </w:r>
        </w:p>
      </w:docPartBody>
    </w:docPart>
    <w:docPart>
      <w:docPartPr>
        <w:name w:val="{758a5a12-e792-426a-9ed9-fd7e8e6c9b02}"/>
        <w:style w:val=""/>
        <w:category>
          <w:name w:val="常规"/>
          <w:gallery w:val="placeholder"/>
        </w:category>
        <w:types>
          <w:type w:val="bbPlcHdr"/>
        </w:types>
        <w:behaviors>
          <w:behavior w:val="content"/>
        </w:behaviors>
        <w:description w:val=""/>
        <w:guid w:val="{758a5a12-e792-426a-9ed9-fd7e8e6c9b02}"/>
      </w:docPartPr>
      <w:docPartBody>
        <w:p>
          <w:r>
            <w:rPr>
              <w:color w:val="808080"/>
            </w:rPr>
            <w:t>单击此处输入文字。</w:t>
          </w:r>
        </w:p>
      </w:docPartBody>
    </w:docPart>
    <w:docPart>
      <w:docPartPr>
        <w:name w:val="{0a8476b1-3ac8-4c70-bf19-9be295960dd9}"/>
        <w:style w:val=""/>
        <w:category>
          <w:name w:val="常规"/>
          <w:gallery w:val="placeholder"/>
        </w:category>
        <w:types>
          <w:type w:val="bbPlcHdr"/>
        </w:types>
        <w:behaviors>
          <w:behavior w:val="content"/>
        </w:behaviors>
        <w:description w:val=""/>
        <w:guid w:val="{0a8476b1-3ac8-4c70-bf19-9be295960dd9}"/>
      </w:docPartPr>
      <w:docPartBody>
        <w:p>
          <w:r>
            <w:rPr>
              <w:color w:val="808080"/>
            </w:rPr>
            <w:t>单击此处输入文字。</w:t>
          </w:r>
        </w:p>
      </w:docPartBody>
    </w:docPart>
    <w:docPart>
      <w:docPartPr>
        <w:name w:val="{f7167b97-5b53-42c9-bd20-b4cde587a406}"/>
        <w:style w:val=""/>
        <w:category>
          <w:name w:val="常规"/>
          <w:gallery w:val="placeholder"/>
        </w:category>
        <w:types>
          <w:type w:val="bbPlcHdr"/>
        </w:types>
        <w:behaviors>
          <w:behavior w:val="content"/>
        </w:behaviors>
        <w:description w:val=""/>
        <w:guid w:val="{f7167b97-5b53-42c9-bd20-b4cde587a406}"/>
      </w:docPartPr>
      <w:docPartBody>
        <w:p>
          <w:r>
            <w:rPr>
              <w:color w:val="808080"/>
            </w:rPr>
            <w:t>单击此处输入文字。</w:t>
          </w:r>
        </w:p>
      </w:docPartBody>
    </w:docPart>
    <w:docPart>
      <w:docPartPr>
        <w:name w:val="{b9006e14-5845-4e3d-87af-b7ed8c56c407}"/>
        <w:style w:val=""/>
        <w:category>
          <w:name w:val="常规"/>
          <w:gallery w:val="placeholder"/>
        </w:category>
        <w:types>
          <w:type w:val="bbPlcHdr"/>
        </w:types>
        <w:behaviors>
          <w:behavior w:val="content"/>
        </w:behaviors>
        <w:description w:val=""/>
        <w:guid w:val="{b9006e14-5845-4e3d-87af-b7ed8c56c407}"/>
      </w:docPartPr>
      <w:docPartBody>
        <w:p>
          <w:r>
            <w:rPr>
              <w:color w:val="808080"/>
            </w:rPr>
            <w:t>单击此处输入文字。</w:t>
          </w:r>
        </w:p>
      </w:docPartBody>
    </w:docPart>
    <w:docPart>
      <w:docPartPr>
        <w:name w:val="{27b70fd6-6968-4e8d-8781-db33e2f50ce3}"/>
        <w:style w:val=""/>
        <w:category>
          <w:name w:val="常规"/>
          <w:gallery w:val="placeholder"/>
        </w:category>
        <w:types>
          <w:type w:val="bbPlcHdr"/>
        </w:types>
        <w:behaviors>
          <w:behavior w:val="content"/>
        </w:behaviors>
        <w:description w:val=""/>
        <w:guid w:val="{27b70fd6-6968-4e8d-8781-db33e2f50ce3}"/>
      </w:docPartPr>
      <w:docPartBody>
        <w:p>
          <w:r>
            <w:rPr>
              <w:color w:val="808080"/>
            </w:rPr>
            <w:t>单击此处输入文字。</w:t>
          </w:r>
        </w:p>
      </w:docPartBody>
    </w:docPart>
    <w:docPart>
      <w:docPartPr>
        <w:name w:val="{ad6de037-bfb7-4113-bf9f-3efc68165559}"/>
        <w:style w:val=""/>
        <w:category>
          <w:name w:val="常规"/>
          <w:gallery w:val="placeholder"/>
        </w:category>
        <w:types>
          <w:type w:val="bbPlcHdr"/>
        </w:types>
        <w:behaviors>
          <w:behavior w:val="content"/>
        </w:behaviors>
        <w:description w:val=""/>
        <w:guid w:val="{ad6de037-bfb7-4113-bf9f-3efc68165559}"/>
      </w:docPartPr>
      <w:docPartBody>
        <w:p>
          <w:r>
            <w:rPr>
              <w:color w:val="808080"/>
            </w:rPr>
            <w:t>单击此处输入文字。</w:t>
          </w:r>
        </w:p>
      </w:docPartBody>
    </w:docPart>
    <w:docPart>
      <w:docPartPr>
        <w:name w:val="{7b776a3a-0f59-42a3-bbd7-4663318385a4}"/>
        <w:style w:val=""/>
        <w:category>
          <w:name w:val="常规"/>
          <w:gallery w:val="placeholder"/>
        </w:category>
        <w:types>
          <w:type w:val="bbPlcHdr"/>
        </w:types>
        <w:behaviors>
          <w:behavior w:val="content"/>
        </w:behaviors>
        <w:description w:val=""/>
        <w:guid w:val="{7b776a3a-0f59-42a3-bbd7-4663318385a4}"/>
      </w:docPartPr>
      <w:docPartBody>
        <w:p>
          <w:r>
            <w:rPr>
              <w:color w:val="808080"/>
            </w:rPr>
            <w:t>单击此处输入文字。</w:t>
          </w:r>
        </w:p>
      </w:docPartBody>
    </w:docPart>
    <w:docPart>
      <w:docPartPr>
        <w:name w:val="{bc09de46-37bd-4a1a-b0d0-a95a3d130c41}"/>
        <w:style w:val=""/>
        <w:category>
          <w:name w:val="常规"/>
          <w:gallery w:val="placeholder"/>
        </w:category>
        <w:types>
          <w:type w:val="bbPlcHdr"/>
        </w:types>
        <w:behaviors>
          <w:behavior w:val="content"/>
        </w:behaviors>
        <w:description w:val=""/>
        <w:guid w:val="{bc09de46-37bd-4a1a-b0d0-a95a3d130c41}"/>
      </w:docPartPr>
      <w:docPartBody>
        <w:p>
          <w:r>
            <w:rPr>
              <w:color w:val="808080"/>
            </w:rPr>
            <w:t>单击此处输入文字。</w:t>
          </w:r>
        </w:p>
      </w:docPartBody>
    </w:docPart>
    <w:docPart>
      <w:docPartPr>
        <w:name w:val="{03f6feaf-9393-46cd-8c39-a8e49a6ecbed}"/>
        <w:style w:val=""/>
        <w:category>
          <w:name w:val="常规"/>
          <w:gallery w:val="placeholder"/>
        </w:category>
        <w:types>
          <w:type w:val="bbPlcHdr"/>
        </w:types>
        <w:behaviors>
          <w:behavior w:val="content"/>
        </w:behaviors>
        <w:description w:val=""/>
        <w:guid w:val="{03f6feaf-9393-46cd-8c39-a8e49a6ecbed}"/>
      </w:docPartPr>
      <w:docPartBody>
        <w:p>
          <w:r>
            <w:rPr>
              <w:color w:val="808080"/>
            </w:rPr>
            <w:t>单击此处输入文字。</w:t>
          </w:r>
        </w:p>
      </w:docPartBody>
    </w:docPart>
    <w:docPart>
      <w:docPartPr>
        <w:name w:val="{3ec99d62-baee-40f3-8860-b4dfef8e8312}"/>
        <w:style w:val=""/>
        <w:category>
          <w:name w:val="常规"/>
          <w:gallery w:val="placeholder"/>
        </w:category>
        <w:types>
          <w:type w:val="bbPlcHdr"/>
        </w:types>
        <w:behaviors>
          <w:behavior w:val="content"/>
        </w:behaviors>
        <w:description w:val=""/>
        <w:guid w:val="{3ec99d62-baee-40f3-8860-b4dfef8e8312}"/>
      </w:docPartPr>
      <w:docPartBody>
        <w:p>
          <w:r>
            <w:rPr>
              <w:color w:val="808080"/>
            </w:rPr>
            <w:t>单击此处输入文字。</w:t>
          </w:r>
        </w:p>
      </w:docPartBody>
    </w:docPart>
    <w:docPart>
      <w:docPartPr>
        <w:name w:val="{3d5e23cf-d96e-4532-b566-4313e76f0638}"/>
        <w:style w:val=""/>
        <w:category>
          <w:name w:val="常规"/>
          <w:gallery w:val="placeholder"/>
        </w:category>
        <w:types>
          <w:type w:val="bbPlcHdr"/>
        </w:types>
        <w:behaviors>
          <w:behavior w:val="content"/>
        </w:behaviors>
        <w:description w:val=""/>
        <w:guid w:val="{3d5e23cf-d96e-4532-b566-4313e76f0638}"/>
      </w:docPartPr>
      <w:docPartBody>
        <w:p>
          <w:r>
            <w:rPr>
              <w:color w:val="808080"/>
            </w:rPr>
            <w:t>单击此处输入文字。</w:t>
          </w:r>
        </w:p>
      </w:docPartBody>
    </w:docPart>
    <w:docPart>
      <w:docPartPr>
        <w:name w:val="{fdd7cc9b-4b1c-4270-be32-616123881d05}"/>
        <w:style w:val=""/>
        <w:category>
          <w:name w:val="常规"/>
          <w:gallery w:val="placeholder"/>
        </w:category>
        <w:types>
          <w:type w:val="bbPlcHdr"/>
        </w:types>
        <w:behaviors>
          <w:behavior w:val="content"/>
        </w:behaviors>
        <w:description w:val=""/>
        <w:guid w:val="{fdd7cc9b-4b1c-4270-be32-616123881d05}"/>
      </w:docPartPr>
      <w:docPartBody>
        <w:p>
          <w:r>
            <w:rPr>
              <w:color w:val="808080"/>
            </w:rPr>
            <w:t>单击此处输入文字。</w:t>
          </w:r>
        </w:p>
      </w:docPartBody>
    </w:docPart>
    <w:docPart>
      <w:docPartPr>
        <w:name w:val="{488b0fbf-0056-4367-b5c7-73e3411e5709}"/>
        <w:style w:val=""/>
        <w:category>
          <w:name w:val="常规"/>
          <w:gallery w:val="placeholder"/>
        </w:category>
        <w:types>
          <w:type w:val="bbPlcHdr"/>
        </w:types>
        <w:behaviors>
          <w:behavior w:val="content"/>
        </w:behaviors>
        <w:description w:val=""/>
        <w:guid w:val="{488b0fbf-0056-4367-b5c7-73e3411e5709}"/>
      </w:docPartPr>
      <w:docPartBody>
        <w:p>
          <w:r>
            <w:rPr>
              <w:color w:val="808080"/>
            </w:rPr>
            <w:t>单击此处输入文字。</w:t>
          </w:r>
        </w:p>
      </w:docPartBody>
    </w:docPart>
    <w:docPart>
      <w:docPartPr>
        <w:name w:val="{f082b2d8-132a-4031-bcab-e52e3bed55be}"/>
        <w:style w:val=""/>
        <w:category>
          <w:name w:val="常规"/>
          <w:gallery w:val="placeholder"/>
        </w:category>
        <w:types>
          <w:type w:val="bbPlcHdr"/>
        </w:types>
        <w:behaviors>
          <w:behavior w:val="content"/>
        </w:behaviors>
        <w:description w:val=""/>
        <w:guid w:val="{f082b2d8-132a-4031-bcab-e52e3bed55be}"/>
      </w:docPartPr>
      <w:docPartBody>
        <w:p>
          <w:r>
            <w:rPr>
              <w:color w:val="808080"/>
            </w:rPr>
            <w:t>单击此处输入文字。</w:t>
          </w:r>
        </w:p>
      </w:docPartBody>
    </w:docPart>
    <w:docPart>
      <w:docPartPr>
        <w:name w:val="{2dabf93d-4b12-48bf-9b4f-48ea210da4d3}"/>
        <w:style w:val=""/>
        <w:category>
          <w:name w:val="常规"/>
          <w:gallery w:val="placeholder"/>
        </w:category>
        <w:types>
          <w:type w:val="bbPlcHdr"/>
        </w:types>
        <w:behaviors>
          <w:behavior w:val="content"/>
        </w:behaviors>
        <w:description w:val=""/>
        <w:guid w:val="{2dabf93d-4b12-48bf-9b4f-48ea210da4d3}"/>
      </w:docPartPr>
      <w:docPartBody>
        <w:p>
          <w:r>
            <w:rPr>
              <w:color w:val="808080"/>
            </w:rPr>
            <w:t>单击此处输入文字。</w:t>
          </w:r>
        </w:p>
      </w:docPartBody>
    </w:docPart>
    <w:docPart>
      <w:docPartPr>
        <w:name w:val="{316366f8-300c-4135-b839-caa9d3f3938e}"/>
        <w:style w:val=""/>
        <w:category>
          <w:name w:val="常规"/>
          <w:gallery w:val="placeholder"/>
        </w:category>
        <w:types>
          <w:type w:val="bbPlcHdr"/>
        </w:types>
        <w:behaviors>
          <w:behavior w:val="content"/>
        </w:behaviors>
        <w:description w:val=""/>
        <w:guid w:val="{316366f8-300c-4135-b839-caa9d3f3938e}"/>
      </w:docPartPr>
      <w:docPartBody>
        <w:p>
          <w:r>
            <w:rPr>
              <w:color w:val="808080"/>
            </w:rPr>
            <w:t>单击此处输入文字。</w:t>
          </w:r>
        </w:p>
      </w:docPartBody>
    </w:docPart>
    <w:docPart>
      <w:docPartPr>
        <w:name w:val="{b49cb948-f55c-472b-aa8f-7f29f8d20bbd}"/>
        <w:style w:val=""/>
        <w:category>
          <w:name w:val="常规"/>
          <w:gallery w:val="placeholder"/>
        </w:category>
        <w:types>
          <w:type w:val="bbPlcHdr"/>
        </w:types>
        <w:behaviors>
          <w:behavior w:val="content"/>
        </w:behaviors>
        <w:description w:val=""/>
        <w:guid w:val="{b49cb948-f55c-472b-aa8f-7f29f8d20bbd}"/>
      </w:docPartPr>
      <w:docPartBody>
        <w:p>
          <w:r>
            <w:rPr>
              <w:color w:val="808080"/>
            </w:rPr>
            <w:t>单击此处输入文字。</w:t>
          </w:r>
        </w:p>
      </w:docPartBody>
    </w:docPart>
    <w:docPart>
      <w:docPartPr>
        <w:name w:val="{80b1ae1f-e2e4-4821-b79d-6d31506cec1f}"/>
        <w:style w:val=""/>
        <w:category>
          <w:name w:val="常规"/>
          <w:gallery w:val="placeholder"/>
        </w:category>
        <w:types>
          <w:type w:val="bbPlcHdr"/>
        </w:types>
        <w:behaviors>
          <w:behavior w:val="content"/>
        </w:behaviors>
        <w:description w:val=""/>
        <w:guid w:val="{80b1ae1f-e2e4-4821-b79d-6d31506cec1f}"/>
      </w:docPartPr>
      <w:docPartBody>
        <w:p>
          <w:r>
            <w:rPr>
              <w:color w:val="808080"/>
            </w:rPr>
            <w:t>单击此处输入文字。</w:t>
          </w:r>
        </w:p>
      </w:docPartBody>
    </w:docPart>
    <w:docPart>
      <w:docPartPr>
        <w:name w:val="{5dc4049a-a7c4-4e61-8f56-5dcfc82ce96b}"/>
        <w:style w:val=""/>
        <w:category>
          <w:name w:val="常规"/>
          <w:gallery w:val="placeholder"/>
        </w:category>
        <w:types>
          <w:type w:val="bbPlcHdr"/>
        </w:types>
        <w:behaviors>
          <w:behavior w:val="content"/>
        </w:behaviors>
        <w:description w:val=""/>
        <w:guid w:val="{5dc4049a-a7c4-4e61-8f56-5dcfc82ce96b}"/>
      </w:docPartPr>
      <w:docPartBody>
        <w:p>
          <w:r>
            <w:rPr>
              <w:color w:val="808080"/>
            </w:rPr>
            <w:t>单击此处输入文字。</w:t>
          </w:r>
        </w:p>
      </w:docPartBody>
    </w:docPart>
    <w:docPart>
      <w:docPartPr>
        <w:name w:val="{a94f5e8e-a4ef-46f0-a6f1-12815352446b}"/>
        <w:style w:val=""/>
        <w:category>
          <w:name w:val="常规"/>
          <w:gallery w:val="placeholder"/>
        </w:category>
        <w:types>
          <w:type w:val="bbPlcHdr"/>
        </w:types>
        <w:behaviors>
          <w:behavior w:val="content"/>
        </w:behaviors>
        <w:description w:val=""/>
        <w:guid w:val="{a94f5e8e-a4ef-46f0-a6f1-12815352446b}"/>
      </w:docPartPr>
      <w:docPartBody>
        <w:p>
          <w:r>
            <w:rPr>
              <w:color w:val="808080"/>
            </w:rPr>
            <w:t>单击此处输入文字。</w:t>
          </w:r>
        </w:p>
      </w:docPartBody>
    </w:docPart>
    <w:docPart>
      <w:docPartPr>
        <w:name w:val="{c1393f3c-fe5e-447c-8769-65cd1ee2e3d7}"/>
        <w:style w:val=""/>
        <w:category>
          <w:name w:val="常规"/>
          <w:gallery w:val="placeholder"/>
        </w:category>
        <w:types>
          <w:type w:val="bbPlcHdr"/>
        </w:types>
        <w:behaviors>
          <w:behavior w:val="content"/>
        </w:behaviors>
        <w:description w:val=""/>
        <w:guid w:val="{c1393f3c-fe5e-447c-8769-65cd1ee2e3d7}"/>
      </w:docPartPr>
      <w:docPartBody>
        <w:p>
          <w:r>
            <w:rPr>
              <w:color w:val="808080"/>
            </w:rPr>
            <w:t>单击此处输入文字。</w:t>
          </w:r>
        </w:p>
      </w:docPartBody>
    </w:docPart>
    <w:docPart>
      <w:docPartPr>
        <w:name w:val="{590aea4e-1ef1-4eed-b7c3-15760bfa66b9}"/>
        <w:style w:val=""/>
        <w:category>
          <w:name w:val="常规"/>
          <w:gallery w:val="placeholder"/>
        </w:category>
        <w:types>
          <w:type w:val="bbPlcHdr"/>
        </w:types>
        <w:behaviors>
          <w:behavior w:val="content"/>
        </w:behaviors>
        <w:description w:val=""/>
        <w:guid w:val="{590aea4e-1ef1-4eed-b7c3-15760bfa66b9}"/>
      </w:docPartPr>
      <w:docPartBody>
        <w:p>
          <w:r>
            <w:rPr>
              <w:color w:val="808080"/>
            </w:rPr>
            <w:t>单击此处输入文字。</w:t>
          </w:r>
        </w:p>
      </w:docPartBody>
    </w:docPart>
    <w:docPart>
      <w:docPartPr>
        <w:name w:val="{a5249232-ba23-4cae-bf0c-5717ab89e478}"/>
        <w:style w:val=""/>
        <w:category>
          <w:name w:val="常规"/>
          <w:gallery w:val="placeholder"/>
        </w:category>
        <w:types>
          <w:type w:val="bbPlcHdr"/>
        </w:types>
        <w:behaviors>
          <w:behavior w:val="content"/>
        </w:behaviors>
        <w:description w:val=""/>
        <w:guid w:val="{a5249232-ba23-4cae-bf0c-5717ab89e478}"/>
      </w:docPartPr>
      <w:docPartBody>
        <w:p>
          <w:r>
            <w:rPr>
              <w:color w:val="808080"/>
            </w:rPr>
            <w:t>单击此处输入文字。</w:t>
          </w:r>
        </w:p>
      </w:docPartBody>
    </w:docPart>
    <w:docPart>
      <w:docPartPr>
        <w:name w:val="{50419881-ba49-459c-9ca9-88ff3f37961e}"/>
        <w:style w:val=""/>
        <w:category>
          <w:name w:val="常规"/>
          <w:gallery w:val="placeholder"/>
        </w:category>
        <w:types>
          <w:type w:val="bbPlcHdr"/>
        </w:types>
        <w:behaviors>
          <w:behavior w:val="content"/>
        </w:behaviors>
        <w:description w:val=""/>
        <w:guid w:val="{50419881-ba49-459c-9ca9-88ff3f37961e}"/>
      </w:docPartPr>
      <w:docPartBody>
        <w:p>
          <w:r>
            <w:rPr>
              <w:color w:val="808080"/>
            </w:rPr>
            <w:t>单击此处输入文字。</w:t>
          </w:r>
        </w:p>
      </w:docPartBody>
    </w:docPart>
    <w:docPart>
      <w:docPartPr>
        <w:name w:val="{9c30ead4-981a-4300-958c-a2b03362a201}"/>
        <w:style w:val=""/>
        <w:category>
          <w:name w:val="常规"/>
          <w:gallery w:val="placeholder"/>
        </w:category>
        <w:types>
          <w:type w:val="bbPlcHdr"/>
        </w:types>
        <w:behaviors>
          <w:behavior w:val="content"/>
        </w:behaviors>
        <w:description w:val=""/>
        <w:guid w:val="{9c30ead4-981a-4300-958c-a2b03362a201}"/>
      </w:docPartPr>
      <w:docPartBody>
        <w:p>
          <w:r>
            <w:rPr>
              <w:color w:val="808080"/>
            </w:rPr>
            <w:t>单击此处输入文字。</w:t>
          </w:r>
        </w:p>
      </w:docPartBody>
    </w:docPart>
    <w:docPart>
      <w:docPartPr>
        <w:name w:val="{94e80f1b-7368-41f1-aec1-c943eca8128b}"/>
        <w:style w:val=""/>
        <w:category>
          <w:name w:val="常规"/>
          <w:gallery w:val="placeholder"/>
        </w:category>
        <w:types>
          <w:type w:val="bbPlcHdr"/>
        </w:types>
        <w:behaviors>
          <w:behavior w:val="content"/>
        </w:behaviors>
        <w:description w:val=""/>
        <w:guid w:val="{94e80f1b-7368-41f1-aec1-c943eca8128b}"/>
      </w:docPartPr>
      <w:docPartBody>
        <w:p>
          <w:r>
            <w:rPr>
              <w:color w:val="808080"/>
            </w:rPr>
            <w:t>单击此处输入文字。</w:t>
          </w:r>
        </w:p>
      </w:docPartBody>
    </w:docPart>
    <w:docPart>
      <w:docPartPr>
        <w:name w:val="{99879c0e-9816-46b5-822c-a43544be6528}"/>
        <w:style w:val=""/>
        <w:category>
          <w:name w:val="常规"/>
          <w:gallery w:val="placeholder"/>
        </w:category>
        <w:types>
          <w:type w:val="bbPlcHdr"/>
        </w:types>
        <w:behaviors>
          <w:behavior w:val="content"/>
        </w:behaviors>
        <w:description w:val=""/>
        <w:guid w:val="{99879c0e-9816-46b5-822c-a43544be6528}"/>
      </w:docPartPr>
      <w:docPartBody>
        <w:p>
          <w:r>
            <w:rPr>
              <w:color w:val="808080"/>
            </w:rPr>
            <w:t>单击此处输入文字。</w:t>
          </w:r>
        </w:p>
      </w:docPartBody>
    </w:docPart>
    <w:docPart>
      <w:docPartPr>
        <w:name w:val="{f87b697e-82fa-4e33-91d7-d67b965ba6b3}"/>
        <w:style w:val=""/>
        <w:category>
          <w:name w:val="常规"/>
          <w:gallery w:val="placeholder"/>
        </w:category>
        <w:types>
          <w:type w:val="bbPlcHdr"/>
        </w:types>
        <w:behaviors>
          <w:behavior w:val="content"/>
        </w:behaviors>
        <w:description w:val=""/>
        <w:guid w:val="{f87b697e-82fa-4e33-91d7-d67b965ba6b3}"/>
      </w:docPartPr>
      <w:docPartBody>
        <w:p>
          <w:r>
            <w:rPr>
              <w:color w:val="808080"/>
            </w:rPr>
            <w:t>单击此处输入文字。</w:t>
          </w:r>
        </w:p>
      </w:docPartBody>
    </w:docPart>
    <w:docPart>
      <w:docPartPr>
        <w:name w:val="{8e8434c7-7d13-4730-8983-a4b8197ef8dd}"/>
        <w:style w:val=""/>
        <w:category>
          <w:name w:val="常规"/>
          <w:gallery w:val="placeholder"/>
        </w:category>
        <w:types>
          <w:type w:val="bbPlcHdr"/>
        </w:types>
        <w:behaviors>
          <w:behavior w:val="content"/>
        </w:behaviors>
        <w:description w:val=""/>
        <w:guid w:val="{8e8434c7-7d13-4730-8983-a4b8197ef8d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2020-09-17T01:44:00Z</dcterms:created>
  <dc:creator>Administrator</dc:creator>
  <cp:lastModifiedBy>kylin</cp:lastModifiedBy>
  <cp:lastPrinted>2021-09-02T16:11:00Z</cp:lastPrinted>
  <dcterms:modified xsi:type="dcterms:W3CDTF">2021-12-22T18:22:35Z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