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000000"/>
          <w:kern w:val="0"/>
          <w:sz w:val="21"/>
          <w:szCs w:val="21"/>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pStyle w:val="4"/>
        <w:widowControl/>
        <w:shd w:val="clear" w:color="auto" w:fill="FFFFFF"/>
        <w:spacing w:beforeAutospacing="0" w:afterAutospacing="0" w:line="56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202</w:t>
      </w:r>
      <w:r>
        <w:rPr>
          <w:rFonts w:hint="eastAsia" w:ascii="仿宋_GB2312" w:hAnsi="宋体" w:eastAsia="仿宋_GB2312" w:cs="宋体"/>
          <w:sz w:val="32"/>
          <w:szCs w:val="32"/>
          <w:highlight w:val="none"/>
          <w:lang w:val="en-US" w:eastAsia="zh-CN"/>
        </w:rPr>
        <w:t>3</w:t>
      </w:r>
      <w:r>
        <w:rPr>
          <w:rFonts w:hint="eastAsia" w:ascii="仿宋_GB2312" w:hAnsi="宋体" w:eastAsia="仿宋_GB2312" w:cs="宋体"/>
          <w:sz w:val="32"/>
          <w:szCs w:val="32"/>
          <w:highlight w:val="none"/>
        </w:rPr>
        <w:t>年，军粮城街高度重视政府信息公开工作，积极落实区委、区政府有关决策部署，持续规范政府信息公开工作</w:t>
      </w:r>
      <w:r>
        <w:rPr>
          <w:rFonts w:hint="eastAsia" w:ascii="仿宋_GB2312" w:hAnsi="宋体" w:eastAsia="仿宋_GB2312" w:cs="宋体"/>
          <w:sz w:val="32"/>
          <w:szCs w:val="32"/>
          <w:highlight w:val="none"/>
          <w:lang w:eastAsia="zh-CN"/>
        </w:rPr>
        <w:t>。本街道信息公开工作年度报告按照《中华人民共和国政府信息公开条例》有关要求进行编制，</w:t>
      </w:r>
      <w:r>
        <w:rPr>
          <w:rFonts w:ascii="仿宋_GB2312" w:hAnsi="宋体" w:eastAsia="仿宋_GB2312" w:cs="仿宋_GB2312"/>
          <w:i w:val="0"/>
          <w:iCs w:val="0"/>
          <w:caps w:val="0"/>
          <w:color w:val="000000"/>
          <w:spacing w:val="0"/>
          <w:sz w:val="31"/>
          <w:szCs w:val="31"/>
          <w:highlight w:val="none"/>
          <w:vertAlign w:val="baseline"/>
        </w:rPr>
        <w:t>全文包括总体情况、主动公开政府信息情况、收到和处理政府信息公开申请情况、</w:t>
      </w:r>
      <w:r>
        <w:rPr>
          <w:rFonts w:hint="eastAsia" w:ascii="仿宋_GB2312" w:hAnsi="宋体" w:eastAsia="仿宋_GB2312" w:cs="仿宋_GB2312"/>
          <w:i w:val="0"/>
          <w:iCs w:val="0"/>
          <w:caps w:val="0"/>
          <w:color w:val="000000"/>
          <w:spacing w:val="0"/>
          <w:sz w:val="31"/>
          <w:szCs w:val="31"/>
          <w:highlight w:val="none"/>
          <w:vertAlign w:val="baseline"/>
        </w:rPr>
        <w:t>政府信息公开行政复议、行政诉讼情况</w:t>
      </w:r>
      <w:r>
        <w:rPr>
          <w:rFonts w:ascii="仿宋_GB2312" w:hAnsi="宋体" w:eastAsia="仿宋_GB2312" w:cs="仿宋_GB2312"/>
          <w:i w:val="0"/>
          <w:iCs w:val="0"/>
          <w:caps w:val="0"/>
          <w:color w:val="000000"/>
          <w:spacing w:val="0"/>
          <w:sz w:val="31"/>
          <w:szCs w:val="31"/>
          <w:highlight w:val="none"/>
          <w:vertAlign w:val="baseline"/>
        </w:rPr>
        <w:t>、存在的主要问题及改进情况、其他需要报告的事项等六部分内容。本年报中所列数据统计期限从</w:t>
      </w:r>
      <w:r>
        <w:rPr>
          <w:rFonts w:hint="eastAsia" w:ascii="仿宋_GB2312" w:hAnsi="宋体" w:eastAsia="仿宋_GB2312" w:cs="仿宋_GB2312"/>
          <w:i w:val="0"/>
          <w:iCs w:val="0"/>
          <w:caps w:val="0"/>
          <w:color w:val="000000"/>
          <w:spacing w:val="0"/>
          <w:sz w:val="31"/>
          <w:szCs w:val="31"/>
          <w:highlight w:val="none"/>
          <w:vertAlign w:val="baseline"/>
        </w:rPr>
        <w:t>202</w:t>
      </w:r>
      <w:r>
        <w:rPr>
          <w:rFonts w:hint="eastAsia" w:ascii="仿宋_GB2312" w:hAnsi="宋体" w:eastAsia="仿宋_GB2312" w:cs="仿宋_GB2312"/>
          <w:i w:val="0"/>
          <w:iCs w:val="0"/>
          <w:caps w:val="0"/>
          <w:color w:val="000000"/>
          <w:spacing w:val="0"/>
          <w:sz w:val="31"/>
          <w:szCs w:val="31"/>
          <w:highlight w:val="none"/>
          <w:vertAlign w:val="baseline"/>
          <w:lang w:val="en-US" w:eastAsia="zh-CN"/>
        </w:rPr>
        <w:t>3</w:t>
      </w:r>
      <w:r>
        <w:rPr>
          <w:rFonts w:hint="eastAsia" w:ascii="仿宋_GB2312" w:hAnsi="宋体" w:eastAsia="仿宋_GB2312" w:cs="仿宋_GB2312"/>
          <w:i w:val="0"/>
          <w:iCs w:val="0"/>
          <w:caps w:val="0"/>
          <w:color w:val="000000"/>
          <w:spacing w:val="0"/>
          <w:sz w:val="31"/>
          <w:szCs w:val="31"/>
          <w:highlight w:val="none"/>
          <w:vertAlign w:val="baseline"/>
        </w:rPr>
        <w:t>年1月1日起至202</w:t>
      </w:r>
      <w:r>
        <w:rPr>
          <w:rFonts w:hint="eastAsia" w:ascii="仿宋_GB2312" w:hAnsi="宋体" w:eastAsia="仿宋_GB2312" w:cs="仿宋_GB2312"/>
          <w:i w:val="0"/>
          <w:iCs w:val="0"/>
          <w:caps w:val="0"/>
          <w:color w:val="000000"/>
          <w:spacing w:val="0"/>
          <w:sz w:val="31"/>
          <w:szCs w:val="31"/>
          <w:highlight w:val="none"/>
          <w:vertAlign w:val="baseline"/>
          <w:lang w:val="en-US" w:eastAsia="zh-CN"/>
        </w:rPr>
        <w:t>3</w:t>
      </w:r>
      <w:r>
        <w:rPr>
          <w:rFonts w:hint="eastAsia" w:ascii="仿宋_GB2312" w:hAnsi="宋体" w:eastAsia="仿宋_GB2312" w:cs="仿宋_GB2312"/>
          <w:i w:val="0"/>
          <w:iCs w:val="0"/>
          <w:caps w:val="0"/>
          <w:color w:val="000000"/>
          <w:spacing w:val="0"/>
          <w:sz w:val="31"/>
          <w:szCs w:val="31"/>
          <w:highlight w:val="none"/>
          <w:vertAlign w:val="baseline"/>
        </w:rPr>
        <w:t>年12月31日止。</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 主动公开信息情况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年，共主动公开政府信息</w:t>
      </w:r>
      <w:r>
        <w:rPr>
          <w:rFonts w:hint="eastAsia" w:ascii="仿宋_GB2312" w:hAnsi="仿宋_GB2312" w:eastAsia="仿宋_GB2312" w:cs="仿宋_GB2312"/>
          <w:sz w:val="32"/>
          <w:szCs w:val="32"/>
          <w:highlight w:val="none"/>
          <w:lang w:val="en-US" w:eastAsia="zh-CN"/>
        </w:rPr>
        <w:t>96</w:t>
      </w:r>
      <w:r>
        <w:rPr>
          <w:rFonts w:hint="eastAsia" w:ascii="仿宋_GB2312" w:hAnsi="仿宋_GB2312" w:eastAsia="仿宋_GB2312" w:cs="仿宋_GB2312"/>
          <w:sz w:val="32"/>
          <w:szCs w:val="32"/>
          <w:highlight w:val="none"/>
        </w:rPr>
        <w:t>条。公开内容涵盖</w:t>
      </w:r>
      <w:r>
        <w:rPr>
          <w:rFonts w:hint="eastAsia" w:ascii="仿宋_GB2312" w:hAnsi="仿宋_GB2312" w:eastAsia="仿宋_GB2312" w:cs="仿宋_GB2312"/>
          <w:sz w:val="32"/>
          <w:szCs w:val="32"/>
          <w:highlight w:val="none"/>
          <w:lang w:eastAsia="zh-CN"/>
        </w:rPr>
        <w:t>街道动态、政策文件、信息公开年度报告、“政府开放周”活动、法治政府建设报告、行政执法报告、履职依据、财政预决算</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政府采购、人事任免、</w:t>
      </w:r>
      <w:r>
        <w:rPr>
          <w:rFonts w:hint="eastAsia" w:ascii="仿宋_GB2312" w:hAnsi="仿宋_GB2312" w:eastAsia="仿宋_GB2312" w:cs="仿宋_GB2312"/>
          <w:sz w:val="32"/>
          <w:szCs w:val="32"/>
          <w:highlight w:val="none"/>
        </w:rPr>
        <w:t>机构职能</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设置等方面。</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 依申请公开信息情况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宋体" w:eastAsia="仿宋_GB2312" w:cs="宋体"/>
          <w:kern w:val="0"/>
          <w:sz w:val="32"/>
          <w:szCs w:val="32"/>
          <w:highlight w:val="none"/>
        </w:rPr>
        <w:t>为保障依申请公开工作有序开展，</w:t>
      </w:r>
      <w:r>
        <w:rPr>
          <w:rFonts w:hint="eastAsia" w:ascii="仿宋_GB2312" w:hAnsi="宋体" w:eastAsia="仿宋_GB2312" w:cs="宋体"/>
          <w:kern w:val="0"/>
          <w:sz w:val="32"/>
          <w:szCs w:val="32"/>
          <w:highlight w:val="none"/>
          <w:lang w:eastAsia="zh-CN"/>
        </w:rPr>
        <w:t>军粮城</w:t>
      </w:r>
      <w:r>
        <w:rPr>
          <w:rFonts w:hint="eastAsia" w:ascii="仿宋_GB2312" w:hAnsi="宋体" w:eastAsia="仿宋_GB2312" w:cs="宋体"/>
          <w:kern w:val="0"/>
          <w:sz w:val="32"/>
          <w:szCs w:val="32"/>
          <w:highlight w:val="none"/>
        </w:rPr>
        <w:t>街道严格制定、落实依申请信息公开工作程序，与街道法律服务顾问建立常态化联络机制，完善依申请公开工作程序。明确受理申请的科室、方式和程序，在规定时限内做出是否公开的答复。确</w:t>
      </w:r>
      <w:r>
        <w:rPr>
          <w:rFonts w:hint="eastAsia" w:ascii="仿宋_GB2312" w:hAnsi="宋体" w:eastAsia="仿宋_GB2312" w:cs="宋体"/>
          <w:kern w:val="0"/>
          <w:sz w:val="32"/>
          <w:szCs w:val="32"/>
          <w:highlight w:val="none"/>
          <w:lang w:eastAsia="zh-CN"/>
        </w:rPr>
        <w:t>定</w:t>
      </w:r>
      <w:r>
        <w:rPr>
          <w:rFonts w:hint="eastAsia" w:ascii="仿宋_GB2312" w:hAnsi="宋体" w:eastAsia="仿宋_GB2312" w:cs="宋体"/>
          <w:kern w:val="0"/>
          <w:sz w:val="32"/>
          <w:szCs w:val="32"/>
          <w:highlight w:val="none"/>
        </w:rPr>
        <w:t>不能公开的，及时做好解释说明工作。202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eastAsia="zh-CN"/>
        </w:rPr>
        <w:t>共受理</w:t>
      </w:r>
      <w:r>
        <w:rPr>
          <w:rFonts w:hint="eastAsia" w:ascii="仿宋_GB2312" w:hAnsi="仿宋_GB2312" w:eastAsia="仿宋_GB2312" w:cs="仿宋_GB2312"/>
          <w:sz w:val="32"/>
          <w:szCs w:val="32"/>
          <w:highlight w:val="none"/>
        </w:rPr>
        <w:t>依申请公开政府信息</w:t>
      </w:r>
      <w:r>
        <w:rPr>
          <w:rFonts w:hint="eastAsia" w:ascii="仿宋_GB2312" w:hAnsi="仿宋_GB2312" w:eastAsia="仿宋_GB2312" w:cs="仿宋_GB2312"/>
          <w:sz w:val="32"/>
          <w:szCs w:val="32"/>
          <w:highlight w:val="none"/>
          <w:lang w:val="en-US" w:eastAsia="zh-CN"/>
        </w:rPr>
        <w:t>155</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受理率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业务科室均按照有关规定予以办理，在规定的时间内予以答复</w:t>
      </w:r>
      <w:r>
        <w:rPr>
          <w:rFonts w:hint="eastAsia" w:ascii="仿宋_GB2312" w:hAnsi="宋体" w:eastAsia="仿宋_GB2312" w:cs="宋体"/>
          <w:kern w:val="0"/>
          <w:sz w:val="32"/>
          <w:szCs w:val="32"/>
          <w:highlight w:val="none"/>
          <w:lang w:val="en-US" w:eastAsia="zh-CN"/>
        </w:rPr>
        <w:t>。</w:t>
      </w:r>
    </w:p>
    <w:p>
      <w:pPr>
        <w:widowControl/>
        <w:shd w:val="clear" w:color="auto" w:fill="FFFFFF"/>
        <w:spacing w:line="560" w:lineRule="exact"/>
        <w:ind w:firstLine="640" w:firstLineChars="200"/>
        <w:rPr>
          <w:rFonts w:ascii="楷体_GB2312" w:hAnsi="宋体" w:eastAsia="楷体_GB2312" w:cs="宋体"/>
          <w:kern w:val="0"/>
          <w:sz w:val="32"/>
          <w:szCs w:val="32"/>
          <w:highlight w:val="none"/>
        </w:rPr>
      </w:pPr>
      <w:r>
        <w:rPr>
          <w:rFonts w:hint="eastAsia" w:ascii="楷体_GB2312" w:hAnsi="宋体" w:eastAsia="楷体_GB2312" w:cs="宋体"/>
          <w:kern w:val="0"/>
          <w:sz w:val="32"/>
          <w:szCs w:val="32"/>
          <w:highlight w:val="none"/>
        </w:rPr>
        <w:t>（三）政府信息管理情况</w:t>
      </w:r>
    </w:p>
    <w:p>
      <w:pPr>
        <w:widowControl/>
        <w:shd w:val="clear" w:color="auto" w:fill="FFFFFF"/>
        <w:spacing w:line="560" w:lineRule="exact"/>
        <w:ind w:firstLine="640" w:firstLineChars="200"/>
        <w:rPr>
          <w:rFonts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在区政府政务公开主管部门的指导下，不断加强政府信息资源的规范化、标准化、信息化管理</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宋体"/>
          <w:b/>
          <w:kern w:val="0"/>
          <w:sz w:val="32"/>
          <w:szCs w:val="32"/>
          <w:highlight w:val="none"/>
        </w:rPr>
        <w:t>一是</w:t>
      </w:r>
      <w:r>
        <w:rPr>
          <w:rFonts w:hint="eastAsia" w:ascii="仿宋_GB2312" w:hAnsi="宋体" w:eastAsia="仿宋_GB2312" w:cs="宋体"/>
          <w:kern w:val="0"/>
          <w:sz w:val="32"/>
          <w:szCs w:val="32"/>
          <w:highlight w:val="none"/>
        </w:rPr>
        <w:t>严格政府信息的发布流程。明确主动公开、依申请公开、不予公开等属性，层层审查把关。</w:t>
      </w:r>
      <w:r>
        <w:rPr>
          <w:rFonts w:hint="eastAsia" w:ascii="仿宋_GB2312" w:hAnsi="宋体" w:eastAsia="仿宋_GB2312" w:cs="宋体"/>
          <w:b/>
          <w:kern w:val="0"/>
          <w:sz w:val="32"/>
          <w:szCs w:val="32"/>
          <w:highlight w:val="none"/>
        </w:rPr>
        <w:t>二是</w:t>
      </w:r>
      <w:r>
        <w:rPr>
          <w:rFonts w:hint="eastAsia" w:ascii="仿宋_GB2312" w:hAnsi="宋体" w:eastAsia="仿宋_GB2312" w:cs="宋体"/>
          <w:kern w:val="0"/>
          <w:sz w:val="32"/>
          <w:szCs w:val="32"/>
          <w:highlight w:val="none"/>
        </w:rPr>
        <w:t>严格落实保密制度。确保政府信息公开保密审查工作制度化、规范化，将保密审查程序与公文流转程序紧密结合，确保公开文件不涉密。</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（四）平台建设</w:t>
      </w:r>
    </w:p>
    <w:p>
      <w:pPr>
        <w:pStyle w:val="4"/>
        <w:widowControl/>
        <w:shd w:val="clear" w:color="auto" w:fill="FFFFFF"/>
        <w:spacing w:beforeAutospacing="0" w:afterAutospacing="0"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bidi="ar-SA"/>
        </w:rPr>
        <w:t>按照上级要求，对我街道门户网站的“政府信息公开专栏”等进行规范再建设，确保栏目名称、页面格式等符合要求。</w:t>
      </w:r>
      <w:r>
        <w:rPr>
          <w:rFonts w:hint="eastAsia" w:ascii="仿宋_GB2312" w:hAnsi="宋体" w:eastAsia="仿宋_GB2312" w:cs="宋体"/>
          <w:sz w:val="32"/>
          <w:szCs w:val="32"/>
          <w:highlight w:val="none"/>
          <w:lang w:val="en-US" w:eastAsia="zh-CN"/>
        </w:rPr>
        <w:t>不断强化微信公众号等政务新媒体的宣传作用，注重实时更新，加强内容保障，强化传播效力，积极发挥网上舆论引导作用，</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依托微信公众号</w:t>
      </w:r>
      <w:r>
        <w:rPr>
          <w:rFonts w:hint="eastAsia" w:ascii="仿宋_GB2312" w:hAnsi="宋体" w:eastAsia="仿宋_GB2312" w:cs="宋体"/>
          <w:kern w:val="0"/>
          <w:sz w:val="32"/>
          <w:szCs w:val="32"/>
          <w:highlight w:val="none"/>
          <w:lang w:eastAsia="zh-CN"/>
        </w:rPr>
        <w:t>“日新月异军粮城”</w:t>
      </w:r>
      <w:r>
        <w:rPr>
          <w:rFonts w:hint="eastAsia" w:ascii="仿宋_GB2312" w:hAnsi="宋体" w:eastAsia="仿宋_GB2312" w:cs="宋体"/>
          <w:kern w:val="0"/>
          <w:sz w:val="32"/>
          <w:szCs w:val="32"/>
          <w:highlight w:val="none"/>
        </w:rPr>
        <w:t>发布</w:t>
      </w:r>
      <w:r>
        <w:rPr>
          <w:rFonts w:hint="eastAsia" w:ascii="仿宋_GB2312" w:hAnsi="宋体" w:eastAsia="仿宋_GB2312" w:cs="宋体"/>
          <w:kern w:val="0"/>
          <w:sz w:val="32"/>
          <w:szCs w:val="32"/>
          <w:highlight w:val="none"/>
          <w:lang w:eastAsia="zh-CN"/>
        </w:rPr>
        <w:t>信息</w:t>
      </w:r>
      <w:r>
        <w:rPr>
          <w:rFonts w:hint="eastAsia" w:ascii="仿宋_GB2312" w:hAnsi="宋体" w:eastAsia="仿宋_GB2312" w:cs="宋体"/>
          <w:kern w:val="0"/>
          <w:sz w:val="32"/>
          <w:szCs w:val="32"/>
          <w:highlight w:val="none"/>
          <w:lang w:val="en-US" w:eastAsia="zh-CN"/>
        </w:rPr>
        <w:t>274</w:t>
      </w:r>
      <w:r>
        <w:rPr>
          <w:rFonts w:hint="eastAsia" w:ascii="仿宋_GB2312" w:hAnsi="宋体" w:eastAsia="仿宋_GB2312" w:cs="宋体"/>
          <w:kern w:val="0"/>
          <w:sz w:val="32"/>
          <w:szCs w:val="32"/>
          <w:highlight w:val="none"/>
        </w:rPr>
        <w:t>条</w:t>
      </w:r>
      <w:r>
        <w:rPr>
          <w:rFonts w:hint="eastAsia" w:ascii="仿宋_GB2312" w:hAnsi="宋体" w:eastAsia="仿宋_GB2312" w:cs="宋体"/>
          <w:kern w:val="0"/>
          <w:sz w:val="32"/>
          <w:szCs w:val="32"/>
          <w:highlight w:val="none"/>
          <w:lang w:eastAsia="zh-CN"/>
        </w:rPr>
        <w:t>，依托政务微博“军粮城街道办事处”发布信息</w:t>
      </w:r>
      <w:r>
        <w:rPr>
          <w:rFonts w:hint="eastAsia" w:ascii="仿宋_GB2312" w:hAnsi="宋体" w:eastAsia="仿宋_GB2312" w:cs="宋体"/>
          <w:kern w:val="0"/>
          <w:sz w:val="32"/>
          <w:szCs w:val="32"/>
          <w:highlight w:val="none"/>
          <w:lang w:val="en-US" w:eastAsia="zh-CN"/>
        </w:rPr>
        <w:t>1091</w:t>
      </w:r>
      <w:r>
        <w:rPr>
          <w:rFonts w:hint="eastAsia" w:ascii="仿宋_GB2312" w:hAnsi="宋体" w:eastAsia="仿宋_GB2312" w:cs="宋体"/>
          <w:kern w:val="0"/>
          <w:sz w:val="32"/>
          <w:szCs w:val="32"/>
          <w:highlight w:val="none"/>
          <w:lang w:eastAsia="zh-CN"/>
        </w:rPr>
        <w:t>条</w:t>
      </w:r>
      <w:r>
        <w:rPr>
          <w:rFonts w:hint="default" w:ascii="仿宋_GB2312" w:hAnsi="宋体" w:eastAsia="仿宋_GB2312" w:cs="宋体"/>
          <w:sz w:val="32"/>
          <w:szCs w:val="32"/>
          <w:highlight w:val="none"/>
          <w:lang w:val="en-US" w:eastAsia="zh-CN"/>
        </w:rPr>
        <w:t>。</w:t>
      </w:r>
      <w:r>
        <w:rPr>
          <w:rFonts w:hint="eastAsia" w:ascii="仿宋_GB2312" w:hAnsi="宋体" w:eastAsia="仿宋_GB2312" w:cs="宋体"/>
          <w:sz w:val="32"/>
          <w:szCs w:val="32"/>
          <w:highlight w:val="none"/>
          <w:lang w:val="en-US" w:eastAsia="zh-CN"/>
        </w:rPr>
        <w:t>同时</w:t>
      </w:r>
      <w:r>
        <w:rPr>
          <w:rFonts w:hint="eastAsia" w:ascii="仿宋_GB2312" w:hAnsi="宋体" w:eastAsia="仿宋_GB2312" w:cs="宋体"/>
          <w:kern w:val="0"/>
          <w:sz w:val="32"/>
          <w:szCs w:val="32"/>
          <w:highlight w:val="none"/>
        </w:rPr>
        <w:t>做好信息报送工作，及时汇总各科室的工作动态，并按照要求报送至区政府办，扩大宣传范围，全年上报</w:t>
      </w:r>
      <w:r>
        <w:rPr>
          <w:rFonts w:hint="eastAsia" w:ascii="仿宋_GB2312" w:hAnsi="宋体" w:eastAsia="仿宋_GB2312" w:cs="宋体"/>
          <w:kern w:val="0"/>
          <w:sz w:val="32"/>
          <w:szCs w:val="32"/>
          <w:highlight w:val="none"/>
          <w:lang w:eastAsia="zh-CN"/>
        </w:rPr>
        <w:t>政务</w:t>
      </w:r>
      <w:r>
        <w:rPr>
          <w:rFonts w:hint="eastAsia" w:ascii="仿宋_GB2312" w:hAnsi="宋体" w:eastAsia="仿宋_GB2312" w:cs="宋体"/>
          <w:kern w:val="0"/>
          <w:sz w:val="32"/>
          <w:szCs w:val="32"/>
          <w:highlight w:val="none"/>
        </w:rPr>
        <w:t>信息</w:t>
      </w:r>
      <w:r>
        <w:rPr>
          <w:rFonts w:hint="eastAsia" w:ascii="仿宋_GB2312" w:hAnsi="宋体" w:eastAsia="仿宋_GB2312" w:cs="宋体"/>
          <w:kern w:val="0"/>
          <w:sz w:val="32"/>
          <w:szCs w:val="32"/>
          <w:highlight w:val="none"/>
          <w:lang w:val="en-US" w:eastAsia="zh-CN"/>
        </w:rPr>
        <w:t>48</w:t>
      </w:r>
      <w:r>
        <w:rPr>
          <w:rFonts w:hint="eastAsia" w:ascii="仿宋_GB2312" w:hAnsi="宋体" w:eastAsia="仿宋_GB2312" w:cs="宋体"/>
          <w:kern w:val="0"/>
          <w:sz w:val="32"/>
          <w:szCs w:val="32"/>
          <w:highlight w:val="none"/>
        </w:rPr>
        <w:t>条，切实起到了良好的宣传作用。</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（五）监督保障工作</w:t>
      </w:r>
    </w:p>
    <w:p>
      <w:pPr>
        <w:spacing w:line="560" w:lineRule="exact"/>
        <w:ind w:firstLine="640" w:firstLineChars="200"/>
        <w:rPr>
          <w:rFonts w:ascii="黑体" w:hAnsi="宋体" w:eastAsia="黑体" w:cs="宋体"/>
          <w:bCs/>
          <w:kern w:val="0"/>
          <w:sz w:val="32"/>
          <w:szCs w:val="32"/>
          <w:highlight w:val="none"/>
        </w:rPr>
      </w:pPr>
      <w:r>
        <w:rPr>
          <w:rFonts w:hint="eastAsia" w:ascii="仿宋_GB2312" w:hAnsi="仿宋_GB2312" w:eastAsia="仿宋_GB2312" w:cs="仿宋_GB2312"/>
          <w:sz w:val="32"/>
          <w:szCs w:val="32"/>
          <w:highlight w:val="none"/>
        </w:rPr>
        <w:t>为落实区政府关于政府信息公开工作的要求，</w:t>
      </w:r>
      <w:r>
        <w:rPr>
          <w:rFonts w:hint="eastAsia" w:ascii="仿宋_GB2312" w:hAnsi="仿宋_GB2312" w:eastAsia="仿宋_GB2312" w:cs="仿宋_GB2312"/>
          <w:sz w:val="32"/>
          <w:szCs w:val="32"/>
          <w:highlight w:val="none"/>
          <w:lang w:eastAsia="zh-CN"/>
        </w:rPr>
        <w:t>军粮城</w:t>
      </w:r>
      <w:r>
        <w:rPr>
          <w:rFonts w:hint="eastAsia" w:ascii="仿宋_GB2312" w:hAnsi="仿宋_GB2312" w:eastAsia="仿宋_GB2312" w:cs="仿宋_GB2312"/>
          <w:sz w:val="32"/>
          <w:szCs w:val="32"/>
          <w:highlight w:val="none"/>
        </w:rPr>
        <w:t>街道信息公开工作主动接受上级政府部门及本级</w:t>
      </w:r>
      <w:r>
        <w:rPr>
          <w:rFonts w:hint="eastAsia" w:ascii="仿宋_GB2312" w:hAnsi="仿宋_GB2312" w:eastAsia="仿宋_GB2312" w:cs="仿宋_GB2312"/>
          <w:sz w:val="32"/>
          <w:szCs w:val="32"/>
          <w:highlight w:val="none"/>
          <w:lang w:eastAsia="zh-CN"/>
        </w:rPr>
        <w:t>保密</w:t>
      </w:r>
      <w:r>
        <w:rPr>
          <w:rFonts w:hint="eastAsia" w:ascii="仿宋_GB2312" w:hAnsi="仿宋_GB2312" w:eastAsia="仿宋_GB2312" w:cs="仿宋_GB2312"/>
          <w:sz w:val="32"/>
          <w:szCs w:val="32"/>
          <w:highlight w:val="none"/>
        </w:rPr>
        <w:t>部门的监督，严格落实保密审查工作，确保信息公开内容的合规合法性。同时</w:t>
      </w:r>
      <w:r>
        <w:rPr>
          <w:rFonts w:hint="eastAsia" w:ascii="仿宋_GB2312" w:hAnsi="仿宋_GB2312" w:eastAsia="仿宋_GB2312" w:cs="仿宋_GB2312"/>
          <w:sz w:val="32"/>
          <w:szCs w:val="32"/>
          <w:highlight w:val="none"/>
          <w:lang w:eastAsia="zh-CN"/>
        </w:rPr>
        <w:t>军粮城</w:t>
      </w:r>
      <w:r>
        <w:rPr>
          <w:rFonts w:hint="eastAsia" w:ascii="仿宋_GB2312" w:hAnsi="仿宋_GB2312" w:eastAsia="仿宋_GB2312" w:cs="仿宋_GB2312"/>
          <w:sz w:val="32"/>
          <w:szCs w:val="32"/>
          <w:highlight w:val="none"/>
        </w:rPr>
        <w:t>街道信息公开工作接受广大人民群众的监督，完善社会评议评价机制，加强对法定公开事项、重点工作和政策解读回应等方面的监测。拓宽群众获取信息渠道，使人民群众的知情权、参与权和监督权得到充分保障。</w:t>
      </w: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p>
      <w:pPr>
        <w:widowControl/>
        <w:shd w:val="clear" w:color="auto" w:fill="FFFFFF"/>
        <w:ind w:firstLine="480"/>
        <w:rPr>
          <w:rFonts w:hint="eastAsia" w:ascii="宋体" w:hAnsi="宋体" w:eastAsia="宋体" w:cs="宋体"/>
          <w:color w:val="000000"/>
          <w:kern w:val="0"/>
          <w:sz w:val="24"/>
          <w:szCs w:val="24"/>
        </w:rPr>
      </w:pPr>
    </w:p>
    <w:p>
      <w:pPr>
        <w:widowControl/>
        <w:shd w:val="clear" w:color="auto" w:fill="FFFFFF"/>
        <w:ind w:firstLine="480"/>
        <w:rPr>
          <w:rFonts w:hint="eastAsia" w:ascii="宋体" w:hAnsi="宋体" w:eastAsia="宋体" w:cs="宋体"/>
          <w:color w:val="000000"/>
          <w:kern w:val="0"/>
          <w:sz w:val="24"/>
          <w:szCs w:val="24"/>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120</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highlight w:val="none"/>
              </w:rPr>
              <w:t>11.856万（税务系统-城镇垃圾处理费）</w:t>
            </w:r>
          </w:p>
        </w:tc>
      </w:tr>
    </w:tbl>
    <w:p>
      <w:pPr>
        <w:widowControl/>
        <w:shd w:val="clear" w:color="auto" w:fill="FFFFFF"/>
        <w:rPr>
          <w:rFonts w:hint="eastAsia" w:ascii="黑体" w:hAnsi="黑体" w:eastAsia="黑体" w:cs="黑体"/>
          <w:b w:val="0"/>
          <w:bCs w:val="0"/>
          <w:color w:val="000000"/>
          <w:kern w:val="0"/>
          <w:sz w:val="32"/>
          <w:szCs w:val="32"/>
        </w:rPr>
      </w:pPr>
    </w:p>
    <w:p>
      <w:pPr>
        <w:widowControl/>
        <w:shd w:val="clear" w:color="auto" w:fill="FFFFFF"/>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pPr>
        <w:widowControl/>
        <w:shd w:val="clear" w:color="auto" w:fill="FFFFFF"/>
        <w:ind w:firstLine="480"/>
        <w:rPr>
          <w:rFonts w:hint="eastAsia" w:ascii="宋体" w:hAnsi="宋体" w:eastAsia="宋体" w:cs="宋体"/>
          <w:color w:val="000000"/>
          <w:kern w:val="0"/>
          <w:sz w:val="24"/>
          <w:szCs w:val="24"/>
        </w:rPr>
      </w:pPr>
    </w:p>
    <w:tbl>
      <w:tblPr>
        <w:tblStyle w:val="5"/>
        <w:tblW w:w="9748" w:type="dxa"/>
        <w:jc w:val="center"/>
        <w:tblLayout w:type="autofit"/>
        <w:tblCellMar>
          <w:top w:w="0" w:type="dxa"/>
          <w:left w:w="0" w:type="dxa"/>
          <w:bottom w:w="0" w:type="dxa"/>
          <w:right w:w="0" w:type="dxa"/>
        </w:tblCellMar>
      </w:tblPr>
      <w:tblGrid>
        <w:gridCol w:w="767"/>
        <w:gridCol w:w="943"/>
        <w:gridCol w:w="3213"/>
        <w:gridCol w:w="694"/>
        <w:gridCol w:w="687"/>
        <w:gridCol w:w="687"/>
        <w:gridCol w:w="687"/>
        <w:gridCol w:w="687"/>
        <w:gridCol w:w="688"/>
        <w:gridCol w:w="695"/>
      </w:tblGrid>
      <w:tr>
        <w:tblPrEx>
          <w:tblCellMar>
            <w:top w:w="0" w:type="dxa"/>
            <w:left w:w="0" w:type="dxa"/>
            <w:bottom w:w="0" w:type="dxa"/>
            <w:right w:w="0" w:type="dxa"/>
          </w:tblCellMar>
        </w:tblPrEx>
        <w:trPr>
          <w:jc w:val="center"/>
        </w:trPr>
        <w:tc>
          <w:tcPr>
            <w:tcW w:w="4923"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9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36"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95"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94"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95" w:type="dxa"/>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149</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155</w:t>
            </w:r>
          </w:p>
        </w:tc>
      </w:tr>
      <w:tr>
        <w:tblPrEx>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7"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56"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2</w:t>
            </w:r>
            <w:r>
              <w:rPr>
                <w:rFonts w:hint="eastAsia" w:ascii="宋体" w:hAnsi="宋体" w:cs="宋体"/>
                <w:color w:val="000000"/>
                <w:kern w:val="0"/>
                <w:sz w:val="20"/>
                <w:szCs w:val="20"/>
                <w:highlight w:val="none"/>
                <w:lang w:val="en-US" w:eastAsia="zh-CN"/>
              </w:rPr>
              <w:t>5</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0</w:t>
            </w:r>
          </w:p>
        </w:tc>
        <w:tc>
          <w:tcPr>
            <w:tcW w:w="69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2</w:t>
            </w:r>
            <w:r>
              <w:rPr>
                <w:rFonts w:hint="eastAsia" w:ascii="宋体" w:hAnsi="宋体" w:cs="宋体"/>
                <w:color w:val="000000"/>
                <w:kern w:val="0"/>
                <w:sz w:val="20"/>
                <w:szCs w:val="20"/>
                <w:highlight w:val="none"/>
                <w:lang w:val="en-US" w:eastAsia="zh-CN"/>
              </w:rPr>
              <w:t>5</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56"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9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3</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2</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5</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97</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4</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101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5</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5</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4</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lang w:val="en-US" w:eastAsia="zh-CN" w:bidi="ar-SA"/>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4</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6</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6</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r>
      <w:tr>
        <w:tblPrEx>
          <w:tblCellMar>
            <w:top w:w="0" w:type="dxa"/>
            <w:left w:w="0" w:type="dxa"/>
            <w:bottom w:w="0" w:type="dxa"/>
            <w:right w:w="0" w:type="dxa"/>
          </w:tblCellMar>
        </w:tblPrEx>
        <w:trPr>
          <w:trHeight w:val="644"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9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Calibri" w:hAnsi="Calibri" w:cs="宋体"/>
                <w:color w:val="000000"/>
                <w:kern w:val="0"/>
                <w:sz w:val="20"/>
                <w:szCs w:val="20"/>
                <w:highlight w:val="none"/>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56"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146</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highlight w:val="none"/>
              </w:rPr>
            </w:pPr>
            <w:r>
              <w:rPr>
                <w:rFonts w:hint="eastAsia" w:ascii="Calibri" w:hAnsi="Calibri" w:cs="宋体"/>
                <w:color w:val="000000"/>
                <w:kern w:val="0"/>
                <w:sz w:val="20"/>
                <w:szCs w:val="20"/>
                <w:highlight w:val="none"/>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Calibri" w:hAnsi="Calibri" w:cs="宋体"/>
                <w:color w:val="000000"/>
                <w:kern w:val="0"/>
                <w:sz w:val="20"/>
                <w:szCs w:val="20"/>
                <w:highlight w:val="none"/>
                <w:lang w:val="en-US" w:eastAsia="zh-CN"/>
              </w:rPr>
              <w:t>152</w:t>
            </w:r>
          </w:p>
        </w:tc>
      </w:tr>
      <w:tr>
        <w:tblPrEx>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9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cs="宋体"/>
                <w:color w:val="000000"/>
                <w:kern w:val="0"/>
                <w:sz w:val="20"/>
                <w:szCs w:val="20"/>
                <w:lang w:val="en-US" w:eastAsia="zh-CN"/>
              </w:rPr>
              <w:t>3</w:t>
            </w:r>
          </w:p>
        </w:tc>
      </w:tr>
    </w:tbl>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r>
    </w:tbl>
    <w:p>
      <w:pPr>
        <w:widowControl/>
        <w:jc w:val="left"/>
        <w:rPr>
          <w:rFonts w:hint="eastAsia" w:ascii="宋体" w:hAnsi="宋体" w:eastAsia="宋体" w:cs="宋体"/>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军粮城</w:t>
      </w:r>
      <w:r>
        <w:rPr>
          <w:rFonts w:hint="eastAsia" w:ascii="仿宋_GB2312" w:hAnsi="仿宋_GB2312" w:eastAsia="仿宋_GB2312" w:cs="仿宋_GB2312"/>
          <w:sz w:val="32"/>
          <w:szCs w:val="32"/>
        </w:rPr>
        <w:t>街道依照法定职责，统筹开展政府信息公开工作，取得了一定的成果，但街道各部门依法公开、主动公开意识有待进一步加强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信息公开的时效性有待进一步提升。将从以下几个方面进行改进：</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提高业务</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水平。督促各职能部门充分认识政务公开工作的重要性，定期组织各部门政务公开工作联络员认真学习《中华人民共和国政府信息公开条例》和相关文件精神，经常性地学习交流新政策和法规，利用各类平台积极主动学习各省市依申请公开典型案例和有关法院判例，同</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法律顾问保持密切联系，不断沟通交流，加深对《条例》法律含义的理解，在学习中实践，在实践中学习</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力度。做好政府网站信息发布更新、常态化监测和日常运维管理工作，积极推进公共信息资源开放共享。加强宣传和普及力度，提高网站知晓率，增强广大群众积极参与和监督的意识，努力营造推进政务公开、加强软环境建设的良好社会氛围。</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规范处理答复流程。2023年我街行政复议案件共5件，均为信息公开类案件，复议机关维持行政机关原具体行政行为1件、撤销行政机关原具体行政行为4件；发生以街道为被告的行政诉讼案件25件，其中涉及信息公开类案件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件，目前无败诉案件。针对</w:t>
      </w:r>
      <w:r>
        <w:rPr>
          <w:rFonts w:hint="eastAsia" w:ascii="仿宋_GB2312" w:hAnsi="仿宋_GB2312" w:eastAsia="仿宋_GB2312" w:cs="仿宋_GB2312"/>
          <w:sz w:val="32"/>
          <w:szCs w:val="32"/>
        </w:rPr>
        <w:t>结果纠正的行政复议或诉讼案件，</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已按照决定要求重新给申请人作出告知书</w:t>
      </w:r>
      <w:r>
        <w:rPr>
          <w:rFonts w:hint="eastAsia" w:ascii="仿宋_GB2312" w:hAnsi="仿宋_GB2312" w:eastAsia="仿宋_GB2312" w:cs="仿宋_GB2312"/>
          <w:sz w:val="32"/>
          <w:szCs w:val="32"/>
          <w:lang w:eastAsia="zh-CN"/>
        </w:rPr>
        <w:t>，同时扩大法律顾问参与度，将法律顾问提供法律意见建议嵌入依法行政全流程，防范法律风险，妥善处理涉法事件，促进“法治政府”建设。</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lang w:eastAsia="zh-CN"/>
        </w:rPr>
      </w:pPr>
      <w:r>
        <w:rPr>
          <w:rFonts w:hint="eastAsia" w:ascii="仿宋_GB2312" w:hAnsi="宋体" w:eastAsia="仿宋_GB2312" w:cs="宋体"/>
          <w:kern w:val="0"/>
          <w:sz w:val="32"/>
          <w:szCs w:val="32"/>
          <w:lang w:val="en-US" w:eastAsia="zh-CN"/>
        </w:rPr>
        <w:t>全年</w:t>
      </w:r>
      <w:r>
        <w:rPr>
          <w:rFonts w:hint="eastAsia" w:ascii="仿宋_GB2312" w:hAnsi="宋体" w:eastAsia="仿宋_GB2312" w:cs="宋体"/>
          <w:kern w:val="0"/>
          <w:sz w:val="32"/>
          <w:szCs w:val="32"/>
        </w:rPr>
        <w:t>未因受理、办理政府信息公开申请而收取费用。</w:t>
      </w:r>
    </w:p>
    <w:p/>
    <w:sectPr>
      <w:headerReference r:id="rId3" w:type="default"/>
      <w:footerReference r:id="rId4" w:type="default"/>
      <w:footerReference r:id="rId5" w:type="even"/>
      <w:pgSz w:w="11906" w:h="16838"/>
      <w:pgMar w:top="1440" w:right="1797" w:bottom="155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1A0E8"/>
    <w:multiLevelType w:val="singleLevel"/>
    <w:tmpl w:val="3821A0E8"/>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UzNDZjZjViNzNlZDhiODhhMWFhODM3NjVjZDUifQ=="/>
  </w:docVars>
  <w:rsids>
    <w:rsidRoot w:val="46A457D0"/>
    <w:rsid w:val="04564CB8"/>
    <w:rsid w:val="0A1A250B"/>
    <w:rsid w:val="0C061FF2"/>
    <w:rsid w:val="14222EF8"/>
    <w:rsid w:val="14753538"/>
    <w:rsid w:val="1A2828EF"/>
    <w:rsid w:val="1AA10A3F"/>
    <w:rsid w:val="1C320304"/>
    <w:rsid w:val="1EB37DB8"/>
    <w:rsid w:val="1F3258D0"/>
    <w:rsid w:val="203647F1"/>
    <w:rsid w:val="27325121"/>
    <w:rsid w:val="2B7539F5"/>
    <w:rsid w:val="2BC9373C"/>
    <w:rsid w:val="2CBF0968"/>
    <w:rsid w:val="31452E8D"/>
    <w:rsid w:val="319770C5"/>
    <w:rsid w:val="34BE6246"/>
    <w:rsid w:val="3B0532F1"/>
    <w:rsid w:val="3FC944B9"/>
    <w:rsid w:val="40501889"/>
    <w:rsid w:val="46A457D0"/>
    <w:rsid w:val="485F3444"/>
    <w:rsid w:val="51976F41"/>
    <w:rsid w:val="56355533"/>
    <w:rsid w:val="5AA57C55"/>
    <w:rsid w:val="5B01561B"/>
    <w:rsid w:val="5D3E1B37"/>
    <w:rsid w:val="5EA237BE"/>
    <w:rsid w:val="60C438E6"/>
    <w:rsid w:val="6450357F"/>
    <w:rsid w:val="65B65634"/>
    <w:rsid w:val="67024CCC"/>
    <w:rsid w:val="69497257"/>
    <w:rsid w:val="6AB91FE0"/>
    <w:rsid w:val="6D34312C"/>
    <w:rsid w:val="6FDE68AE"/>
    <w:rsid w:val="76361FD5"/>
    <w:rsid w:val="792E5A6D"/>
    <w:rsid w:val="7B046E4C"/>
    <w:rsid w:val="7C8F0691"/>
    <w:rsid w:val="7F30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2462</Words>
  <Characters>2528</Characters>
  <Lines>0</Lines>
  <Paragraphs>0</Paragraphs>
  <TotalTime>110</TotalTime>
  <ScaleCrop>false</ScaleCrop>
  <LinksUpToDate>false</LinksUpToDate>
  <CharactersWithSpaces>2530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2023-01-09T01:08:00Z</dcterms:created>
  <dc:creator>我与路飞一家人</dc:creator>
  <cp:lastModifiedBy>暖阳</cp:lastModifiedBy>
  <cp:lastPrinted>2024-01-17T07:49:00Z</cp:lastPrinted>
  <dcterms:modified xsi:type="dcterms:W3CDTF">2024-01-19T08:08:15Z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52E3D3A239AE41A6BB27599BB2ADBC12_13</vt:lpwstr>
  </property>
</Properties>
</file>