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43" w:rsidRPr="000F1551" w:rsidRDefault="00357E4D">
      <w:pPr>
        <w:jc w:val="both"/>
        <w:rPr>
          <w:rFonts w:eastAsia="黑体"/>
          <w:w w:val="95"/>
          <w:sz w:val="32"/>
          <w:szCs w:val="32"/>
        </w:rPr>
      </w:pPr>
      <w:r w:rsidRPr="000F1551">
        <w:rPr>
          <w:rFonts w:eastAsia="黑体"/>
          <w:w w:val="95"/>
          <w:sz w:val="32"/>
          <w:szCs w:val="32"/>
        </w:rPr>
        <w:t>附件</w:t>
      </w:r>
      <w:r w:rsidRPr="000F1551">
        <w:rPr>
          <w:rFonts w:eastAsia="黑体"/>
          <w:w w:val="95"/>
          <w:sz w:val="32"/>
          <w:szCs w:val="32"/>
        </w:rPr>
        <w:t>1</w:t>
      </w:r>
    </w:p>
    <w:p w:rsidR="001C4043" w:rsidRPr="000F1551" w:rsidRDefault="001C4043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1C4043" w:rsidRPr="000F1551" w:rsidRDefault="00E546A5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0F1551">
        <w:rPr>
          <w:rFonts w:eastAsia="黑体" w:hint="eastAsia"/>
          <w:w w:val="95"/>
          <w:sz w:val="44"/>
          <w:szCs w:val="44"/>
        </w:rPr>
        <w:t>东丽区金融局</w:t>
      </w:r>
      <w:r w:rsidR="00357E4D" w:rsidRPr="000F1551">
        <w:rPr>
          <w:rFonts w:eastAsia="黑体"/>
          <w:w w:val="95"/>
          <w:sz w:val="44"/>
          <w:szCs w:val="44"/>
        </w:rPr>
        <w:t>201</w:t>
      </w:r>
      <w:r w:rsidR="00357E4D" w:rsidRPr="000F1551">
        <w:rPr>
          <w:rFonts w:eastAsia="黑体" w:hint="eastAsia"/>
          <w:w w:val="95"/>
          <w:sz w:val="44"/>
          <w:szCs w:val="44"/>
        </w:rPr>
        <w:t>9</w:t>
      </w:r>
      <w:r w:rsidR="00357E4D" w:rsidRPr="000F1551">
        <w:rPr>
          <w:rFonts w:eastAsia="黑体"/>
          <w:w w:val="95"/>
          <w:sz w:val="44"/>
          <w:szCs w:val="44"/>
        </w:rPr>
        <w:t>年部门预算编制说明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0F1551">
        <w:rPr>
          <w:rFonts w:eastAsia="黑体"/>
          <w:sz w:val="30"/>
          <w:szCs w:val="30"/>
        </w:rPr>
        <w:t>一、部门主要职责</w:t>
      </w:r>
    </w:p>
    <w:p w:rsidR="00E546A5" w:rsidRPr="000F1551" w:rsidRDefault="00E546A5" w:rsidP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（一）贯彻执行有关金融工作方针政策和法律、法规。拟订金融工作发展规划和政策措施，并组织实施。</w:t>
      </w:r>
    </w:p>
    <w:p w:rsidR="00E546A5" w:rsidRPr="000F1551" w:rsidRDefault="00E546A5" w:rsidP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（二）研究分析经济金融形势、金融政策和本区金融运行情况，提出优化金融生态发展环境的工作建议和服务举措。</w:t>
      </w:r>
    </w:p>
    <w:p w:rsidR="00E546A5" w:rsidRPr="000F1551" w:rsidRDefault="00E546A5" w:rsidP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（三）统筹推进本区企业利用各种间接、直接融资方式开展融资。指导监督各类金融中介机构和服务平台规范发展。</w:t>
      </w:r>
    </w:p>
    <w:p w:rsidR="00E546A5" w:rsidRPr="000F1551" w:rsidRDefault="00E546A5" w:rsidP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（四）负责组织协调防范、化解和处置小贷公司和融资性担保公司等金融机构的金融风险，会同有关部门打击非法金融活动，规范金融秩序，维护区域金融安全稳定。</w:t>
      </w:r>
    </w:p>
    <w:p w:rsidR="00E546A5" w:rsidRPr="000F1551" w:rsidRDefault="00E546A5" w:rsidP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（五）组织推进金融集聚区建设和发展，引导和服务各类金融机构进驻，推动区域间金融交流合作。</w:t>
      </w:r>
    </w:p>
    <w:p w:rsidR="00E546A5" w:rsidRPr="000F1551" w:rsidRDefault="00E546A5" w:rsidP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（六）推动本区金融服务体系建设，协调各类金融机构为区域经济社会发展服务。协助推动征信体系建设。</w:t>
      </w:r>
    </w:p>
    <w:p w:rsidR="00E546A5" w:rsidRPr="000F1551" w:rsidRDefault="00E546A5" w:rsidP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（七）承办区委、区政府交办的其他事项。</w:t>
      </w:r>
    </w:p>
    <w:p w:rsidR="001C4043" w:rsidRPr="000F1551" w:rsidRDefault="00357E4D" w:rsidP="00E546A5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0F1551">
        <w:rPr>
          <w:rFonts w:eastAsia="黑体"/>
          <w:sz w:val="30"/>
          <w:szCs w:val="30"/>
        </w:rPr>
        <w:t>二、部门机构设置情况</w:t>
      </w:r>
    </w:p>
    <w:p w:rsidR="001C4043" w:rsidRPr="000F1551" w:rsidRDefault="00E546A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金融局</w:t>
      </w:r>
      <w:r w:rsidR="00357E4D" w:rsidRPr="000F1551">
        <w:rPr>
          <w:rFonts w:eastAsia="仿宋_GB2312"/>
          <w:sz w:val="30"/>
          <w:szCs w:val="30"/>
        </w:rPr>
        <w:t>内设</w:t>
      </w:r>
      <w:r w:rsidR="00357E4D" w:rsidRPr="000F1551">
        <w:rPr>
          <w:rFonts w:eastAsia="仿宋_GB2312"/>
          <w:sz w:val="30"/>
          <w:szCs w:val="30"/>
        </w:rPr>
        <w:t xml:space="preserve">    </w:t>
      </w:r>
      <w:r w:rsidRPr="000F1551">
        <w:rPr>
          <w:rFonts w:eastAsia="仿宋_GB2312" w:hint="eastAsia"/>
          <w:sz w:val="30"/>
          <w:szCs w:val="30"/>
        </w:rPr>
        <w:t>4</w:t>
      </w:r>
      <w:r w:rsidR="00357E4D"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个职能</w:t>
      </w:r>
      <w:r w:rsidRPr="000F1551">
        <w:rPr>
          <w:rFonts w:eastAsia="仿宋_GB2312" w:hint="eastAsia"/>
          <w:sz w:val="30"/>
          <w:szCs w:val="30"/>
        </w:rPr>
        <w:t>科室</w:t>
      </w:r>
      <w:r w:rsidR="00357E4D" w:rsidRPr="000F1551">
        <w:rPr>
          <w:rFonts w:eastAsia="仿宋_GB2312"/>
          <w:sz w:val="30"/>
          <w:szCs w:val="30"/>
        </w:rPr>
        <w:t>；下辖</w:t>
      </w:r>
      <w:r w:rsidR="00357E4D" w:rsidRPr="000F1551">
        <w:rPr>
          <w:rFonts w:eastAsia="仿宋_GB2312"/>
          <w:sz w:val="30"/>
          <w:szCs w:val="30"/>
        </w:rPr>
        <w:t xml:space="preserve">   </w:t>
      </w:r>
      <w:r w:rsidRPr="000F1551">
        <w:rPr>
          <w:rFonts w:eastAsia="仿宋_GB2312" w:hint="eastAsia"/>
          <w:sz w:val="30"/>
          <w:szCs w:val="30"/>
        </w:rPr>
        <w:t>0</w:t>
      </w:r>
      <w:r w:rsidR="00357E4D" w:rsidRPr="000F1551">
        <w:rPr>
          <w:rFonts w:eastAsia="仿宋_GB2312"/>
          <w:sz w:val="30"/>
          <w:szCs w:val="30"/>
        </w:rPr>
        <w:t xml:space="preserve">  </w:t>
      </w:r>
      <w:r w:rsidR="00357E4D" w:rsidRPr="000F1551">
        <w:rPr>
          <w:rFonts w:eastAsia="仿宋_GB2312"/>
          <w:sz w:val="30"/>
          <w:szCs w:val="30"/>
        </w:rPr>
        <w:t>个预算单位</w:t>
      </w:r>
    </w:p>
    <w:p w:rsidR="001C4043" w:rsidRPr="000F1551" w:rsidRDefault="00357E4D">
      <w:pPr>
        <w:spacing w:line="580" w:lineRule="exact"/>
        <w:ind w:firstLineChars="300" w:firstLine="900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……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0F1551">
        <w:rPr>
          <w:rFonts w:eastAsia="黑体"/>
          <w:sz w:val="30"/>
          <w:szCs w:val="30"/>
        </w:rPr>
        <w:t>三、部门预算草案编制情况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lastRenderedPageBreak/>
        <w:t>（一）部门收入预算情况说明</w:t>
      </w:r>
    </w:p>
    <w:p w:rsidR="001C4043" w:rsidRPr="000F1551" w:rsidRDefault="00357E4D" w:rsidP="00F57690">
      <w:pPr>
        <w:spacing w:line="600" w:lineRule="exact"/>
        <w:ind w:firstLineChars="200" w:firstLine="600"/>
        <w:rPr>
          <w:rFonts w:eastAsia="仿宋_GB2312"/>
          <w:sz w:val="30"/>
          <w:szCs w:val="30"/>
          <w:highlight w:val="yellow"/>
        </w:rPr>
      </w:pPr>
      <w:r w:rsidRPr="000F1551">
        <w:rPr>
          <w:rFonts w:eastAsia="仿宋_GB2312"/>
          <w:sz w:val="30"/>
          <w:szCs w:val="30"/>
        </w:rPr>
        <w:t>部门收入预算</w:t>
      </w:r>
      <w:r w:rsidRPr="000F1551">
        <w:rPr>
          <w:rFonts w:eastAsia="仿宋_GB2312"/>
          <w:sz w:val="30"/>
          <w:szCs w:val="30"/>
        </w:rPr>
        <w:t xml:space="preserve">  </w:t>
      </w:r>
      <w:r w:rsidR="00E546A5" w:rsidRPr="000F1551">
        <w:rPr>
          <w:rFonts w:eastAsia="仿宋_GB2312" w:hint="eastAsia"/>
          <w:sz w:val="30"/>
          <w:szCs w:val="30"/>
        </w:rPr>
        <w:t>6524.9431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年预算相比减少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1904.057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万元。其中，本年收入合计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6524.9431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年预算相比减少</w:t>
      </w:r>
      <w:r w:rsidRPr="000F1551">
        <w:rPr>
          <w:rFonts w:eastAsia="仿宋_GB2312"/>
          <w:sz w:val="30"/>
          <w:szCs w:val="30"/>
        </w:rPr>
        <w:t xml:space="preserve">   </w:t>
      </w:r>
      <w:r w:rsidR="00F57690" w:rsidRPr="000F1551">
        <w:rPr>
          <w:rFonts w:eastAsia="仿宋_GB2312" w:hint="eastAsia"/>
          <w:sz w:val="30"/>
          <w:szCs w:val="30"/>
        </w:rPr>
        <w:t>1904.057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万元，包括财政拨款</w:t>
      </w:r>
      <w:r w:rsidRPr="000F1551">
        <w:rPr>
          <w:rFonts w:eastAsia="仿宋_GB2312"/>
          <w:sz w:val="30"/>
          <w:szCs w:val="30"/>
        </w:rPr>
        <w:t xml:space="preserve"> </w:t>
      </w:r>
      <w:r w:rsidR="00F57690" w:rsidRPr="000F1551">
        <w:rPr>
          <w:rFonts w:eastAsia="仿宋_GB2312" w:hint="eastAsia"/>
          <w:sz w:val="30"/>
          <w:szCs w:val="30"/>
        </w:rPr>
        <w:t>6524.9431</w:t>
      </w:r>
      <w:r w:rsidRPr="000F1551">
        <w:rPr>
          <w:rFonts w:eastAsia="仿宋_GB2312"/>
          <w:sz w:val="30"/>
          <w:szCs w:val="30"/>
        </w:rPr>
        <w:t xml:space="preserve">   </w:t>
      </w:r>
      <w:r w:rsidRPr="000F1551">
        <w:rPr>
          <w:rFonts w:eastAsia="仿宋_GB2312"/>
          <w:sz w:val="30"/>
          <w:szCs w:val="30"/>
        </w:rPr>
        <w:t>万元、事业收入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万元、上级补助收入</w:t>
      </w:r>
      <w:r w:rsidRPr="000F1551">
        <w:rPr>
          <w:rFonts w:eastAsia="仿宋_GB2312"/>
          <w:sz w:val="30"/>
          <w:szCs w:val="30"/>
        </w:rPr>
        <w:t xml:space="preserve">   </w:t>
      </w:r>
      <w:r w:rsidR="00F57690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>万元、附属单位上缴收入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万元、经营收入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万元、其他收入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万元；用事业基金弥补收支差额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万元；上年结转和结余</w:t>
      </w:r>
      <w:r w:rsidRPr="000F1551">
        <w:rPr>
          <w:rFonts w:eastAsia="仿宋_GB2312"/>
          <w:sz w:val="30"/>
          <w:szCs w:val="30"/>
        </w:rPr>
        <w:t xml:space="preserve">   </w:t>
      </w:r>
      <w:r w:rsidR="00F57690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>万元。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t>（二）部门支出预算情况说明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部门支出预算</w:t>
      </w:r>
      <w:r w:rsidRPr="000F1551">
        <w:rPr>
          <w:rFonts w:eastAsia="仿宋_GB2312"/>
          <w:sz w:val="30"/>
          <w:szCs w:val="30"/>
        </w:rPr>
        <w:t xml:space="preserve"> </w:t>
      </w:r>
      <w:r w:rsidR="00E546A5" w:rsidRPr="000F1551">
        <w:rPr>
          <w:rFonts w:eastAsia="仿宋_GB2312" w:hint="eastAsia"/>
          <w:sz w:val="30"/>
          <w:szCs w:val="30"/>
        </w:rPr>
        <w:t>6524.9431</w:t>
      </w:r>
      <w:r w:rsidRPr="000F1551">
        <w:rPr>
          <w:rFonts w:eastAsia="仿宋_GB2312"/>
          <w:sz w:val="30"/>
          <w:szCs w:val="30"/>
        </w:rPr>
        <w:t xml:space="preserve">   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年预算相比增加（减少）</w:t>
      </w:r>
      <w:r w:rsidRPr="000F1551">
        <w:rPr>
          <w:rFonts w:eastAsia="仿宋_GB2312"/>
          <w:sz w:val="30"/>
          <w:szCs w:val="30"/>
        </w:rPr>
        <w:t xml:space="preserve">  </w:t>
      </w:r>
      <w:r w:rsidR="00F57690" w:rsidRPr="000F1551">
        <w:rPr>
          <w:rFonts w:eastAsia="仿宋_GB2312" w:hint="eastAsia"/>
          <w:sz w:val="30"/>
          <w:szCs w:val="30"/>
        </w:rPr>
        <w:t>1904.057</w:t>
      </w:r>
      <w:r w:rsidR="00F57690"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万元，其中：</w:t>
      </w:r>
    </w:p>
    <w:p w:rsidR="001C4043" w:rsidRPr="000F1551" w:rsidRDefault="00F576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一般公共服务支出</w:t>
      </w:r>
      <w:r w:rsidR="00357E4D" w:rsidRPr="000F1551">
        <w:rPr>
          <w:rFonts w:eastAsia="仿宋_GB2312"/>
          <w:sz w:val="30"/>
          <w:szCs w:val="30"/>
        </w:rPr>
        <w:t>支出</w:t>
      </w:r>
      <w:r w:rsidR="00357E4D"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 w:hint="eastAsia"/>
          <w:sz w:val="30"/>
          <w:szCs w:val="30"/>
        </w:rPr>
        <w:t>473.4223</w:t>
      </w:r>
      <w:r w:rsidR="00357E4D" w:rsidRPr="000F1551">
        <w:rPr>
          <w:rFonts w:eastAsia="仿宋_GB2312"/>
          <w:sz w:val="30"/>
          <w:szCs w:val="30"/>
        </w:rPr>
        <w:t xml:space="preserve">   </w:t>
      </w:r>
      <w:r w:rsidR="00357E4D" w:rsidRPr="000F1551">
        <w:rPr>
          <w:rFonts w:eastAsia="仿宋_GB2312"/>
          <w:sz w:val="30"/>
          <w:szCs w:val="30"/>
        </w:rPr>
        <w:t>万元，主要用于</w:t>
      </w:r>
      <w:r w:rsidRPr="000F1551">
        <w:rPr>
          <w:rFonts w:eastAsia="仿宋_GB2312" w:hint="eastAsia"/>
          <w:sz w:val="30"/>
          <w:szCs w:val="30"/>
        </w:rPr>
        <w:t>本单位基本支出和项目支出</w:t>
      </w:r>
      <w:r w:rsidR="00357E4D" w:rsidRPr="000F1551">
        <w:rPr>
          <w:rFonts w:eastAsia="仿宋_GB2312"/>
          <w:sz w:val="30"/>
          <w:szCs w:val="30"/>
        </w:rPr>
        <w:t>；</w:t>
      </w:r>
    </w:p>
    <w:p w:rsidR="001C4043" w:rsidRPr="000F1551" w:rsidRDefault="00CD1A4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社会保障和就业</w:t>
      </w:r>
      <w:r w:rsidR="00357E4D" w:rsidRPr="000F1551">
        <w:rPr>
          <w:rFonts w:eastAsia="仿宋_GB2312"/>
          <w:sz w:val="30"/>
          <w:szCs w:val="30"/>
        </w:rPr>
        <w:t>支出</w:t>
      </w:r>
      <w:r w:rsidR="00357E4D"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 w:hint="eastAsia"/>
          <w:sz w:val="30"/>
          <w:szCs w:val="30"/>
        </w:rPr>
        <w:t>37.962</w:t>
      </w:r>
      <w:r w:rsidR="00357E4D" w:rsidRPr="000F1551">
        <w:rPr>
          <w:rFonts w:eastAsia="仿宋_GB2312"/>
          <w:sz w:val="30"/>
          <w:szCs w:val="30"/>
        </w:rPr>
        <w:t xml:space="preserve">  </w:t>
      </w:r>
      <w:r w:rsidR="00357E4D" w:rsidRPr="000F1551">
        <w:rPr>
          <w:rFonts w:eastAsia="仿宋_GB2312"/>
          <w:sz w:val="30"/>
          <w:szCs w:val="30"/>
        </w:rPr>
        <w:t>万元，主要用于</w:t>
      </w:r>
      <w:r w:rsidRPr="000F1551">
        <w:rPr>
          <w:rFonts w:eastAsia="仿宋_GB2312" w:hint="eastAsia"/>
          <w:sz w:val="30"/>
          <w:szCs w:val="30"/>
        </w:rPr>
        <w:t>缴纳养老保险和职业年金</w:t>
      </w:r>
    </w:p>
    <w:p w:rsidR="00CD1A40" w:rsidRPr="000F1551" w:rsidRDefault="00CD1A4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卫生健康支出</w:t>
      </w:r>
      <w:r w:rsidRPr="000F1551">
        <w:rPr>
          <w:rFonts w:eastAsia="仿宋_GB2312" w:hint="eastAsia"/>
          <w:sz w:val="30"/>
          <w:szCs w:val="30"/>
        </w:rPr>
        <w:t>13.5588</w:t>
      </w:r>
      <w:r w:rsidRPr="000F1551">
        <w:rPr>
          <w:rFonts w:eastAsia="仿宋_GB2312" w:hint="eastAsia"/>
          <w:sz w:val="30"/>
          <w:szCs w:val="30"/>
        </w:rPr>
        <w:t>万元，主要用于缴纳医疗保险；</w:t>
      </w:r>
    </w:p>
    <w:p w:rsidR="00CD1A40" w:rsidRPr="000F1551" w:rsidRDefault="00CD1A4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 w:hint="eastAsia"/>
          <w:sz w:val="30"/>
          <w:szCs w:val="30"/>
        </w:rPr>
        <w:t>金融支出</w:t>
      </w:r>
      <w:r w:rsidRPr="000F1551">
        <w:rPr>
          <w:rFonts w:eastAsia="仿宋_GB2312" w:hint="eastAsia"/>
          <w:sz w:val="30"/>
          <w:szCs w:val="30"/>
        </w:rPr>
        <w:t>6000</w:t>
      </w:r>
      <w:r w:rsidRPr="000F1551">
        <w:rPr>
          <w:rFonts w:eastAsia="仿宋_GB2312" w:hint="eastAsia"/>
          <w:sz w:val="30"/>
          <w:szCs w:val="30"/>
        </w:rPr>
        <w:t>万元，主要用于支持金融高端产业发展资金。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0F1551">
        <w:rPr>
          <w:rFonts w:eastAsia="黑体" w:hint="eastAsia"/>
          <w:sz w:val="30"/>
          <w:szCs w:val="30"/>
        </w:rPr>
        <w:t>四</w:t>
      </w:r>
      <w:r w:rsidRPr="000F1551">
        <w:rPr>
          <w:rFonts w:eastAsia="黑体"/>
          <w:sz w:val="30"/>
          <w:szCs w:val="30"/>
        </w:rPr>
        <w:t>、其他重要事项的情况说明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t>（一）机关运行经费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本部门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9</w:t>
      </w:r>
      <w:r w:rsidRPr="000F1551">
        <w:rPr>
          <w:rFonts w:eastAsia="仿宋_GB2312"/>
          <w:sz w:val="30"/>
          <w:szCs w:val="30"/>
        </w:rPr>
        <w:t>年安排机关运行经费预算</w:t>
      </w:r>
      <w:r w:rsidRPr="000F1551">
        <w:rPr>
          <w:rFonts w:eastAsia="仿宋_GB2312"/>
          <w:sz w:val="30"/>
          <w:szCs w:val="30"/>
        </w:rPr>
        <w:t xml:space="preserve">  </w:t>
      </w:r>
      <w:r w:rsidR="00217FE6" w:rsidRPr="000F1551">
        <w:rPr>
          <w:rFonts w:eastAsia="仿宋_GB2312" w:hint="eastAsia"/>
          <w:sz w:val="30"/>
          <w:szCs w:val="30"/>
        </w:rPr>
        <w:t>44.323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</w:t>
      </w:r>
      <w:r w:rsidRPr="000F1551">
        <w:rPr>
          <w:rFonts w:eastAsia="仿宋_GB2312" w:hint="eastAsia"/>
          <w:sz w:val="30"/>
          <w:szCs w:val="30"/>
        </w:rPr>
        <w:t>，</w:t>
      </w:r>
      <w:r w:rsidRPr="000F1551">
        <w:rPr>
          <w:rFonts w:eastAsia="仿宋_GB2312"/>
          <w:sz w:val="30"/>
          <w:szCs w:val="30"/>
        </w:rPr>
        <w:t>包括办公费</w:t>
      </w:r>
      <w:r w:rsidRPr="000F1551">
        <w:rPr>
          <w:rFonts w:eastAsia="仿宋_GB2312"/>
          <w:sz w:val="30"/>
          <w:szCs w:val="30"/>
        </w:rPr>
        <w:t xml:space="preserve">  </w:t>
      </w:r>
      <w:r w:rsidR="00217FE6" w:rsidRPr="000F1551">
        <w:rPr>
          <w:rFonts w:eastAsia="仿宋_GB2312" w:hint="eastAsia"/>
          <w:sz w:val="30"/>
          <w:szCs w:val="30"/>
        </w:rPr>
        <w:t>16.8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万元、</w:t>
      </w:r>
      <w:r w:rsidR="00217FE6" w:rsidRPr="000F1551">
        <w:rPr>
          <w:rFonts w:eastAsia="仿宋_GB2312" w:hint="eastAsia"/>
          <w:sz w:val="30"/>
          <w:szCs w:val="30"/>
        </w:rPr>
        <w:t>差旅费</w:t>
      </w:r>
      <w:r w:rsidRPr="000F1551">
        <w:rPr>
          <w:rFonts w:eastAsia="仿宋_GB2312"/>
          <w:sz w:val="30"/>
          <w:szCs w:val="30"/>
        </w:rPr>
        <w:t xml:space="preserve">   </w:t>
      </w:r>
      <w:r w:rsidR="00217FE6" w:rsidRPr="000F1551">
        <w:rPr>
          <w:rFonts w:eastAsia="仿宋_GB2312" w:hint="eastAsia"/>
          <w:sz w:val="30"/>
          <w:szCs w:val="30"/>
        </w:rPr>
        <w:t>1</w:t>
      </w:r>
      <w:r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>万元</w:t>
      </w:r>
      <w:r w:rsidR="00217FE6" w:rsidRPr="000F1551">
        <w:rPr>
          <w:rFonts w:eastAsia="仿宋_GB2312" w:hint="eastAsia"/>
          <w:sz w:val="30"/>
          <w:szCs w:val="30"/>
        </w:rPr>
        <w:t>、培训费</w:t>
      </w:r>
      <w:r w:rsidR="00217FE6" w:rsidRPr="000F1551">
        <w:rPr>
          <w:rFonts w:eastAsia="仿宋_GB2312" w:hint="eastAsia"/>
          <w:sz w:val="30"/>
          <w:szCs w:val="30"/>
        </w:rPr>
        <w:t>1.8779</w:t>
      </w:r>
      <w:r w:rsidR="00217FE6" w:rsidRPr="000F1551">
        <w:rPr>
          <w:rFonts w:eastAsia="仿宋_GB2312" w:hint="eastAsia"/>
          <w:sz w:val="30"/>
          <w:szCs w:val="30"/>
        </w:rPr>
        <w:t>万元、工会经费</w:t>
      </w:r>
      <w:r w:rsidR="00217FE6" w:rsidRPr="000F1551">
        <w:rPr>
          <w:rFonts w:eastAsia="仿宋_GB2312" w:hint="eastAsia"/>
          <w:sz w:val="30"/>
          <w:szCs w:val="30"/>
        </w:rPr>
        <w:t>3.3731</w:t>
      </w:r>
      <w:r w:rsidR="00217FE6" w:rsidRPr="000F1551">
        <w:rPr>
          <w:rFonts w:eastAsia="仿宋_GB2312" w:hint="eastAsia"/>
          <w:sz w:val="30"/>
          <w:szCs w:val="30"/>
        </w:rPr>
        <w:t>万元、福利费</w:t>
      </w:r>
      <w:r w:rsidR="00217FE6" w:rsidRPr="000F1551">
        <w:rPr>
          <w:rFonts w:eastAsia="仿宋_GB2312" w:hint="eastAsia"/>
          <w:sz w:val="30"/>
          <w:szCs w:val="30"/>
        </w:rPr>
        <w:t>1.6</w:t>
      </w:r>
      <w:r w:rsidR="00217FE6" w:rsidRPr="000F1551">
        <w:rPr>
          <w:rFonts w:eastAsia="仿宋_GB2312" w:hint="eastAsia"/>
          <w:sz w:val="30"/>
          <w:szCs w:val="30"/>
        </w:rPr>
        <w:t>万元、公务接待费</w:t>
      </w:r>
      <w:r w:rsidR="00217FE6" w:rsidRPr="000F1551">
        <w:rPr>
          <w:rFonts w:eastAsia="仿宋_GB2312" w:hint="eastAsia"/>
          <w:sz w:val="30"/>
          <w:szCs w:val="30"/>
        </w:rPr>
        <w:t>0.42</w:t>
      </w:r>
      <w:r w:rsidR="00217FE6" w:rsidRPr="000F1551">
        <w:rPr>
          <w:rFonts w:eastAsia="仿宋_GB2312" w:hint="eastAsia"/>
          <w:sz w:val="30"/>
          <w:szCs w:val="30"/>
        </w:rPr>
        <w:t>万元、其他交通费用</w:t>
      </w:r>
      <w:r w:rsidR="00217FE6" w:rsidRPr="000F1551">
        <w:rPr>
          <w:rFonts w:eastAsia="仿宋_GB2312" w:hint="eastAsia"/>
          <w:sz w:val="30"/>
          <w:szCs w:val="30"/>
        </w:rPr>
        <w:t>12.252</w:t>
      </w:r>
      <w:r w:rsidR="00217FE6" w:rsidRPr="000F1551">
        <w:rPr>
          <w:rFonts w:eastAsia="仿宋_GB2312" w:hint="eastAsia"/>
          <w:sz w:val="30"/>
          <w:szCs w:val="30"/>
        </w:rPr>
        <w:t>万元、其他商品和服务支出</w:t>
      </w:r>
      <w:r w:rsidR="00217FE6" w:rsidRPr="000F1551">
        <w:rPr>
          <w:rFonts w:eastAsia="仿宋_GB2312" w:hint="eastAsia"/>
          <w:sz w:val="30"/>
          <w:szCs w:val="30"/>
        </w:rPr>
        <w:t>7</w:t>
      </w:r>
      <w:r w:rsidR="00217FE6" w:rsidRPr="000F1551">
        <w:rPr>
          <w:rFonts w:eastAsia="仿宋_GB2312" w:hint="eastAsia"/>
          <w:sz w:val="30"/>
          <w:szCs w:val="30"/>
        </w:rPr>
        <w:t>万元。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lastRenderedPageBreak/>
        <w:t>（二）政府采购情况</w:t>
      </w:r>
    </w:p>
    <w:p w:rsidR="001C4043" w:rsidRPr="000F1551" w:rsidRDefault="00357E4D">
      <w:pPr>
        <w:spacing w:line="580" w:lineRule="exact"/>
        <w:ind w:firstLineChars="200" w:firstLine="600"/>
        <w:rPr>
          <w:rFonts w:eastAsia="楷体_GB2312"/>
          <w:sz w:val="30"/>
          <w:szCs w:val="30"/>
          <w:highlight w:val="yellow"/>
        </w:rPr>
      </w:pPr>
      <w:r w:rsidRPr="000F1551">
        <w:rPr>
          <w:rFonts w:eastAsia="楷体_GB2312"/>
          <w:sz w:val="30"/>
          <w:szCs w:val="30"/>
        </w:rPr>
        <w:t>本部门</w:t>
      </w:r>
      <w:r w:rsidRPr="000F1551">
        <w:rPr>
          <w:rFonts w:eastAsia="楷体_GB2312"/>
          <w:sz w:val="30"/>
          <w:szCs w:val="30"/>
        </w:rPr>
        <w:t>201</w:t>
      </w:r>
      <w:r w:rsidRPr="000F1551">
        <w:rPr>
          <w:rFonts w:eastAsia="楷体_GB2312" w:hint="eastAsia"/>
          <w:sz w:val="30"/>
          <w:szCs w:val="30"/>
        </w:rPr>
        <w:t>9</w:t>
      </w:r>
      <w:r w:rsidRPr="000F1551">
        <w:rPr>
          <w:rFonts w:eastAsia="楷体_GB2312"/>
          <w:sz w:val="30"/>
          <w:szCs w:val="30"/>
        </w:rPr>
        <w:t>年</w:t>
      </w:r>
      <w:r w:rsidRPr="000F1551">
        <w:rPr>
          <w:rFonts w:eastAsia="楷体_GB2312" w:hint="eastAsia"/>
          <w:sz w:val="30"/>
          <w:szCs w:val="30"/>
        </w:rPr>
        <w:t>未安排</w:t>
      </w:r>
      <w:r w:rsidRPr="000F1551">
        <w:rPr>
          <w:rFonts w:eastAsia="楷体_GB2312"/>
          <w:sz w:val="30"/>
          <w:szCs w:val="30"/>
        </w:rPr>
        <w:t>政府采购</w:t>
      </w:r>
      <w:r w:rsidRPr="000F1551">
        <w:rPr>
          <w:rFonts w:eastAsia="楷体_GB2312" w:hint="eastAsia"/>
          <w:sz w:val="30"/>
          <w:szCs w:val="30"/>
        </w:rPr>
        <w:t>预算</w:t>
      </w:r>
      <w:r w:rsidR="0091641C" w:rsidRPr="000F1551">
        <w:rPr>
          <w:rFonts w:eastAsia="楷体_GB2312" w:hint="eastAsia"/>
          <w:sz w:val="30"/>
          <w:szCs w:val="30"/>
        </w:rPr>
        <w:t>。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t>（</w:t>
      </w:r>
      <w:r w:rsidRPr="000F1551">
        <w:rPr>
          <w:rFonts w:eastAsia="楷体_GB2312" w:hint="eastAsia"/>
          <w:b/>
          <w:sz w:val="30"/>
          <w:szCs w:val="30"/>
        </w:rPr>
        <w:t>三</w:t>
      </w:r>
      <w:r w:rsidRPr="000F1551">
        <w:rPr>
          <w:rFonts w:eastAsia="楷体_GB2312"/>
          <w:b/>
          <w:sz w:val="30"/>
          <w:szCs w:val="30"/>
        </w:rPr>
        <w:t>）</w:t>
      </w:r>
      <w:r w:rsidRPr="000F1551">
        <w:rPr>
          <w:rFonts w:eastAsia="楷体_GB2312" w:hint="eastAsia"/>
          <w:b/>
          <w:sz w:val="30"/>
          <w:szCs w:val="30"/>
        </w:rPr>
        <w:t>国有资产占用情况</w:t>
      </w:r>
    </w:p>
    <w:p w:rsidR="001C4043" w:rsidRPr="000F1551" w:rsidRDefault="00357E4D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 w:rsidRPr="000F1551">
        <w:rPr>
          <w:rFonts w:eastAsia="仿宋_GB2312"/>
          <w:color w:val="000000"/>
          <w:sz w:val="30"/>
          <w:szCs w:val="30"/>
        </w:rPr>
        <w:t>截至</w:t>
      </w:r>
      <w:r w:rsidRPr="000F1551">
        <w:rPr>
          <w:rFonts w:eastAsia="仿宋_GB2312"/>
          <w:color w:val="000000"/>
          <w:sz w:val="30"/>
          <w:szCs w:val="30"/>
        </w:rPr>
        <w:t>201</w:t>
      </w:r>
      <w:r w:rsidRPr="000F1551">
        <w:rPr>
          <w:rFonts w:eastAsia="仿宋_GB2312" w:hint="eastAsia"/>
          <w:color w:val="000000"/>
          <w:sz w:val="30"/>
          <w:szCs w:val="30"/>
        </w:rPr>
        <w:t>8</w:t>
      </w:r>
      <w:r w:rsidRPr="000F1551">
        <w:rPr>
          <w:rFonts w:eastAsia="仿宋_GB2312"/>
          <w:color w:val="000000"/>
          <w:sz w:val="30"/>
          <w:szCs w:val="30"/>
        </w:rPr>
        <w:t>年</w:t>
      </w:r>
      <w:r w:rsidRPr="000F1551">
        <w:rPr>
          <w:rFonts w:eastAsia="仿宋_GB2312" w:hint="eastAsia"/>
          <w:color w:val="000000"/>
          <w:sz w:val="30"/>
          <w:szCs w:val="30"/>
        </w:rPr>
        <w:t>6</w:t>
      </w:r>
      <w:r w:rsidRPr="000F1551">
        <w:rPr>
          <w:rFonts w:eastAsia="仿宋_GB2312"/>
          <w:color w:val="000000"/>
          <w:sz w:val="30"/>
          <w:szCs w:val="30"/>
        </w:rPr>
        <w:t>月</w:t>
      </w:r>
      <w:r w:rsidRPr="000F1551">
        <w:rPr>
          <w:rFonts w:eastAsia="仿宋_GB2312" w:hint="eastAsia"/>
          <w:color w:val="000000"/>
          <w:sz w:val="30"/>
          <w:szCs w:val="30"/>
        </w:rPr>
        <w:t>30</w:t>
      </w:r>
      <w:r w:rsidRPr="000F1551">
        <w:rPr>
          <w:rFonts w:eastAsia="仿宋_GB2312"/>
          <w:color w:val="000000"/>
          <w:sz w:val="30"/>
          <w:szCs w:val="30"/>
        </w:rPr>
        <w:t>日，</w:t>
      </w:r>
      <w:r w:rsidRPr="000F1551">
        <w:rPr>
          <w:rFonts w:eastAsia="仿宋_GB2312" w:hint="eastAsia"/>
          <w:sz w:val="30"/>
          <w:szCs w:val="30"/>
        </w:rPr>
        <w:t>本</w:t>
      </w:r>
      <w:r w:rsidRPr="000F1551">
        <w:rPr>
          <w:rFonts w:eastAsia="仿宋_GB2312"/>
          <w:sz w:val="30"/>
          <w:szCs w:val="30"/>
        </w:rPr>
        <w:t>部门</w:t>
      </w:r>
      <w:r w:rsidRPr="000F1551">
        <w:rPr>
          <w:rFonts w:eastAsia="仿宋_GB2312"/>
          <w:color w:val="000000"/>
          <w:sz w:val="30"/>
          <w:szCs w:val="30"/>
        </w:rPr>
        <w:t>各单位共有车辆</w:t>
      </w:r>
      <w:r w:rsid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 xml:space="preserve">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color w:val="000000"/>
          <w:sz w:val="30"/>
          <w:szCs w:val="30"/>
        </w:rPr>
        <w:t>辆，其中：一般公务用车</w:t>
      </w:r>
      <w:r w:rsidRPr="000F1551">
        <w:rPr>
          <w:rFonts w:eastAsia="仿宋_GB2312"/>
          <w:sz w:val="30"/>
          <w:szCs w:val="30"/>
        </w:rPr>
        <w:t xml:space="preserve"> 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color w:val="000000"/>
          <w:sz w:val="30"/>
          <w:szCs w:val="30"/>
        </w:rPr>
        <w:t>辆、一般执法执勤用车</w:t>
      </w:r>
      <w:r w:rsidRPr="000F1551">
        <w:rPr>
          <w:rFonts w:eastAsia="仿宋_GB2312"/>
          <w:sz w:val="30"/>
          <w:szCs w:val="30"/>
        </w:rPr>
        <w:t xml:space="preserve">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color w:val="000000"/>
          <w:sz w:val="30"/>
          <w:szCs w:val="30"/>
        </w:rPr>
        <w:t>辆、特种专业技术用车</w:t>
      </w:r>
      <w:r w:rsidRPr="000F1551">
        <w:rPr>
          <w:rFonts w:eastAsia="仿宋_GB2312"/>
          <w:sz w:val="30"/>
          <w:szCs w:val="30"/>
        </w:rPr>
        <w:t xml:space="preserve">  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>辆、</w:t>
      </w:r>
      <w:r w:rsidRPr="000F1551">
        <w:rPr>
          <w:rFonts w:eastAsia="仿宋_GB2312"/>
          <w:color w:val="000000"/>
          <w:sz w:val="30"/>
          <w:szCs w:val="30"/>
        </w:rPr>
        <w:t>其他用车</w:t>
      </w:r>
      <w:r w:rsidR="000F1551">
        <w:rPr>
          <w:rFonts w:eastAsia="仿宋_GB2312"/>
          <w:sz w:val="30"/>
          <w:szCs w:val="30"/>
        </w:rPr>
        <w:t xml:space="preserve"> 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color w:val="000000"/>
          <w:sz w:val="30"/>
          <w:szCs w:val="30"/>
        </w:rPr>
        <w:t>辆，</w:t>
      </w:r>
      <w:r w:rsidRPr="000F1551">
        <w:rPr>
          <w:rFonts w:eastAsia="仿宋_GB2312"/>
          <w:sz w:val="30"/>
          <w:szCs w:val="30"/>
        </w:rPr>
        <w:t>其他用车主要包括</w:t>
      </w:r>
      <w:r w:rsidR="000F1551">
        <w:rPr>
          <w:rFonts w:eastAsia="仿宋_GB2312"/>
          <w:sz w:val="30"/>
          <w:szCs w:val="30"/>
        </w:rPr>
        <w:t xml:space="preserve"> 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  </w:t>
      </w:r>
      <w:r w:rsidRPr="000F1551">
        <w:rPr>
          <w:rFonts w:eastAsia="仿宋_GB2312"/>
          <w:color w:val="000000"/>
          <w:sz w:val="30"/>
          <w:szCs w:val="30"/>
        </w:rPr>
        <w:t>。单价</w:t>
      </w:r>
      <w:r w:rsidRPr="000F1551">
        <w:rPr>
          <w:rFonts w:eastAsia="仿宋_GB2312"/>
          <w:color w:val="000000"/>
          <w:sz w:val="30"/>
          <w:szCs w:val="30"/>
        </w:rPr>
        <w:t>50</w:t>
      </w:r>
      <w:r w:rsidRPr="000F1551">
        <w:rPr>
          <w:rFonts w:eastAsia="仿宋_GB2312"/>
          <w:color w:val="000000"/>
          <w:sz w:val="30"/>
          <w:szCs w:val="30"/>
        </w:rPr>
        <w:t>万元以上的通用设备</w:t>
      </w:r>
      <w:r w:rsidRPr="000F1551">
        <w:rPr>
          <w:rFonts w:eastAsia="仿宋_GB2312"/>
          <w:sz w:val="30"/>
          <w:szCs w:val="30"/>
        </w:rPr>
        <w:t xml:space="preserve">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color w:val="000000"/>
          <w:sz w:val="30"/>
          <w:szCs w:val="30"/>
        </w:rPr>
        <w:t>台（套），单价</w:t>
      </w:r>
      <w:r w:rsidRPr="000F1551">
        <w:rPr>
          <w:rFonts w:eastAsia="仿宋_GB2312"/>
          <w:color w:val="000000"/>
          <w:sz w:val="30"/>
          <w:szCs w:val="30"/>
        </w:rPr>
        <w:t>100</w:t>
      </w:r>
      <w:r w:rsidRPr="000F1551">
        <w:rPr>
          <w:rFonts w:eastAsia="仿宋_GB2312"/>
          <w:color w:val="000000"/>
          <w:sz w:val="30"/>
          <w:szCs w:val="30"/>
        </w:rPr>
        <w:t>万元以上的专用设备</w:t>
      </w:r>
      <w:r w:rsidRPr="000F1551">
        <w:rPr>
          <w:rFonts w:eastAsia="仿宋_GB2312"/>
          <w:sz w:val="30"/>
          <w:szCs w:val="30"/>
        </w:rPr>
        <w:t xml:space="preserve"> 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color w:val="000000"/>
          <w:sz w:val="30"/>
          <w:szCs w:val="30"/>
        </w:rPr>
        <w:t>台（套）。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t>（</w:t>
      </w:r>
      <w:r w:rsidRPr="000F1551">
        <w:rPr>
          <w:rFonts w:eastAsia="楷体_GB2312" w:hint="eastAsia"/>
          <w:b/>
          <w:sz w:val="30"/>
          <w:szCs w:val="30"/>
        </w:rPr>
        <w:t>四</w:t>
      </w:r>
      <w:r w:rsidRPr="000F1551">
        <w:rPr>
          <w:rFonts w:eastAsia="楷体_GB2312"/>
          <w:b/>
          <w:sz w:val="30"/>
          <w:szCs w:val="30"/>
        </w:rPr>
        <w:t>）</w:t>
      </w:r>
      <w:r w:rsidRPr="000F1551">
        <w:rPr>
          <w:rFonts w:eastAsia="楷体_GB2312" w:hint="eastAsia"/>
          <w:b/>
          <w:sz w:val="30"/>
          <w:szCs w:val="30"/>
        </w:rPr>
        <w:t>绩效目标设置情况</w:t>
      </w:r>
    </w:p>
    <w:p w:rsidR="001C4043" w:rsidRPr="000F1551" w:rsidRDefault="00357E4D" w:rsidP="0091641C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 w:rsidRPr="000F1551">
        <w:rPr>
          <w:rFonts w:eastAsia="仿宋_GB2312"/>
          <w:color w:val="000000"/>
          <w:sz w:val="30"/>
          <w:szCs w:val="30"/>
        </w:rPr>
        <w:t>2019</w:t>
      </w:r>
      <w:r w:rsidRPr="000F1551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Pr="000F1551">
        <w:rPr>
          <w:rFonts w:eastAsia="仿宋_GB2312"/>
          <w:sz w:val="30"/>
          <w:szCs w:val="30"/>
        </w:rPr>
        <w:t xml:space="preserve"> 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color w:val="000000"/>
          <w:sz w:val="30"/>
          <w:szCs w:val="30"/>
        </w:rPr>
        <w:t>个，涉及预算金额</w:t>
      </w:r>
      <w:r w:rsidRPr="000F1551">
        <w:rPr>
          <w:rFonts w:eastAsia="仿宋_GB2312"/>
          <w:sz w:val="30"/>
          <w:szCs w:val="30"/>
        </w:rPr>
        <w:t xml:space="preserve">  </w:t>
      </w:r>
      <w:r w:rsidR="0091641C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color w:val="000000"/>
          <w:sz w:val="30"/>
          <w:szCs w:val="30"/>
        </w:rPr>
        <w:t>万元</w:t>
      </w:r>
      <w:r w:rsidRPr="000F1551">
        <w:rPr>
          <w:rFonts w:eastAsia="仿宋_GB2312" w:hint="eastAsia"/>
          <w:color w:val="000000"/>
          <w:sz w:val="30"/>
          <w:szCs w:val="30"/>
        </w:rPr>
        <w:t>。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t>（</w:t>
      </w:r>
      <w:r w:rsidRPr="000F1551">
        <w:rPr>
          <w:rFonts w:eastAsia="楷体_GB2312" w:hint="eastAsia"/>
          <w:b/>
          <w:sz w:val="30"/>
          <w:szCs w:val="30"/>
        </w:rPr>
        <w:t>五</w:t>
      </w:r>
      <w:r w:rsidRPr="000F1551">
        <w:rPr>
          <w:rFonts w:eastAsia="楷体_GB2312"/>
          <w:b/>
          <w:sz w:val="30"/>
          <w:szCs w:val="30"/>
        </w:rPr>
        <w:t>）专业性名词解释</w:t>
      </w:r>
    </w:p>
    <w:p w:rsidR="001C4043" w:rsidRPr="000F1551" w:rsidRDefault="00357E4D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1.</w:t>
      </w:r>
      <w:r w:rsidRPr="000F155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C4043" w:rsidRPr="000F1551" w:rsidRDefault="00357E4D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0F1551">
        <w:rPr>
          <w:rFonts w:eastAsia="楷体_GB2312"/>
          <w:b/>
          <w:sz w:val="30"/>
          <w:szCs w:val="30"/>
        </w:rPr>
        <w:t>（</w:t>
      </w:r>
      <w:r w:rsidRPr="000F1551">
        <w:rPr>
          <w:rFonts w:eastAsia="楷体_GB2312" w:hint="eastAsia"/>
          <w:b/>
          <w:sz w:val="30"/>
          <w:szCs w:val="30"/>
        </w:rPr>
        <w:t>六</w:t>
      </w:r>
      <w:r w:rsidRPr="000F1551">
        <w:rPr>
          <w:rFonts w:eastAsia="楷体_GB2312"/>
          <w:b/>
          <w:sz w:val="30"/>
          <w:szCs w:val="30"/>
        </w:rPr>
        <w:t>）</w:t>
      </w:r>
      <w:r w:rsidRPr="000F1551">
        <w:rPr>
          <w:rFonts w:eastAsia="楷体_GB2312" w:hint="eastAsia"/>
          <w:b/>
          <w:sz w:val="30"/>
          <w:szCs w:val="30"/>
        </w:rPr>
        <w:t>关于空表的说明</w:t>
      </w:r>
    </w:p>
    <w:p w:rsidR="001C4043" w:rsidRPr="000F1551" w:rsidRDefault="0091641C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F1551">
        <w:rPr>
          <w:rFonts w:eastAsia="楷体_GB2312" w:hint="eastAsia"/>
          <w:sz w:val="30"/>
          <w:szCs w:val="30"/>
        </w:rPr>
        <w:t>1</w:t>
      </w:r>
      <w:r w:rsidR="00357E4D" w:rsidRPr="000F1551">
        <w:rPr>
          <w:rFonts w:eastAsia="楷体_GB2312" w:hint="eastAsia"/>
          <w:sz w:val="30"/>
          <w:szCs w:val="30"/>
        </w:rPr>
        <w:t>.</w:t>
      </w:r>
      <w:r w:rsidR="00357E4D" w:rsidRPr="000F1551">
        <w:rPr>
          <w:rFonts w:eastAsia="楷体_GB2312" w:hint="eastAsia"/>
          <w:sz w:val="30"/>
          <w:szCs w:val="30"/>
        </w:rPr>
        <w:t>本部门</w:t>
      </w:r>
      <w:r w:rsidR="00357E4D" w:rsidRPr="000F1551">
        <w:rPr>
          <w:rFonts w:eastAsia="楷体_GB2312"/>
          <w:sz w:val="30"/>
          <w:szCs w:val="30"/>
        </w:rPr>
        <w:t>201</w:t>
      </w:r>
      <w:r w:rsidR="00357E4D" w:rsidRPr="000F1551">
        <w:rPr>
          <w:rFonts w:eastAsia="楷体_GB2312" w:hint="eastAsia"/>
          <w:sz w:val="30"/>
          <w:szCs w:val="30"/>
        </w:rPr>
        <w:t>9</w:t>
      </w:r>
      <w:r w:rsidR="00357E4D" w:rsidRPr="000F1551">
        <w:rPr>
          <w:rFonts w:eastAsia="楷体_GB2312"/>
          <w:sz w:val="30"/>
          <w:szCs w:val="30"/>
        </w:rPr>
        <w:t>年</w:t>
      </w:r>
      <w:r w:rsidR="00357E4D" w:rsidRPr="000F1551">
        <w:rPr>
          <w:rFonts w:eastAsia="楷体_GB2312" w:hint="eastAsia"/>
          <w:sz w:val="30"/>
          <w:szCs w:val="30"/>
        </w:rPr>
        <w:t>政府性基金预算支出情况表为空表。</w:t>
      </w:r>
    </w:p>
    <w:p w:rsidR="001C4043" w:rsidRPr="000F1551" w:rsidRDefault="001C4043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1C4043" w:rsidRPr="000F1551" w:rsidRDefault="001C4043">
      <w:pPr>
        <w:spacing w:line="580" w:lineRule="exact"/>
        <w:ind w:firstLineChars="500" w:firstLine="1800"/>
        <w:rPr>
          <w:rFonts w:eastAsia="黑体"/>
          <w:sz w:val="36"/>
          <w:szCs w:val="36"/>
        </w:rPr>
      </w:pPr>
    </w:p>
    <w:p w:rsidR="001C4043" w:rsidRPr="000F1551" w:rsidRDefault="001C4043">
      <w:pPr>
        <w:spacing w:line="580" w:lineRule="exact"/>
        <w:rPr>
          <w:rFonts w:eastAsia="黑体"/>
          <w:sz w:val="36"/>
          <w:szCs w:val="36"/>
        </w:rPr>
      </w:pPr>
    </w:p>
    <w:p w:rsidR="001C4043" w:rsidRPr="000F1551" w:rsidRDefault="001C4043">
      <w:pPr>
        <w:spacing w:line="580" w:lineRule="exact"/>
        <w:rPr>
          <w:rFonts w:eastAsia="黑体"/>
          <w:sz w:val="36"/>
          <w:szCs w:val="36"/>
        </w:rPr>
      </w:pPr>
    </w:p>
    <w:p w:rsidR="001C4043" w:rsidRPr="000F1551" w:rsidRDefault="001C4043">
      <w:pPr>
        <w:spacing w:line="580" w:lineRule="exact"/>
        <w:rPr>
          <w:rFonts w:eastAsia="黑体"/>
          <w:sz w:val="36"/>
          <w:szCs w:val="36"/>
        </w:rPr>
      </w:pPr>
    </w:p>
    <w:p w:rsidR="001C4043" w:rsidRPr="000F1551" w:rsidRDefault="00357E4D">
      <w:pPr>
        <w:jc w:val="both"/>
        <w:rPr>
          <w:rFonts w:eastAsia="黑体"/>
          <w:w w:val="95"/>
          <w:sz w:val="32"/>
          <w:szCs w:val="32"/>
        </w:rPr>
      </w:pPr>
      <w:r w:rsidRPr="000F1551">
        <w:rPr>
          <w:rFonts w:eastAsia="黑体"/>
          <w:sz w:val="36"/>
          <w:szCs w:val="36"/>
        </w:rPr>
        <w:br w:type="page"/>
      </w:r>
      <w:r w:rsidRPr="000F1551">
        <w:rPr>
          <w:rFonts w:eastAsia="黑体"/>
          <w:w w:val="95"/>
          <w:sz w:val="32"/>
          <w:szCs w:val="32"/>
        </w:rPr>
        <w:lastRenderedPageBreak/>
        <w:t>附件</w:t>
      </w:r>
      <w:r w:rsidRPr="000F1551">
        <w:rPr>
          <w:rFonts w:eastAsia="黑体"/>
          <w:w w:val="95"/>
          <w:sz w:val="32"/>
          <w:szCs w:val="32"/>
        </w:rPr>
        <w:t>9</w:t>
      </w:r>
    </w:p>
    <w:p w:rsidR="001C4043" w:rsidRPr="000F1551" w:rsidRDefault="001C4043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1C4043" w:rsidRPr="000F1551" w:rsidRDefault="007957A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0F1551">
        <w:rPr>
          <w:rFonts w:eastAsia="黑体" w:hint="eastAsia"/>
          <w:w w:val="95"/>
          <w:sz w:val="44"/>
          <w:szCs w:val="44"/>
        </w:rPr>
        <w:t>东丽区金融局</w:t>
      </w:r>
      <w:r w:rsidR="00357E4D" w:rsidRPr="000F1551">
        <w:rPr>
          <w:rFonts w:eastAsia="黑体"/>
          <w:w w:val="95"/>
          <w:sz w:val="44"/>
          <w:szCs w:val="44"/>
        </w:rPr>
        <w:t>201</w:t>
      </w:r>
      <w:r w:rsidR="00357E4D" w:rsidRPr="000F1551">
        <w:rPr>
          <w:rFonts w:eastAsia="黑体" w:hint="eastAsia"/>
          <w:w w:val="95"/>
          <w:sz w:val="44"/>
          <w:szCs w:val="44"/>
        </w:rPr>
        <w:t>9</w:t>
      </w:r>
      <w:r w:rsidR="00357E4D" w:rsidRPr="000F1551">
        <w:rPr>
          <w:rFonts w:eastAsia="黑体"/>
          <w:w w:val="95"/>
          <w:sz w:val="44"/>
          <w:szCs w:val="44"/>
        </w:rPr>
        <w:t>年一般公共预算</w:t>
      </w:r>
      <w:r w:rsidR="00357E4D" w:rsidRPr="000F1551">
        <w:rPr>
          <w:rFonts w:eastAsia="黑体"/>
          <w:w w:val="95"/>
          <w:sz w:val="44"/>
          <w:szCs w:val="44"/>
        </w:rPr>
        <w:t>“</w:t>
      </w:r>
      <w:r w:rsidR="00357E4D" w:rsidRPr="000F1551">
        <w:rPr>
          <w:rFonts w:eastAsia="黑体"/>
          <w:w w:val="95"/>
          <w:sz w:val="44"/>
          <w:szCs w:val="44"/>
        </w:rPr>
        <w:t>三公</w:t>
      </w:r>
      <w:r w:rsidR="00357E4D" w:rsidRPr="000F1551">
        <w:rPr>
          <w:rFonts w:eastAsia="黑体"/>
          <w:w w:val="95"/>
          <w:sz w:val="44"/>
          <w:szCs w:val="44"/>
        </w:rPr>
        <w:t>”</w:t>
      </w:r>
      <w:r w:rsidR="00357E4D" w:rsidRPr="000F1551">
        <w:rPr>
          <w:rFonts w:eastAsia="黑体"/>
          <w:w w:val="95"/>
          <w:sz w:val="44"/>
          <w:szCs w:val="44"/>
        </w:rPr>
        <w:t>经费</w:t>
      </w:r>
    </w:p>
    <w:p w:rsidR="001C4043" w:rsidRPr="000F1551" w:rsidRDefault="00357E4D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0F1551">
        <w:rPr>
          <w:rFonts w:eastAsia="黑体" w:hint="eastAsia"/>
          <w:w w:val="95"/>
          <w:sz w:val="44"/>
          <w:szCs w:val="44"/>
        </w:rPr>
        <w:t>支出</w:t>
      </w:r>
      <w:r w:rsidRPr="000F1551">
        <w:rPr>
          <w:rFonts w:eastAsia="黑体"/>
          <w:w w:val="95"/>
          <w:sz w:val="44"/>
          <w:szCs w:val="44"/>
        </w:rPr>
        <w:t>情况说明</w:t>
      </w:r>
    </w:p>
    <w:p w:rsidR="001C4043" w:rsidRPr="000F1551" w:rsidRDefault="00357E4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9</w:t>
      </w:r>
      <w:r w:rsidRPr="000F1551">
        <w:rPr>
          <w:rFonts w:eastAsia="仿宋_GB2312"/>
          <w:sz w:val="30"/>
          <w:szCs w:val="30"/>
        </w:rPr>
        <w:t>年一般公共预算</w:t>
      </w:r>
      <w:r w:rsidRPr="000F1551">
        <w:rPr>
          <w:rFonts w:eastAsia="仿宋_GB2312"/>
          <w:sz w:val="30"/>
          <w:szCs w:val="30"/>
        </w:rPr>
        <w:t>“</w:t>
      </w:r>
      <w:r w:rsidRPr="000F1551">
        <w:rPr>
          <w:rFonts w:eastAsia="仿宋_GB2312"/>
          <w:sz w:val="30"/>
          <w:szCs w:val="30"/>
        </w:rPr>
        <w:t>三公</w:t>
      </w:r>
      <w:r w:rsidRPr="000F1551">
        <w:rPr>
          <w:rFonts w:eastAsia="仿宋_GB2312"/>
          <w:sz w:val="30"/>
          <w:szCs w:val="30"/>
        </w:rPr>
        <w:t>”</w:t>
      </w:r>
      <w:r w:rsidRPr="000F1551">
        <w:rPr>
          <w:rFonts w:eastAsia="仿宋_GB2312"/>
          <w:sz w:val="30"/>
          <w:szCs w:val="30"/>
        </w:rPr>
        <w:t>经费安排</w:t>
      </w:r>
      <w:r w:rsidRPr="000F1551">
        <w:rPr>
          <w:rFonts w:eastAsia="仿宋_GB2312"/>
          <w:sz w:val="30"/>
          <w:szCs w:val="30"/>
        </w:rPr>
        <w:t xml:space="preserve"> </w:t>
      </w:r>
      <w:r w:rsidR="00D9786F" w:rsidRPr="000F1551">
        <w:rPr>
          <w:rFonts w:eastAsia="仿宋_GB2312" w:hint="eastAsia"/>
          <w:sz w:val="30"/>
          <w:szCs w:val="30"/>
        </w:rPr>
        <w:t>0.42</w:t>
      </w:r>
      <w:r w:rsidRPr="000F1551">
        <w:rPr>
          <w:rFonts w:eastAsia="仿宋_GB2312"/>
          <w:sz w:val="30"/>
          <w:szCs w:val="30"/>
        </w:rPr>
        <w:t xml:space="preserve">   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年预算相比增加</w:t>
      </w:r>
      <w:r w:rsidRPr="000F1551">
        <w:rPr>
          <w:rFonts w:eastAsia="仿宋_GB2312"/>
          <w:sz w:val="30"/>
          <w:szCs w:val="30"/>
        </w:rPr>
        <w:t xml:space="preserve">  </w:t>
      </w:r>
      <w:r w:rsidR="00D5661B" w:rsidRPr="000F1551">
        <w:rPr>
          <w:rFonts w:eastAsia="仿宋_GB2312" w:hint="eastAsia"/>
          <w:sz w:val="30"/>
          <w:szCs w:val="30"/>
        </w:rPr>
        <w:t>0.06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万元，主要原因是</w:t>
      </w:r>
      <w:r w:rsidR="00D5661B" w:rsidRPr="000F1551">
        <w:rPr>
          <w:rFonts w:eastAsia="仿宋_GB2312" w:hint="eastAsia"/>
          <w:sz w:val="30"/>
          <w:szCs w:val="30"/>
        </w:rPr>
        <w:t>人员增加</w:t>
      </w:r>
      <w:r w:rsid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>。具体情况：</w:t>
      </w:r>
    </w:p>
    <w:p w:rsidR="001C4043" w:rsidRPr="000F1551" w:rsidRDefault="00357E4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一、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9</w:t>
      </w:r>
      <w:r w:rsidRPr="000F1551">
        <w:rPr>
          <w:rFonts w:eastAsia="仿宋_GB2312"/>
          <w:sz w:val="30"/>
          <w:szCs w:val="30"/>
        </w:rPr>
        <w:t>年因公出国（境）费预算</w:t>
      </w:r>
      <w:r w:rsidR="000F1551">
        <w:rPr>
          <w:rFonts w:eastAsia="仿宋_GB2312"/>
          <w:sz w:val="30"/>
          <w:szCs w:val="30"/>
        </w:rPr>
        <w:t xml:space="preserve"> </w:t>
      </w:r>
      <w:r w:rsidR="00D5661B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</w:t>
      </w:r>
      <w:r w:rsidR="00D5661B" w:rsidRPr="000F1551">
        <w:rPr>
          <w:rFonts w:eastAsia="仿宋_GB2312" w:hint="eastAsia"/>
          <w:sz w:val="30"/>
          <w:szCs w:val="30"/>
        </w:rPr>
        <w:t>持平</w:t>
      </w:r>
      <w:r w:rsidRPr="000F1551">
        <w:rPr>
          <w:rFonts w:eastAsia="仿宋_GB2312"/>
          <w:sz w:val="30"/>
          <w:szCs w:val="30"/>
        </w:rPr>
        <w:t>。</w:t>
      </w:r>
    </w:p>
    <w:p w:rsidR="001C4043" w:rsidRPr="000F1551" w:rsidRDefault="00357E4D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二、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9</w:t>
      </w:r>
      <w:r w:rsidRPr="000F1551">
        <w:rPr>
          <w:rFonts w:eastAsia="仿宋_GB2312"/>
          <w:sz w:val="30"/>
          <w:szCs w:val="30"/>
        </w:rPr>
        <w:t>年公务用车购置及运行费预算</w:t>
      </w:r>
      <w:r w:rsidRPr="000F1551">
        <w:rPr>
          <w:rFonts w:eastAsia="仿宋_GB2312"/>
          <w:sz w:val="30"/>
          <w:szCs w:val="30"/>
        </w:rPr>
        <w:t xml:space="preserve"> </w:t>
      </w:r>
      <w:r w:rsidR="00D5661B" w:rsidRPr="000F1551">
        <w:rPr>
          <w:rFonts w:eastAsia="仿宋_GB2312" w:hint="eastAsia"/>
          <w:sz w:val="30"/>
          <w:szCs w:val="30"/>
        </w:rPr>
        <w:t>0</w:t>
      </w:r>
      <w:r w:rsidR="000F1551">
        <w:rPr>
          <w:rFonts w:eastAsia="仿宋_GB2312"/>
          <w:sz w:val="30"/>
          <w:szCs w:val="30"/>
        </w:rPr>
        <w:t xml:space="preserve"> </w:t>
      </w:r>
      <w:r w:rsidRPr="000F1551">
        <w:rPr>
          <w:rFonts w:eastAsia="仿宋_GB2312"/>
          <w:sz w:val="30"/>
          <w:szCs w:val="30"/>
        </w:rPr>
        <w:t>万元，其中公务用车运行费</w:t>
      </w:r>
      <w:r w:rsidRPr="000F1551">
        <w:rPr>
          <w:rFonts w:eastAsia="仿宋_GB2312"/>
          <w:sz w:val="30"/>
          <w:szCs w:val="30"/>
        </w:rPr>
        <w:t xml:space="preserve">  </w:t>
      </w:r>
      <w:r w:rsidR="00D5661B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</w:t>
      </w:r>
      <w:r w:rsidR="00D5661B" w:rsidRPr="000F1551">
        <w:rPr>
          <w:rFonts w:eastAsia="仿宋_GB2312" w:hint="eastAsia"/>
          <w:sz w:val="30"/>
          <w:szCs w:val="30"/>
        </w:rPr>
        <w:t>持平</w:t>
      </w:r>
      <w:r w:rsidRPr="000F1551">
        <w:rPr>
          <w:rFonts w:eastAsia="仿宋_GB2312"/>
          <w:sz w:val="30"/>
          <w:szCs w:val="30"/>
        </w:rPr>
        <w:t>；公务用车购置费</w:t>
      </w:r>
      <w:r w:rsidRPr="000F1551">
        <w:rPr>
          <w:rFonts w:eastAsia="仿宋_GB2312"/>
          <w:sz w:val="30"/>
          <w:szCs w:val="30"/>
        </w:rPr>
        <w:t xml:space="preserve"> </w:t>
      </w:r>
      <w:r w:rsidR="00D5661B" w:rsidRPr="000F1551">
        <w:rPr>
          <w:rFonts w:eastAsia="仿宋_GB2312" w:hint="eastAsia"/>
          <w:sz w:val="30"/>
          <w:szCs w:val="30"/>
        </w:rPr>
        <w:t>0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</w:t>
      </w:r>
      <w:r w:rsidR="00D5661B" w:rsidRPr="000F1551">
        <w:rPr>
          <w:rFonts w:eastAsia="仿宋_GB2312" w:hint="eastAsia"/>
          <w:sz w:val="30"/>
          <w:szCs w:val="30"/>
        </w:rPr>
        <w:t>持平</w:t>
      </w:r>
      <w:r w:rsidRPr="000F1551">
        <w:rPr>
          <w:rFonts w:eastAsia="仿宋_GB2312"/>
          <w:sz w:val="30"/>
          <w:szCs w:val="30"/>
        </w:rPr>
        <w:t>。</w:t>
      </w:r>
    </w:p>
    <w:p w:rsidR="001C4043" w:rsidRPr="000F1551" w:rsidRDefault="00357E4D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0F1551">
        <w:rPr>
          <w:rFonts w:eastAsia="仿宋_GB2312"/>
          <w:sz w:val="30"/>
          <w:szCs w:val="30"/>
        </w:rPr>
        <w:t>三、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9</w:t>
      </w:r>
      <w:r w:rsidRPr="000F1551">
        <w:rPr>
          <w:rFonts w:eastAsia="仿宋_GB2312"/>
          <w:sz w:val="30"/>
          <w:szCs w:val="30"/>
        </w:rPr>
        <w:t>年公务接待费预算</w:t>
      </w:r>
      <w:r w:rsidRPr="000F1551">
        <w:rPr>
          <w:rFonts w:eastAsia="仿宋_GB2312"/>
          <w:sz w:val="30"/>
          <w:szCs w:val="30"/>
        </w:rPr>
        <w:t xml:space="preserve">  </w:t>
      </w:r>
      <w:r w:rsidR="00D5661B" w:rsidRPr="000F1551">
        <w:rPr>
          <w:rFonts w:eastAsia="仿宋_GB2312" w:hint="eastAsia"/>
          <w:sz w:val="30"/>
          <w:szCs w:val="30"/>
        </w:rPr>
        <w:t>0.42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万元，与</w:t>
      </w:r>
      <w:r w:rsidRPr="000F1551">
        <w:rPr>
          <w:rFonts w:eastAsia="仿宋_GB2312"/>
          <w:sz w:val="30"/>
          <w:szCs w:val="30"/>
        </w:rPr>
        <w:t>201</w:t>
      </w:r>
      <w:r w:rsidRPr="000F1551">
        <w:rPr>
          <w:rFonts w:eastAsia="仿宋_GB2312" w:hint="eastAsia"/>
          <w:sz w:val="30"/>
          <w:szCs w:val="30"/>
        </w:rPr>
        <w:t>8</w:t>
      </w:r>
      <w:r w:rsidRPr="000F1551">
        <w:rPr>
          <w:rFonts w:eastAsia="仿宋_GB2312"/>
          <w:sz w:val="30"/>
          <w:szCs w:val="30"/>
        </w:rPr>
        <w:t>年预算相比增加</w:t>
      </w:r>
      <w:r w:rsidRPr="000F1551">
        <w:rPr>
          <w:rFonts w:eastAsia="仿宋_GB2312"/>
          <w:sz w:val="30"/>
          <w:szCs w:val="30"/>
        </w:rPr>
        <w:t xml:space="preserve">  </w:t>
      </w:r>
      <w:r w:rsidR="00D5661B" w:rsidRPr="000F1551">
        <w:rPr>
          <w:rFonts w:eastAsia="仿宋_GB2312" w:hint="eastAsia"/>
          <w:sz w:val="30"/>
          <w:szCs w:val="30"/>
        </w:rPr>
        <w:t>0.06</w:t>
      </w:r>
      <w:r w:rsidRPr="000F1551">
        <w:rPr>
          <w:rFonts w:eastAsia="仿宋_GB2312"/>
          <w:sz w:val="30"/>
          <w:szCs w:val="30"/>
        </w:rPr>
        <w:t xml:space="preserve">  </w:t>
      </w:r>
      <w:r w:rsidRPr="000F1551">
        <w:rPr>
          <w:rFonts w:eastAsia="仿宋_GB2312"/>
          <w:sz w:val="30"/>
          <w:szCs w:val="30"/>
        </w:rPr>
        <w:t>万元，主要原因是</w:t>
      </w:r>
      <w:r w:rsidR="00D5661B" w:rsidRPr="000F1551">
        <w:rPr>
          <w:rFonts w:eastAsia="仿宋_GB2312" w:hint="eastAsia"/>
          <w:sz w:val="30"/>
          <w:szCs w:val="30"/>
        </w:rPr>
        <w:t>人员增加</w:t>
      </w:r>
      <w:r w:rsidRPr="000F1551">
        <w:rPr>
          <w:rFonts w:eastAsia="仿宋_GB2312"/>
          <w:sz w:val="30"/>
          <w:szCs w:val="30"/>
        </w:rPr>
        <w:t xml:space="preserve">    </w:t>
      </w:r>
      <w:r w:rsidRPr="000F1551">
        <w:rPr>
          <w:rFonts w:eastAsia="仿宋_GB2312"/>
          <w:sz w:val="30"/>
          <w:szCs w:val="30"/>
        </w:rPr>
        <w:t>。</w:t>
      </w:r>
    </w:p>
    <w:p w:rsidR="001C4043" w:rsidRPr="000F1551" w:rsidRDefault="001C4043">
      <w:pPr>
        <w:spacing w:line="580" w:lineRule="exact"/>
        <w:rPr>
          <w:rFonts w:eastAsia="黑体"/>
          <w:sz w:val="36"/>
          <w:szCs w:val="36"/>
        </w:rPr>
      </w:pPr>
    </w:p>
    <w:p w:rsidR="001C4043" w:rsidRPr="000F1551" w:rsidRDefault="001C4043">
      <w:pPr>
        <w:spacing w:line="580" w:lineRule="exact"/>
        <w:rPr>
          <w:rFonts w:eastAsia="楷体_GB2312"/>
          <w:sz w:val="30"/>
          <w:szCs w:val="30"/>
        </w:rPr>
      </w:pPr>
    </w:p>
    <w:p w:rsidR="00D9786F" w:rsidRPr="000F1551" w:rsidRDefault="00D9786F">
      <w:pPr>
        <w:spacing w:line="580" w:lineRule="exact"/>
        <w:rPr>
          <w:rFonts w:eastAsia="楷体_GB2312"/>
          <w:sz w:val="30"/>
          <w:szCs w:val="30"/>
        </w:rPr>
      </w:pPr>
    </w:p>
    <w:p w:rsidR="00D9786F" w:rsidRPr="000F1551" w:rsidRDefault="00D9786F">
      <w:pPr>
        <w:spacing w:line="580" w:lineRule="exact"/>
        <w:rPr>
          <w:rFonts w:eastAsia="楷体_GB2312"/>
          <w:sz w:val="30"/>
          <w:szCs w:val="30"/>
        </w:rPr>
      </w:pPr>
    </w:p>
    <w:p w:rsidR="00D9786F" w:rsidRPr="000F1551" w:rsidRDefault="00D9786F">
      <w:pPr>
        <w:spacing w:line="580" w:lineRule="exact"/>
        <w:rPr>
          <w:rFonts w:eastAsia="楷体_GB2312"/>
          <w:sz w:val="30"/>
          <w:szCs w:val="30"/>
        </w:rPr>
      </w:pPr>
    </w:p>
    <w:p w:rsidR="00D9786F" w:rsidRPr="000F1551" w:rsidRDefault="00D9786F">
      <w:pPr>
        <w:spacing w:line="580" w:lineRule="exact"/>
      </w:pPr>
    </w:p>
    <w:p w:rsidR="001C4043" w:rsidRPr="000F1551" w:rsidRDefault="001C4043"/>
    <w:p w:rsidR="001C4043" w:rsidRPr="000F1551" w:rsidRDefault="001C4043"/>
    <w:p w:rsidR="001C4043" w:rsidRPr="000F1551" w:rsidRDefault="001C4043"/>
    <w:p w:rsidR="00357E4D" w:rsidRPr="000F1551" w:rsidRDefault="00357E4D"/>
    <w:sectPr w:rsidR="00357E4D" w:rsidRPr="000F1551" w:rsidSect="001C4043">
      <w:headerReference w:type="default" r:id="rId6"/>
      <w:footerReference w:type="even" r:id="rId7"/>
      <w:footerReference w:type="default" r:id="rId8"/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79" w:rsidRDefault="006A1A79">
      <w:pPr>
        <w:spacing w:line="240" w:lineRule="auto"/>
      </w:pPr>
      <w:r>
        <w:separator/>
      </w:r>
    </w:p>
  </w:endnote>
  <w:endnote w:type="continuationSeparator" w:id="1">
    <w:p w:rsidR="006A1A79" w:rsidRDefault="006A1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3" w:rsidRDefault="00D80948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 w:rsidR="00357E4D">
      <w:rPr>
        <w:rStyle w:val="a3"/>
      </w:rPr>
      <w:instrText xml:space="preserve">PAGE  </w:instrText>
    </w:r>
    <w:r>
      <w:fldChar w:fldCharType="end"/>
    </w:r>
  </w:p>
  <w:p w:rsidR="001C4043" w:rsidRDefault="001C4043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3" w:rsidRDefault="001C4043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79" w:rsidRDefault="006A1A79">
      <w:pPr>
        <w:spacing w:line="240" w:lineRule="auto"/>
      </w:pPr>
      <w:r>
        <w:separator/>
      </w:r>
    </w:p>
  </w:footnote>
  <w:footnote w:type="continuationSeparator" w:id="1">
    <w:p w:rsidR="006A1A79" w:rsidRDefault="006A1A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3" w:rsidRDefault="001C404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6B49"/>
    <w:rsid w:val="00035889"/>
    <w:rsid w:val="000546FB"/>
    <w:rsid w:val="000561F0"/>
    <w:rsid w:val="00066DA5"/>
    <w:rsid w:val="00082771"/>
    <w:rsid w:val="00093F1A"/>
    <w:rsid w:val="00097C4D"/>
    <w:rsid w:val="000A6A5A"/>
    <w:rsid w:val="000B1B04"/>
    <w:rsid w:val="000B5758"/>
    <w:rsid w:val="000C3FFB"/>
    <w:rsid w:val="000C704F"/>
    <w:rsid w:val="000D1BEF"/>
    <w:rsid w:val="000E221E"/>
    <w:rsid w:val="000E5A14"/>
    <w:rsid w:val="000F1551"/>
    <w:rsid w:val="000F2DDD"/>
    <w:rsid w:val="00103D12"/>
    <w:rsid w:val="001044EF"/>
    <w:rsid w:val="00107793"/>
    <w:rsid w:val="00141FB3"/>
    <w:rsid w:val="00146622"/>
    <w:rsid w:val="00151DB8"/>
    <w:rsid w:val="001574DB"/>
    <w:rsid w:val="001639E6"/>
    <w:rsid w:val="0017420B"/>
    <w:rsid w:val="0019552B"/>
    <w:rsid w:val="001A1316"/>
    <w:rsid w:val="001C4043"/>
    <w:rsid w:val="001C525C"/>
    <w:rsid w:val="001E4814"/>
    <w:rsid w:val="0020344E"/>
    <w:rsid w:val="00217977"/>
    <w:rsid w:val="00217FE6"/>
    <w:rsid w:val="00223D56"/>
    <w:rsid w:val="00235DDA"/>
    <w:rsid w:val="00252DD7"/>
    <w:rsid w:val="00290EAC"/>
    <w:rsid w:val="00293ACA"/>
    <w:rsid w:val="002A1782"/>
    <w:rsid w:val="002D67AE"/>
    <w:rsid w:val="002F0F40"/>
    <w:rsid w:val="002F0F49"/>
    <w:rsid w:val="00304097"/>
    <w:rsid w:val="0035053A"/>
    <w:rsid w:val="0035182A"/>
    <w:rsid w:val="00357E4D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21C5C"/>
    <w:rsid w:val="00424A5A"/>
    <w:rsid w:val="00452C1F"/>
    <w:rsid w:val="004645C1"/>
    <w:rsid w:val="004654FD"/>
    <w:rsid w:val="004660E2"/>
    <w:rsid w:val="00472621"/>
    <w:rsid w:val="00474C09"/>
    <w:rsid w:val="004A5DF5"/>
    <w:rsid w:val="004B0888"/>
    <w:rsid w:val="004C0EED"/>
    <w:rsid w:val="004E1206"/>
    <w:rsid w:val="004E5901"/>
    <w:rsid w:val="00531F24"/>
    <w:rsid w:val="00547CCA"/>
    <w:rsid w:val="0055334A"/>
    <w:rsid w:val="00563DE0"/>
    <w:rsid w:val="005717FD"/>
    <w:rsid w:val="00577762"/>
    <w:rsid w:val="00585D27"/>
    <w:rsid w:val="0058731A"/>
    <w:rsid w:val="0059248B"/>
    <w:rsid w:val="005B3956"/>
    <w:rsid w:val="005D0C85"/>
    <w:rsid w:val="005D5F3F"/>
    <w:rsid w:val="005E595A"/>
    <w:rsid w:val="005E5D2D"/>
    <w:rsid w:val="005E642E"/>
    <w:rsid w:val="005F3D28"/>
    <w:rsid w:val="005F6E16"/>
    <w:rsid w:val="00602A30"/>
    <w:rsid w:val="006054BF"/>
    <w:rsid w:val="00646289"/>
    <w:rsid w:val="00646C58"/>
    <w:rsid w:val="0065320E"/>
    <w:rsid w:val="00664752"/>
    <w:rsid w:val="00673ABE"/>
    <w:rsid w:val="006777CE"/>
    <w:rsid w:val="006934E1"/>
    <w:rsid w:val="006A1A79"/>
    <w:rsid w:val="006A7042"/>
    <w:rsid w:val="006A7123"/>
    <w:rsid w:val="006B2718"/>
    <w:rsid w:val="006D7313"/>
    <w:rsid w:val="006F408B"/>
    <w:rsid w:val="00703777"/>
    <w:rsid w:val="00716804"/>
    <w:rsid w:val="0074381E"/>
    <w:rsid w:val="007957AB"/>
    <w:rsid w:val="00795DC2"/>
    <w:rsid w:val="007C220B"/>
    <w:rsid w:val="007C257B"/>
    <w:rsid w:val="007E0D5B"/>
    <w:rsid w:val="007F218B"/>
    <w:rsid w:val="00824025"/>
    <w:rsid w:val="008277F5"/>
    <w:rsid w:val="0083475B"/>
    <w:rsid w:val="00861D45"/>
    <w:rsid w:val="00862408"/>
    <w:rsid w:val="00866211"/>
    <w:rsid w:val="008860AB"/>
    <w:rsid w:val="00890F33"/>
    <w:rsid w:val="008A2192"/>
    <w:rsid w:val="008B0BE1"/>
    <w:rsid w:val="008C6A37"/>
    <w:rsid w:val="008D0B65"/>
    <w:rsid w:val="008D7A7F"/>
    <w:rsid w:val="008E4B67"/>
    <w:rsid w:val="008F7F2F"/>
    <w:rsid w:val="0091641C"/>
    <w:rsid w:val="009224E2"/>
    <w:rsid w:val="00922C71"/>
    <w:rsid w:val="00933DD8"/>
    <w:rsid w:val="00934F3E"/>
    <w:rsid w:val="00937D77"/>
    <w:rsid w:val="00946BC0"/>
    <w:rsid w:val="00962587"/>
    <w:rsid w:val="009822BE"/>
    <w:rsid w:val="00990C9A"/>
    <w:rsid w:val="009970B7"/>
    <w:rsid w:val="009B0FCC"/>
    <w:rsid w:val="009C3FA3"/>
    <w:rsid w:val="009D1FD1"/>
    <w:rsid w:val="009F0927"/>
    <w:rsid w:val="00A01A53"/>
    <w:rsid w:val="00A020B8"/>
    <w:rsid w:val="00A169EE"/>
    <w:rsid w:val="00A25266"/>
    <w:rsid w:val="00A325D0"/>
    <w:rsid w:val="00A52A4D"/>
    <w:rsid w:val="00A62D36"/>
    <w:rsid w:val="00A64852"/>
    <w:rsid w:val="00A71275"/>
    <w:rsid w:val="00A74096"/>
    <w:rsid w:val="00A8081F"/>
    <w:rsid w:val="00A8708A"/>
    <w:rsid w:val="00A918A4"/>
    <w:rsid w:val="00AA3870"/>
    <w:rsid w:val="00AB093E"/>
    <w:rsid w:val="00AB791A"/>
    <w:rsid w:val="00AC0500"/>
    <w:rsid w:val="00AD51D9"/>
    <w:rsid w:val="00AD6740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90553"/>
    <w:rsid w:val="00B91BBF"/>
    <w:rsid w:val="00BA2588"/>
    <w:rsid w:val="00BA407A"/>
    <w:rsid w:val="00BC3841"/>
    <w:rsid w:val="00BC76FF"/>
    <w:rsid w:val="00BF7933"/>
    <w:rsid w:val="00C1455B"/>
    <w:rsid w:val="00C149C4"/>
    <w:rsid w:val="00C24562"/>
    <w:rsid w:val="00C50520"/>
    <w:rsid w:val="00C64EC0"/>
    <w:rsid w:val="00C70269"/>
    <w:rsid w:val="00C8411D"/>
    <w:rsid w:val="00C84F06"/>
    <w:rsid w:val="00C96C5A"/>
    <w:rsid w:val="00CD1A40"/>
    <w:rsid w:val="00CE6EAE"/>
    <w:rsid w:val="00CE7964"/>
    <w:rsid w:val="00CE7B3E"/>
    <w:rsid w:val="00CF3C5E"/>
    <w:rsid w:val="00D15FA8"/>
    <w:rsid w:val="00D23D4D"/>
    <w:rsid w:val="00D27938"/>
    <w:rsid w:val="00D5661B"/>
    <w:rsid w:val="00D8056F"/>
    <w:rsid w:val="00D80948"/>
    <w:rsid w:val="00D877BB"/>
    <w:rsid w:val="00D92B61"/>
    <w:rsid w:val="00D9786F"/>
    <w:rsid w:val="00DB28E7"/>
    <w:rsid w:val="00DB3194"/>
    <w:rsid w:val="00DE5D74"/>
    <w:rsid w:val="00DF0B81"/>
    <w:rsid w:val="00DF4EF1"/>
    <w:rsid w:val="00DF6570"/>
    <w:rsid w:val="00E01833"/>
    <w:rsid w:val="00E27103"/>
    <w:rsid w:val="00E37F65"/>
    <w:rsid w:val="00E51564"/>
    <w:rsid w:val="00E546A5"/>
    <w:rsid w:val="00E62551"/>
    <w:rsid w:val="00E74166"/>
    <w:rsid w:val="00E75826"/>
    <w:rsid w:val="00E804B9"/>
    <w:rsid w:val="00E8177A"/>
    <w:rsid w:val="00E90B38"/>
    <w:rsid w:val="00E90C89"/>
    <w:rsid w:val="00E95C79"/>
    <w:rsid w:val="00EA6A5C"/>
    <w:rsid w:val="00EB06BE"/>
    <w:rsid w:val="00EB6AAF"/>
    <w:rsid w:val="00F11449"/>
    <w:rsid w:val="00F211C0"/>
    <w:rsid w:val="00F224AE"/>
    <w:rsid w:val="00F5220F"/>
    <w:rsid w:val="00F5688C"/>
    <w:rsid w:val="00F57690"/>
    <w:rsid w:val="00F81314"/>
    <w:rsid w:val="00F86B2D"/>
    <w:rsid w:val="00F86C27"/>
    <w:rsid w:val="00F943D8"/>
    <w:rsid w:val="00FB4035"/>
    <w:rsid w:val="00FC57FA"/>
    <w:rsid w:val="00FE3D89"/>
    <w:rsid w:val="00FE7BA7"/>
    <w:rsid w:val="2925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4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4043"/>
  </w:style>
  <w:style w:type="character" w:customStyle="1" w:styleId="Char">
    <w:name w:val="批注框文本 Char"/>
    <w:link w:val="a4"/>
    <w:rsid w:val="001C4043"/>
    <w:rPr>
      <w:sz w:val="18"/>
      <w:szCs w:val="18"/>
    </w:rPr>
  </w:style>
  <w:style w:type="paragraph" w:styleId="a5">
    <w:name w:val="Document Map"/>
    <w:basedOn w:val="a"/>
    <w:semiHidden/>
    <w:rsid w:val="001C4043"/>
    <w:pPr>
      <w:shd w:val="clear" w:color="auto" w:fill="000080"/>
    </w:pPr>
  </w:style>
  <w:style w:type="paragraph" w:styleId="a4">
    <w:name w:val="Balloon Text"/>
    <w:basedOn w:val="a"/>
    <w:link w:val="Char"/>
    <w:rsid w:val="001C4043"/>
    <w:pPr>
      <w:spacing w:line="240" w:lineRule="auto"/>
    </w:pPr>
    <w:rPr>
      <w:sz w:val="18"/>
      <w:szCs w:val="18"/>
    </w:rPr>
  </w:style>
  <w:style w:type="paragraph" w:styleId="a6">
    <w:name w:val="header"/>
    <w:basedOn w:val="a"/>
    <w:rsid w:val="001C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rsid w:val="001C404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CharChar">
    <w:name w:val="Char Char"/>
    <w:basedOn w:val="a5"/>
    <w:rsid w:val="001C4043"/>
    <w:pPr>
      <w:adjustRightInd/>
      <w:spacing w:line="240" w:lineRule="auto"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hhjg</cp:lastModifiedBy>
  <cp:revision>8</cp:revision>
  <cp:lastPrinted>2018-02-07T03:20:00Z</cp:lastPrinted>
  <dcterms:created xsi:type="dcterms:W3CDTF">2019-02-03T02:20:00Z</dcterms:created>
  <dcterms:modified xsi:type="dcterms:W3CDTF">2019-02-03T06:56:00Z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