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eastAsia" w:ascii="黑体" w:hAnsi="黑体" w:eastAsia="黑体"/>
          <w:kern w:val="2"/>
          <w:sz w:val="32"/>
          <w:szCs w:val="24"/>
          <w:lang w:val="zh-CN"/>
        </w:rPr>
      </w:pPr>
    </w:p>
    <w:p>
      <w:pPr>
        <w:spacing w:beforeLines="0" w:afterLines="0" w:line="580" w:lineRule="exact"/>
        <w:jc w:val="center"/>
        <w:rPr>
          <w:rFonts w:hint="eastAsia" w:ascii="黑体" w:hAnsi="黑体" w:eastAsia="黑体"/>
          <w:kern w:val="2"/>
          <w:sz w:val="44"/>
          <w:szCs w:val="24"/>
          <w:lang w:val="zh-CN"/>
        </w:rPr>
      </w:pPr>
    </w:p>
    <w:p>
      <w:pPr>
        <w:spacing w:beforeLines="0" w:afterLines="0" w:line="600" w:lineRule="exact"/>
        <w:jc w:val="both"/>
        <w:rPr>
          <w:rFonts w:hint="eastAsia" w:ascii="黑体" w:hAnsi="黑体" w:eastAsia="黑体"/>
          <w:kern w:val="2"/>
          <w:sz w:val="32"/>
          <w:szCs w:val="24"/>
          <w:lang w:val="zh-CN"/>
        </w:rPr>
      </w:pPr>
    </w:p>
    <w:p>
      <w:pPr>
        <w:spacing w:beforeLines="0" w:afterLines="0" w:line="580" w:lineRule="exact"/>
        <w:jc w:val="center"/>
        <w:rPr>
          <w:rFonts w:hint="eastAsia" w:ascii="黑体" w:hAnsi="黑体" w:eastAsia="黑体"/>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天津市东丽区民政事务服务中心2022年度部门决算</w:t>
      </w: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600" w:lineRule="exact"/>
        <w:jc w:val="center"/>
        <w:rPr>
          <w:rFonts w:hint="eastAsia" w:ascii="黑体" w:hAnsi="黑体" w:eastAsia="黑体"/>
          <w:sz w:val="44"/>
          <w:szCs w:val="24"/>
          <w:lang w:val="en-US"/>
        </w:rPr>
      </w:pPr>
      <w:r>
        <w:rPr>
          <w:rFonts w:hint="eastAsia" w:ascii="黑体" w:hAnsi="黑体" w:eastAsia="黑体"/>
          <w:kern w:val="2"/>
          <w:sz w:val="30"/>
          <w:szCs w:val="24"/>
          <w:lang w:val="en-US"/>
        </w:rPr>
        <w:br w:type="page"/>
      </w:r>
    </w:p>
    <w:p>
      <w:pPr>
        <w:spacing w:beforeLines="0" w:afterLines="0" w:line="600" w:lineRule="exact"/>
        <w:jc w:val="center"/>
        <w:rPr>
          <w:rFonts w:hint="eastAsia" w:ascii="黑体" w:hAnsi="黑体" w:eastAsia="黑体"/>
          <w:sz w:val="44"/>
          <w:szCs w:val="24"/>
          <w:lang w:val="en-US"/>
        </w:rPr>
      </w:pPr>
      <w:r>
        <w:rPr>
          <w:rFonts w:hint="eastAsia" w:ascii="黑体" w:hAnsi="黑体" w:eastAsia="黑体"/>
          <w:sz w:val="44"/>
          <w:szCs w:val="24"/>
          <w:lang w:val="en-US"/>
        </w:rPr>
        <w:t>目   录</w:t>
      </w:r>
    </w:p>
    <w:p>
      <w:pPr>
        <w:spacing w:beforeLines="0" w:afterLines="0" w:line="600" w:lineRule="exact"/>
        <w:rPr>
          <w:rFonts w:hint="eastAsia" w:ascii="黑体" w:hAnsi="黑体" w:eastAsia="黑体"/>
          <w:sz w:val="30"/>
          <w:szCs w:val="24"/>
          <w:lang w:val="en-US"/>
        </w:rPr>
      </w:pPr>
    </w:p>
    <w:p>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第一部分  概 况</w:t>
      </w:r>
      <w:r>
        <w:rPr>
          <w:rFonts w:hint="default" w:ascii="Times New Roman" w:hAnsi="Times New Roman" w:eastAsia="Times New Roman"/>
          <w:sz w:val="30"/>
          <w:szCs w:val="24"/>
        </w:rPr>
        <w:tab/>
      </w:r>
      <w:r>
        <w:rPr>
          <w:rFonts w:hint="default" w:ascii="Times New Roman" w:hAnsi="Times New Roman" w:eastAsia="Times New Roman"/>
          <w:sz w:val="30"/>
          <w:szCs w:val="24"/>
        </w:rPr>
        <w:t>1</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一、主要职责</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二、机构设置</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第二部分  2022年度部门决算表</w:t>
      </w:r>
      <w:r>
        <w:rPr>
          <w:rFonts w:hint="default" w:ascii="Times New Roman" w:hAnsi="Times New Roman" w:eastAsia="Times New Roman"/>
          <w:sz w:val="30"/>
          <w:szCs w:val="24"/>
        </w:rPr>
        <w:tab/>
      </w:r>
      <w:r>
        <w:rPr>
          <w:rFonts w:hint="default" w:ascii="Times New Roman" w:hAnsi="Times New Roman" w:eastAsia="Times New Roman"/>
          <w:sz w:val="30"/>
          <w:szCs w:val="24"/>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二、收入决算表（按功能分类列示）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三、收入决算表（按单位列示）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四、支出决算表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五、财政拨款收入支出决算总表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七、一般公共预算财政拨款基本支出决算表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八、政府性基金预算财政拨款收入支出决算表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九、国有资本经营预算财政拨款收入支出决算表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十、一般公共预算财政拨款</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三公</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经费支出决算表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十一、项目支出决算表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十二、关于空表的说明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3</w:t>
      </w:r>
    </w:p>
    <w:p>
      <w:pPr>
        <w:tabs>
          <w:tab w:val="right" w:leader="dot" w:pos="8306"/>
        </w:tabs>
        <w:spacing w:beforeLines="0" w:afterLines="0" w:line="700" w:lineRule="exact"/>
        <w:rPr>
          <w:rFonts w:hint="eastAsia" w:ascii="Times New Roman" w:hAnsi="Times New Roman" w:eastAsia="宋体"/>
          <w:sz w:val="30"/>
          <w:szCs w:val="24"/>
          <w:lang w:val="en-US" w:eastAsia="zh-CN"/>
        </w:rPr>
      </w:pPr>
      <w:r>
        <w:rPr>
          <w:rFonts w:hint="eastAsia" w:ascii="方正小标宋简体" w:hAnsi="方正小标宋简体" w:eastAsia="方正小标宋简体"/>
          <w:sz w:val="30"/>
          <w:szCs w:val="24"/>
        </w:rPr>
        <w:t>第三部分  2022年度部门决算情况说明</w:t>
      </w:r>
      <w:r>
        <w:rPr>
          <w:rFonts w:hint="default" w:ascii="Times New Roman" w:hAnsi="Times New Roman" w:eastAsia="Times New Roman"/>
          <w:sz w:val="30"/>
          <w:szCs w:val="24"/>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一、收支决算总体情况说明</w:t>
      </w:r>
      <w:r>
        <w:rPr>
          <w:rFonts w:hint="default" w:ascii="Times New Roman" w:hAnsi="Times New Roman" w:eastAsia="Times New Roman"/>
          <w:sz w:val="30"/>
          <w:szCs w:val="24"/>
          <w:lang w:val="en-US"/>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二、收入决算情况说明</w:t>
      </w:r>
      <w:r>
        <w:rPr>
          <w:rFonts w:hint="default" w:ascii="Times New Roman" w:hAnsi="Times New Roman" w:eastAsia="Times New Roman"/>
          <w:sz w:val="30"/>
          <w:szCs w:val="24"/>
          <w:lang w:val="en-US"/>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三、支出决算情况说明</w:t>
      </w:r>
      <w:r>
        <w:rPr>
          <w:rFonts w:hint="default" w:ascii="Times New Roman" w:hAnsi="Times New Roman" w:eastAsia="Times New Roman"/>
          <w:sz w:val="30"/>
          <w:szCs w:val="24"/>
          <w:lang w:val="en-US"/>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四、财政拨款收支决算总体情况说明</w:t>
      </w:r>
      <w:r>
        <w:rPr>
          <w:rFonts w:hint="default" w:ascii="Times New Roman" w:hAnsi="Times New Roman" w:eastAsia="Times New Roman"/>
          <w:sz w:val="30"/>
          <w:szCs w:val="24"/>
          <w:lang w:val="en-US"/>
        </w:rPr>
        <w:tab/>
      </w:r>
      <w:r>
        <w:rPr>
          <w:rFonts w:hint="eastAsia"/>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五、一般公共预算财政拨款支出决算情况说明</w:t>
      </w:r>
      <w:r>
        <w:rPr>
          <w:rFonts w:hint="default" w:ascii="Times New Roman" w:hAnsi="Times New Roman" w:eastAsia="Times New Roman"/>
          <w:sz w:val="30"/>
          <w:szCs w:val="24"/>
          <w:lang w:val="en-US"/>
        </w:rPr>
        <w:tab/>
      </w:r>
      <w:r>
        <w:rPr>
          <w:rFonts w:hint="eastAsia"/>
          <w:sz w:val="30"/>
          <w:szCs w:val="24"/>
          <w:lang w:val="en-US" w:eastAsia="zh-CN"/>
        </w:rPr>
        <w:t>4</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六、一般公共预算财政拨款基本支出决算情况说明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6</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七、政府性基金预算财政拨款收支决算情况说明</w:t>
      </w:r>
      <w:r>
        <w:rPr>
          <w:rFonts w:hint="default" w:ascii="Times New Roman" w:hAnsi="Times New Roman" w:eastAsia="Times New Roman"/>
          <w:sz w:val="30"/>
          <w:szCs w:val="24"/>
          <w:lang w:val="en-US"/>
        </w:rPr>
        <w:tab/>
      </w:r>
      <w:r>
        <w:rPr>
          <w:rFonts w:hint="eastAsia"/>
          <w:sz w:val="30"/>
          <w:szCs w:val="24"/>
          <w:lang w:val="en-US" w:eastAsia="zh-CN"/>
        </w:rPr>
        <w:t>6</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八、国有资本经营预算财政拨款收支决算情况说明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7</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九、一般公共预算财政拨款</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三公</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经费支出决算情况说明</w:t>
      </w:r>
      <w:r>
        <w:rPr>
          <w:rFonts w:hint="default" w:ascii="Times New Roman" w:hAnsi="Times New Roman" w:eastAsia="Times New Roman"/>
          <w:sz w:val="30"/>
          <w:szCs w:val="24"/>
          <w:lang w:val="en-US"/>
        </w:rPr>
        <w:tab/>
      </w:r>
      <w:r>
        <w:rPr>
          <w:rFonts w:hint="eastAsia" w:ascii="仿宋_GB2312" w:hAnsi="仿宋_GB2312" w:eastAsia="仿宋_GB2312"/>
          <w:sz w:val="30"/>
          <w:szCs w:val="24"/>
          <w:lang w:val="en-US"/>
        </w:rPr>
        <w:t>7</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十、机关运行经费支出情况说明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8</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十一、政府采购支出情况说明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8</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十二、国有资产占有使用情况说明</w:t>
      </w:r>
      <w:r>
        <w:rPr>
          <w:rFonts w:hint="default" w:ascii="Times New Roman" w:hAnsi="Times New Roman" w:eastAsia="Times New Roman"/>
          <w:sz w:val="30"/>
          <w:szCs w:val="24"/>
          <w:lang w:val="en-US"/>
        </w:rPr>
        <w:tab/>
      </w:r>
      <w:r>
        <w:rPr>
          <w:rFonts w:hint="eastAsia"/>
          <w:sz w:val="30"/>
          <w:szCs w:val="24"/>
          <w:lang w:val="en-US" w:eastAsia="zh-CN"/>
        </w:rPr>
        <w:t>9</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十三、预算绩效情况说明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9</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十四、教育、医疗卫生、社会保障和就业、住房保障、涉农补贴等民生支出情况说明</w:t>
      </w:r>
      <w:r>
        <w:rPr>
          <w:rFonts w:hint="default" w:ascii="Times New Roman" w:hAnsi="Times New Roman" w:eastAsia="Times New Roman"/>
          <w:sz w:val="30"/>
          <w:szCs w:val="24"/>
          <w:lang w:val="en-US"/>
        </w:rPr>
        <w:tab/>
      </w:r>
      <w:r>
        <w:rPr>
          <w:rFonts w:hint="eastAsia"/>
          <w:sz w:val="30"/>
          <w:szCs w:val="24"/>
          <w:lang w:val="en-US" w:eastAsia="zh-CN"/>
        </w:rPr>
        <w:t>9</w:t>
      </w:r>
    </w:p>
    <w:p>
      <w:pPr>
        <w:tabs>
          <w:tab w:val="right" w:leader="dot" w:pos="8306"/>
        </w:tabs>
        <w:spacing w:beforeLines="0" w:afterLines="0" w:line="700" w:lineRule="exact"/>
        <w:rPr>
          <w:rFonts w:hint="eastAsia" w:ascii="Times New Roman" w:hAnsi="Times New Roman" w:eastAsia="宋体"/>
          <w:sz w:val="30"/>
          <w:szCs w:val="24"/>
          <w:lang w:val="en-US" w:eastAsia="zh-CN"/>
        </w:rPr>
      </w:pPr>
      <w:r>
        <w:rPr>
          <w:rFonts w:hint="eastAsia" w:ascii="方正小标宋简体" w:hAnsi="方正小标宋简体" w:eastAsia="方正小标宋简体"/>
          <w:sz w:val="30"/>
          <w:szCs w:val="24"/>
        </w:rPr>
        <w:t>第四部分  名词解释</w:t>
      </w:r>
      <w:r>
        <w:rPr>
          <w:rFonts w:hint="default" w:ascii="Times New Roman" w:hAnsi="Times New Roman" w:eastAsia="Times New Roman"/>
          <w:sz w:val="30"/>
          <w:szCs w:val="24"/>
        </w:rPr>
        <w:tab/>
      </w:r>
      <w:r>
        <w:rPr>
          <w:rFonts w:hint="default" w:ascii="Times New Roman" w:hAnsi="Times New Roman" w:eastAsia="Times New Roman"/>
          <w:sz w:val="30"/>
          <w:szCs w:val="24"/>
        </w:rPr>
        <w:t>1</w:t>
      </w:r>
      <w:r>
        <w:rPr>
          <w:rFonts w:hint="eastAsia"/>
          <w:sz w:val="30"/>
          <w:szCs w:val="24"/>
          <w:lang w:val="en-US" w:eastAsia="zh-CN"/>
        </w:rPr>
        <w:t>0</w:t>
      </w:r>
    </w:p>
    <w:p>
      <w:pPr>
        <w:spacing w:beforeLines="0" w:afterLines="0" w:line="700" w:lineRule="exact"/>
        <w:rPr>
          <w:rFonts w:hint="eastAsia" w:ascii="黑体" w:hAnsi="黑体" w:eastAsia="黑体"/>
          <w:kern w:val="2"/>
          <w:sz w:val="30"/>
          <w:szCs w:val="24"/>
          <w:lang w:val="zh-CN"/>
        </w:rPr>
      </w:pPr>
      <w:r>
        <w:rPr>
          <w:rFonts w:hint="eastAsia" w:ascii="黑体" w:hAnsi="黑体" w:eastAsia="黑体"/>
          <w:kern w:val="2"/>
          <w:sz w:val="30"/>
          <w:szCs w:val="24"/>
          <w:lang w:val="zh-CN"/>
        </w:rPr>
        <w:br w:type="page"/>
      </w: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第一部分  概 况</w:t>
      </w:r>
    </w:p>
    <w:p>
      <w:pPr>
        <w:spacing w:beforeLines="0" w:afterLines="0" w:line="600" w:lineRule="exact"/>
        <w:rPr>
          <w:rFonts w:hint="default" w:ascii="Times New Roman" w:hAnsi="Times New Roman" w:eastAsia="Times New Roman"/>
          <w:sz w:val="24"/>
          <w:szCs w:val="24"/>
          <w:lang w:val="en-US"/>
        </w:rPr>
      </w:pPr>
    </w:p>
    <w:p>
      <w:pPr>
        <w:pStyle w:val="3"/>
        <w:keepNext/>
        <w:keepLines/>
        <w:spacing w:beforeLines="0" w:afterLines="0"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一、主要职责</w:t>
      </w:r>
    </w:p>
    <w:p>
      <w:pPr>
        <w:spacing w:line="600" w:lineRule="exact"/>
        <w:ind w:firstLine="600" w:firstLineChars="200"/>
        <w:rPr>
          <w:rFonts w:hint="eastAsia" w:ascii="仿宋_GB2312" w:eastAsia="仿宋_GB2312"/>
          <w:sz w:val="30"/>
          <w:szCs w:val="30"/>
          <w:u w:val="none"/>
        </w:rPr>
      </w:pPr>
      <w:r>
        <w:rPr>
          <w:rFonts w:hint="eastAsia" w:eastAsia="仿宋_GB2312"/>
          <w:sz w:val="30"/>
          <w:szCs w:val="30"/>
          <w:u w:val="none"/>
        </w:rPr>
        <w:t>天津市东丽区民政事务服务中心（天津市东丽区救助管理站、天津市东丽区未成年人救助保护中心）主要职责为：承担生活无着流浪乞讨人员救助管理、开展儿童关爱服务及未成年人临时照料、核定救助申请家庭经济状况出具报告、推进殡葬改革和提供殡葬服务、提供婚姻政策咨询及婚姻事务相关工作、落实老年人福利政策及提供养老关爱服务等相关事务性工作。</w:t>
      </w:r>
    </w:p>
    <w:p>
      <w:pPr>
        <w:pStyle w:val="3"/>
        <w:keepNext/>
        <w:keepLines/>
        <w:spacing w:beforeLines="0" w:afterLines="0"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二、机构设置</w:t>
      </w:r>
    </w:p>
    <w:p>
      <w:pPr>
        <w:spacing w:beforeLines="0" w:afterLines="0" w:line="600" w:lineRule="exact"/>
        <w:ind w:firstLine="600"/>
        <w:rPr>
          <w:rFonts w:hint="eastAsia" w:ascii="仿宋_GB2312" w:hAnsi="仿宋_GB2312" w:eastAsia="仿宋_GB2312"/>
          <w:sz w:val="30"/>
          <w:szCs w:val="24"/>
          <w:lang w:val="en-US"/>
        </w:rPr>
      </w:pPr>
      <w:r>
        <w:rPr>
          <w:rFonts w:hint="eastAsia" w:eastAsia="仿宋_GB2312"/>
          <w:sz w:val="30"/>
          <w:szCs w:val="30"/>
          <w:u w:val="none"/>
        </w:rPr>
        <w:t>天津市东丽区民政事务服务中心</w:t>
      </w:r>
      <w:r>
        <w:rPr>
          <w:rFonts w:hint="eastAsia" w:ascii="仿宋_GB2312" w:hAnsi="仿宋_GB2312" w:eastAsia="仿宋_GB2312"/>
          <w:sz w:val="30"/>
          <w:szCs w:val="24"/>
          <w:lang w:val="en-US"/>
        </w:rPr>
        <w:t>内设</w:t>
      </w:r>
      <w:r>
        <w:rPr>
          <w:rFonts w:hint="eastAsia"/>
          <w:sz w:val="30"/>
          <w:szCs w:val="24"/>
          <w:u w:val="single"/>
          <w:lang w:val="en-US" w:eastAsia="zh-CN"/>
        </w:rPr>
        <w:t>3</w:t>
      </w:r>
      <w:r>
        <w:rPr>
          <w:rFonts w:hint="eastAsia" w:ascii="仿宋_GB2312" w:hAnsi="仿宋_GB2312" w:eastAsia="仿宋_GB2312"/>
          <w:sz w:val="30"/>
          <w:szCs w:val="24"/>
          <w:lang w:val="en-US"/>
        </w:rPr>
        <w:t>个职能处室；下辖</w:t>
      </w:r>
      <w:r>
        <w:rPr>
          <w:rFonts w:hint="eastAsia"/>
          <w:sz w:val="30"/>
          <w:szCs w:val="24"/>
          <w:u w:val="none"/>
          <w:lang w:val="en-US" w:eastAsia="zh-CN"/>
        </w:rPr>
        <w:t>0</w:t>
      </w:r>
      <w:r>
        <w:rPr>
          <w:rFonts w:hint="eastAsia" w:ascii="仿宋_GB2312" w:hAnsi="仿宋_GB2312" w:eastAsia="仿宋_GB2312"/>
          <w:sz w:val="30"/>
          <w:szCs w:val="24"/>
          <w:lang w:val="en-US"/>
        </w:rPr>
        <w:t>个预算单位。纳入</w:t>
      </w:r>
      <w:r>
        <w:rPr>
          <w:rFonts w:hint="eastAsia" w:eastAsia="仿宋_GB2312"/>
          <w:sz w:val="30"/>
          <w:szCs w:val="30"/>
          <w:u w:val="none"/>
        </w:rPr>
        <w:t>天津市东丽区民政事务服务中心</w:t>
      </w:r>
      <w:r>
        <w:rPr>
          <w:rFonts w:hint="eastAsia" w:ascii="仿宋_GB2312" w:hAnsi="仿宋_GB2312" w:eastAsia="仿宋_GB2312"/>
          <w:sz w:val="30"/>
          <w:szCs w:val="24"/>
          <w:lang w:val="en-US"/>
        </w:rPr>
        <w:t>2022年度部门决算编制范围的单位包括：</w:t>
      </w:r>
    </w:p>
    <w:p>
      <w:pPr>
        <w:spacing w:beforeLines="0" w:afterLines="0" w:line="600" w:lineRule="exact"/>
        <w:ind w:firstLine="600"/>
        <w:rPr>
          <w:rFonts w:hint="default" w:ascii="Times New Roman" w:hAnsi="Times New Roman" w:eastAsia="Times New Roman"/>
          <w:sz w:val="30"/>
          <w:szCs w:val="24"/>
          <w:lang w:val="en-US"/>
        </w:rPr>
      </w:pPr>
      <w:r>
        <w:rPr>
          <w:rFonts w:hint="eastAsia" w:eastAsia="仿宋_GB2312"/>
          <w:sz w:val="30"/>
          <w:szCs w:val="30"/>
          <w:u w:val="none"/>
          <w:lang w:val="en-US" w:eastAsia="zh-CN"/>
        </w:rPr>
        <w:t>1.</w:t>
      </w:r>
      <w:r>
        <w:rPr>
          <w:rFonts w:hint="eastAsia" w:eastAsia="仿宋_GB2312"/>
          <w:sz w:val="30"/>
          <w:szCs w:val="30"/>
          <w:u w:val="none"/>
        </w:rPr>
        <w:t>天津市东丽区民政事务服务中心</w:t>
      </w:r>
    </w:p>
    <w:p>
      <w:pPr>
        <w:spacing w:beforeLines="0" w:afterLines="0" w:line="580" w:lineRule="exact"/>
        <w:ind w:firstLine="600"/>
        <w:rPr>
          <w:rFonts w:hint="eastAsia" w:ascii="仿宋_GB2312" w:hAnsi="仿宋_GB2312" w:eastAsia="仿宋_GB2312"/>
          <w:kern w:val="2"/>
          <w:sz w:val="30"/>
          <w:szCs w:val="24"/>
          <w:lang w:val="zh-CN"/>
        </w:rPr>
      </w:pPr>
    </w:p>
    <w:p>
      <w:pPr>
        <w:pStyle w:val="2"/>
        <w:keepNext/>
        <w:keepLines/>
        <w:spacing w:before="340" w:beforeLines="0" w:after="330" w:afterLines="0" w:line="600" w:lineRule="exact"/>
        <w:jc w:val="both"/>
        <w:rPr>
          <w:rFonts w:hint="eastAsia" w:ascii="黑体" w:hAnsi="黑体" w:eastAsia="黑体"/>
          <w:kern w:val="2"/>
          <w:sz w:val="30"/>
          <w:szCs w:val="24"/>
          <w:lang w:val="en-US"/>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第二部分  2022年度部门决算表</w:t>
      </w:r>
    </w:p>
    <w:p>
      <w:pPr>
        <w:spacing w:beforeLines="0" w:afterLines="0" w:line="600" w:lineRule="exact"/>
        <w:rPr>
          <w:rFonts w:hint="default" w:ascii="Times New Roman" w:hAnsi="Times New Roman" w:eastAsia="Times New Roman"/>
          <w:sz w:val="24"/>
          <w:szCs w:val="24"/>
          <w:lang w:val="en-US"/>
        </w:rPr>
      </w:pP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十、《一般公共预算财政拨款</w:t>
      </w:r>
      <w:r>
        <w:rPr>
          <w:rFonts w:hint="default" w:ascii="黑体" w:hAnsi="黑体" w:eastAsia="黑体"/>
          <w:sz w:val="30"/>
          <w:szCs w:val="24"/>
          <w:lang w:val="en-US"/>
        </w:rPr>
        <w:t>“</w:t>
      </w:r>
      <w:r>
        <w:rPr>
          <w:rFonts w:hint="eastAsia" w:ascii="黑体" w:hAnsi="黑体" w:eastAsia="黑体"/>
          <w:sz w:val="30"/>
          <w:szCs w:val="24"/>
          <w:lang w:val="en-US"/>
        </w:rPr>
        <w:t>三公</w:t>
      </w:r>
      <w:r>
        <w:rPr>
          <w:rFonts w:hint="default" w:ascii="黑体" w:hAnsi="黑体" w:eastAsia="黑体"/>
          <w:sz w:val="30"/>
          <w:szCs w:val="24"/>
          <w:lang w:val="en-US"/>
        </w:rPr>
        <w:t>”</w:t>
      </w:r>
      <w:r>
        <w:rPr>
          <w:rFonts w:hint="eastAsia" w:ascii="黑体" w:hAnsi="黑体" w:eastAsia="黑体"/>
          <w:sz w:val="30"/>
          <w:szCs w:val="24"/>
          <w:lang w:val="en-US"/>
        </w:rPr>
        <w:t>经费支出决算表》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pPr>
        <w:spacing w:beforeLines="0" w:afterLines="0" w:line="600" w:lineRule="exact"/>
        <w:rPr>
          <w:rFonts w:hint="eastAsia" w:ascii="黑体" w:hAnsi="黑体" w:eastAsia="黑体"/>
          <w:b/>
          <w:sz w:val="30"/>
          <w:szCs w:val="24"/>
          <w:lang w:val="en-US"/>
        </w:rPr>
      </w:pPr>
      <w:r>
        <w:rPr>
          <w:rFonts w:hint="default" w:ascii="Times New Roman" w:hAnsi="Times New Roman" w:eastAsia="Times New Roman"/>
          <w:sz w:val="24"/>
          <w:szCs w:val="24"/>
          <w:lang w:val="en-US"/>
        </w:rPr>
        <w:t xml:space="preserve">    </w:t>
      </w:r>
      <w:r>
        <w:rPr>
          <w:rFonts w:hint="eastAsia" w:ascii="黑体" w:hAnsi="黑体" w:eastAsia="黑体"/>
          <w:b/>
          <w:sz w:val="30"/>
          <w:szCs w:val="24"/>
          <w:lang w:val="en-US"/>
        </w:rPr>
        <w:t>十二、关于空表的说明</w:t>
      </w:r>
    </w:p>
    <w:p>
      <w:pPr>
        <w:spacing w:beforeLines="0" w:afterLines="0" w:line="640" w:lineRule="exact"/>
        <w:ind w:firstLine="600"/>
        <w:rPr>
          <w:rFonts w:hint="eastAsia" w:ascii="楷体" w:hAnsi="楷体" w:eastAsia="楷体"/>
          <w:sz w:val="30"/>
          <w:szCs w:val="24"/>
          <w:lang w:val="en-US"/>
        </w:rPr>
      </w:pPr>
      <w:r>
        <w:rPr>
          <w:rFonts w:hint="eastAsia" w:ascii="楷体" w:hAnsi="楷体" w:eastAsia="楷体"/>
          <w:sz w:val="30"/>
          <w:szCs w:val="24"/>
          <w:lang w:val="en-US"/>
        </w:rPr>
        <w:t>1.天津市</w:t>
      </w:r>
      <w:r>
        <w:rPr>
          <w:rFonts w:hint="eastAsia" w:ascii="楷体" w:hAnsi="楷体" w:eastAsia="楷体"/>
          <w:sz w:val="30"/>
          <w:szCs w:val="24"/>
          <w:lang w:val="en-US" w:eastAsia="zh-CN"/>
        </w:rPr>
        <w:t>东丽区民政事务服务中心</w:t>
      </w:r>
      <w:r>
        <w:rPr>
          <w:rFonts w:hint="eastAsia" w:ascii="楷体" w:hAnsi="楷体" w:eastAsia="楷体"/>
          <w:sz w:val="30"/>
          <w:szCs w:val="24"/>
          <w:lang w:val="en-US"/>
        </w:rPr>
        <w:t>2022年度国有资本经营预算财政拨款收入支出决算表为空表。</w:t>
      </w:r>
    </w:p>
    <w:p>
      <w:pPr>
        <w:spacing w:beforeLines="0" w:afterLines="0" w:line="640" w:lineRule="exact"/>
        <w:ind w:firstLine="600"/>
        <w:rPr>
          <w:rFonts w:hint="eastAsia" w:ascii="楷体" w:hAnsi="楷体" w:eastAsia="楷体"/>
          <w:sz w:val="30"/>
          <w:szCs w:val="24"/>
          <w:lang w:val="en-US"/>
        </w:rPr>
      </w:pPr>
      <w:r>
        <w:rPr>
          <w:rFonts w:hint="eastAsia" w:ascii="楷体" w:hAnsi="楷体" w:eastAsia="楷体"/>
          <w:sz w:val="30"/>
          <w:szCs w:val="24"/>
          <w:lang w:val="en-US" w:eastAsia="zh-CN"/>
        </w:rPr>
        <w:t>2</w:t>
      </w:r>
      <w:r>
        <w:rPr>
          <w:rFonts w:hint="eastAsia" w:ascii="楷体" w:hAnsi="楷体" w:eastAsia="楷体"/>
          <w:sz w:val="30"/>
          <w:szCs w:val="24"/>
          <w:lang w:val="en-US"/>
        </w:rPr>
        <w:t>.天津市</w:t>
      </w:r>
      <w:r>
        <w:rPr>
          <w:rFonts w:hint="eastAsia" w:ascii="楷体" w:hAnsi="楷体" w:eastAsia="楷体"/>
          <w:sz w:val="30"/>
          <w:szCs w:val="24"/>
          <w:lang w:val="en-US" w:eastAsia="zh-CN"/>
        </w:rPr>
        <w:t>东丽区民政事务服务中心</w:t>
      </w:r>
      <w:r>
        <w:rPr>
          <w:rFonts w:hint="eastAsia" w:ascii="楷体" w:hAnsi="楷体" w:eastAsia="楷体"/>
          <w:sz w:val="30"/>
          <w:szCs w:val="24"/>
          <w:lang w:val="en-US"/>
        </w:rPr>
        <w:t>2022年度一般公共预算财政拨款</w:t>
      </w:r>
      <w:r>
        <w:rPr>
          <w:rFonts w:hint="default" w:ascii="楷体" w:hAnsi="楷体" w:eastAsia="楷体"/>
          <w:sz w:val="30"/>
          <w:szCs w:val="24"/>
          <w:lang w:val="en-US"/>
        </w:rPr>
        <w:t>“</w:t>
      </w:r>
      <w:r>
        <w:rPr>
          <w:rFonts w:hint="eastAsia" w:ascii="楷体" w:hAnsi="楷体" w:eastAsia="楷体"/>
          <w:sz w:val="30"/>
          <w:szCs w:val="24"/>
          <w:lang w:val="en-US"/>
        </w:rPr>
        <w:t>三公</w:t>
      </w:r>
      <w:r>
        <w:rPr>
          <w:rFonts w:hint="default" w:ascii="楷体" w:hAnsi="楷体" w:eastAsia="楷体"/>
          <w:sz w:val="30"/>
          <w:szCs w:val="24"/>
          <w:lang w:val="en-US"/>
        </w:rPr>
        <w:t>”</w:t>
      </w:r>
      <w:r>
        <w:rPr>
          <w:rFonts w:hint="eastAsia" w:ascii="楷体" w:hAnsi="楷体" w:eastAsia="楷体"/>
          <w:sz w:val="30"/>
          <w:szCs w:val="24"/>
          <w:lang w:val="en-US"/>
        </w:rPr>
        <w:t>经费支出决算表为空表。</w:t>
      </w:r>
    </w:p>
    <w:p>
      <w:pPr>
        <w:spacing w:beforeLines="0" w:afterLines="0" w:line="640" w:lineRule="exact"/>
        <w:ind w:firstLine="600"/>
        <w:rPr>
          <w:rFonts w:hint="eastAsia" w:ascii="楷体" w:hAnsi="楷体" w:eastAsia="楷体"/>
          <w:sz w:val="30"/>
          <w:szCs w:val="24"/>
          <w:lang w:val="en-US"/>
        </w:rPr>
      </w:pP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第三部分  2022年度部门决算情况说明</w:t>
      </w:r>
    </w:p>
    <w:p>
      <w:pPr>
        <w:spacing w:beforeLines="0" w:afterLines="0" w:line="580" w:lineRule="exact"/>
        <w:ind w:firstLine="600"/>
        <w:rPr>
          <w:rFonts w:hint="eastAsia" w:ascii="黑体" w:hAnsi="黑体" w:eastAsia="黑体"/>
          <w:kern w:val="2"/>
          <w:sz w:val="30"/>
          <w:szCs w:val="24"/>
          <w:lang w:val="zh-CN"/>
        </w:rPr>
      </w:pP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pPr>
        <w:spacing w:beforeLines="0" w:afterLines="0" w:line="580" w:lineRule="exact"/>
        <w:ind w:firstLine="602"/>
        <w:rPr>
          <w:rFonts w:hint="eastAsia" w:ascii="仿宋_GB2312" w:hAnsi="仿宋_GB2312" w:eastAsia="仿宋_GB2312"/>
          <w:sz w:val="30"/>
          <w:szCs w:val="24"/>
          <w:lang w:val="zh-CN"/>
        </w:rPr>
      </w:pPr>
      <w:r>
        <w:rPr>
          <w:rFonts w:hint="eastAsia" w:ascii="仿宋" w:hAnsi="仿宋" w:eastAsia="仿宋"/>
          <w:sz w:val="30"/>
          <w:szCs w:val="24"/>
          <w:lang w:val="zh-CN"/>
        </w:rPr>
        <w:t>天津市东丽区民政事务服务中心</w:t>
      </w:r>
      <w:r>
        <w:rPr>
          <w:rFonts w:hint="default" w:ascii="Times New Roman" w:hAnsi="Times New Roman" w:eastAsia="Times New Roman"/>
          <w:sz w:val="30"/>
          <w:szCs w:val="24"/>
          <w:lang w:val="zh-CN"/>
        </w:rPr>
        <w:t>2022</w:t>
      </w:r>
      <w:r>
        <w:rPr>
          <w:rFonts w:hint="eastAsia" w:ascii="仿宋_GB2312" w:hAnsi="仿宋_GB2312" w:eastAsia="仿宋_GB2312"/>
          <w:sz w:val="30"/>
          <w:szCs w:val="24"/>
          <w:lang w:val="zh-CN"/>
        </w:rPr>
        <w:t>年度收入、支出决算总计</w:t>
      </w:r>
      <w:r>
        <w:rPr>
          <w:rFonts w:hint="default" w:ascii="Times New Roman" w:hAnsi="Times New Roman" w:eastAsia="Times New Roman"/>
          <w:kern w:val="2"/>
          <w:sz w:val="30"/>
          <w:szCs w:val="24"/>
          <w:lang w:val="zh-CN"/>
        </w:rPr>
        <w:t>5,471,616.35</w:t>
      </w:r>
      <w:r>
        <w:rPr>
          <w:rFonts w:hint="eastAsia" w:ascii="仿宋_GB2312" w:hAnsi="仿宋_GB2312" w:eastAsia="仿宋_GB2312"/>
          <w:sz w:val="30"/>
          <w:szCs w:val="24"/>
          <w:lang w:val="en-US"/>
        </w:rPr>
        <w:t>元，与</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年度相比，收、支总计各</w:t>
      </w:r>
      <w:r>
        <w:rPr>
          <w:rFonts w:hint="eastAsia" w:ascii="仿宋_GB2312" w:hAnsi="仿宋_GB2312" w:eastAsia="仿宋_GB2312"/>
          <w:kern w:val="2"/>
          <w:sz w:val="30"/>
          <w:szCs w:val="24"/>
          <w:lang w:val="en-US"/>
        </w:rPr>
        <w:t>减少</w:t>
      </w:r>
      <w:r>
        <w:rPr>
          <w:rFonts w:hint="default" w:ascii="Times New Roman" w:hAnsi="Times New Roman" w:eastAsia="Times New Roman"/>
          <w:kern w:val="2"/>
          <w:sz w:val="30"/>
          <w:szCs w:val="24"/>
          <w:lang w:val="en-US"/>
        </w:rPr>
        <w:t>759,401.38</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，下降</w:t>
      </w:r>
      <w:r>
        <w:rPr>
          <w:rFonts w:hint="default" w:ascii="Times New Roman" w:hAnsi="Times New Roman" w:eastAsia="Times New Roman"/>
          <w:kern w:val="2"/>
          <w:sz w:val="30"/>
          <w:szCs w:val="24"/>
          <w:lang w:val="en-US"/>
        </w:rPr>
        <w:t>12.19</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highlight w:val="none"/>
          <w:lang w:val="en-US"/>
        </w:rPr>
        <w:t>，</w:t>
      </w:r>
      <w:r>
        <w:rPr>
          <w:rFonts w:hint="eastAsia" w:ascii="仿宋_GB2312" w:hAnsi="仿宋_GB2312" w:eastAsia="仿宋_GB2312"/>
          <w:sz w:val="30"/>
          <w:szCs w:val="24"/>
          <w:highlight w:val="none"/>
          <w:lang w:val="zh-CN"/>
        </w:rPr>
        <w:t>主要原因是：有人员变化与调资</w:t>
      </w:r>
      <w:r>
        <w:rPr>
          <w:rFonts w:hint="eastAsia" w:ascii="仿宋_GB2312" w:hAnsi="仿宋_GB2312" w:eastAsia="仿宋_GB2312"/>
          <w:sz w:val="30"/>
          <w:szCs w:val="24"/>
          <w:lang w:val="zh-CN"/>
        </w:rPr>
        <w:t>。</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pPr>
        <w:spacing w:beforeLines="0" w:afterLines="0" w:line="60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zh-CN"/>
        </w:rPr>
        <w:t>天津市东丽区民政事务服务中心</w:t>
      </w:r>
      <w:r>
        <w:rPr>
          <w:rFonts w:hint="default" w:ascii="Times New Roman" w:hAnsi="Times New Roman" w:eastAsia="Times New Roman"/>
          <w:kern w:val="2"/>
          <w:sz w:val="30"/>
          <w:szCs w:val="24"/>
          <w:lang w:val="zh-CN"/>
        </w:rPr>
        <w:t>2022</w:t>
      </w:r>
      <w:r>
        <w:rPr>
          <w:rFonts w:hint="eastAsia" w:ascii="仿宋_GB2312" w:hAnsi="仿宋_GB2312" w:eastAsia="仿宋_GB2312"/>
          <w:kern w:val="2"/>
          <w:sz w:val="30"/>
          <w:szCs w:val="24"/>
          <w:lang w:val="zh-CN"/>
        </w:rPr>
        <w:t>年度本年收入合计</w:t>
      </w:r>
      <w:r>
        <w:rPr>
          <w:rFonts w:hint="default" w:ascii="Times New Roman" w:hAnsi="Times New Roman" w:eastAsia="Times New Roman"/>
          <w:kern w:val="2"/>
          <w:sz w:val="30"/>
          <w:szCs w:val="24"/>
          <w:lang w:val="zh-CN"/>
        </w:rPr>
        <w:t>5,460,374.86</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424,530.13</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zh-CN"/>
        </w:rPr>
        <w:t>主要原因是：</w:t>
      </w:r>
      <w:r>
        <w:rPr>
          <w:rFonts w:hint="eastAsia" w:ascii="仿宋_GB2312" w:hAnsi="仿宋_GB2312" w:eastAsia="仿宋_GB2312"/>
          <w:sz w:val="30"/>
          <w:szCs w:val="24"/>
          <w:highlight w:val="none"/>
          <w:lang w:val="zh-CN"/>
        </w:rPr>
        <w:t>有人员变化与调资</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一般公共预算财政拨款收入5,457,343.60元，占99.94%；政府性基金预算财政拨款收入2,065.00元，占0.04%；其他收入966.26元，占0.02%；</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天津市东丽区民政事务服务中心</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年度本年支出合计</w:t>
      </w:r>
      <w:r>
        <w:rPr>
          <w:rFonts w:hint="default" w:ascii="Times New Roman" w:hAnsi="Times New Roman" w:eastAsia="Times New Roman"/>
          <w:kern w:val="2"/>
          <w:sz w:val="30"/>
          <w:szCs w:val="24"/>
          <w:lang w:val="en-US"/>
        </w:rPr>
        <w:t>5,470,650.09</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年度相比减少</w:t>
      </w:r>
      <w:r>
        <w:rPr>
          <w:rFonts w:hint="default" w:ascii="Times New Roman" w:hAnsi="Times New Roman" w:eastAsia="Times New Roman"/>
          <w:kern w:val="2"/>
          <w:sz w:val="30"/>
          <w:szCs w:val="24"/>
          <w:lang w:val="en-US"/>
        </w:rPr>
        <w:t>748,476.23</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highlight w:val="none"/>
          <w:lang w:val="zh-CN"/>
        </w:rPr>
        <w:t>有人员变化与调资</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基本支出3,933,255.75元，占71.90%；项目支出1,537,394.34元，占28.10%；</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天津市东丽区民政事务服务中心</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年度财政拨款收入、支出决算总计</w:t>
      </w:r>
      <w:r>
        <w:rPr>
          <w:rFonts w:hint="default" w:ascii="Times New Roman" w:hAnsi="Times New Roman" w:eastAsia="Times New Roman"/>
          <w:kern w:val="2"/>
          <w:sz w:val="30"/>
          <w:szCs w:val="24"/>
          <w:lang w:val="zh-CN"/>
        </w:rPr>
        <w:t>5,470,650.09</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年度相比，财政拨款收、支总计各减少</w:t>
      </w:r>
      <w:r>
        <w:rPr>
          <w:rFonts w:hint="default" w:ascii="Times New Roman" w:hAnsi="Times New Roman" w:eastAsia="Times New Roman"/>
          <w:kern w:val="2"/>
          <w:sz w:val="30"/>
          <w:szCs w:val="24"/>
          <w:lang w:val="en-US"/>
        </w:rPr>
        <w:t>759,717.72</w:t>
      </w:r>
      <w:r>
        <w:rPr>
          <w:rFonts w:hint="eastAsia" w:ascii="仿宋_GB2312" w:hAnsi="仿宋_GB2312" w:eastAsia="仿宋_GB2312"/>
          <w:kern w:val="2"/>
          <w:sz w:val="30"/>
          <w:szCs w:val="24"/>
          <w:lang w:val="en-US"/>
        </w:rPr>
        <w:t>元，下降</w:t>
      </w:r>
      <w:r>
        <w:rPr>
          <w:rFonts w:hint="default" w:ascii="Times New Roman" w:hAnsi="Times New Roman" w:eastAsia="Times New Roman"/>
          <w:kern w:val="2"/>
          <w:sz w:val="30"/>
          <w:szCs w:val="24"/>
          <w:lang w:val="en-US"/>
        </w:rPr>
        <w:t>12.19%</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highlight w:val="none"/>
          <w:lang w:val="zh-CN"/>
        </w:rPr>
        <w:t>有人员变化与调资</w:t>
      </w:r>
      <w:r>
        <w:rPr>
          <w:rFonts w:hint="eastAsia" w:ascii="仿宋_GB2312" w:hAnsi="仿宋_GB2312" w:eastAsia="仿宋_GB2312"/>
          <w:kern w:val="2"/>
          <w:sz w:val="30"/>
          <w:szCs w:val="24"/>
          <w:lang w:val="zh-CN"/>
        </w:rPr>
        <w:t>。</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pPr>
        <w:spacing w:beforeLines="0" w:afterLines="0" w:line="580" w:lineRule="exact"/>
        <w:ind w:firstLine="600"/>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天津市东丽区民政事务服务中心</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年度一般公共预算财政拨款支出</w:t>
      </w:r>
      <w:r>
        <w:rPr>
          <w:rFonts w:hint="eastAsia" w:ascii="仿宋_GB2312" w:hAnsi="仿宋_GB2312" w:eastAsia="仿宋_GB2312"/>
          <w:kern w:val="2"/>
          <w:sz w:val="30"/>
          <w:szCs w:val="24"/>
          <w:lang w:val="zh-CN"/>
        </w:rPr>
        <w:t>合</w:t>
      </w:r>
      <w:r>
        <w:rPr>
          <w:rFonts w:hint="eastAsia" w:ascii="仿宋_GB2312" w:hAnsi="仿宋_GB2312" w:eastAsia="仿宋_GB2312"/>
          <w:kern w:val="2"/>
          <w:sz w:val="30"/>
          <w:szCs w:val="24"/>
          <w:lang w:val="en-US"/>
        </w:rPr>
        <w:t>计</w:t>
      </w:r>
      <w:r>
        <w:rPr>
          <w:rFonts w:hint="default" w:ascii="Times New Roman" w:hAnsi="Times New Roman" w:eastAsia="Times New Roman"/>
          <w:kern w:val="2"/>
          <w:sz w:val="30"/>
          <w:szCs w:val="24"/>
          <w:lang w:val="en-US"/>
        </w:rPr>
        <w:t>5,468,585.09</w:t>
      </w:r>
      <w:r>
        <w:rPr>
          <w:rFonts w:hint="eastAsia" w:ascii="仿宋_GB2312" w:hAnsi="仿宋_GB2312" w:eastAsia="仿宋_GB2312"/>
          <w:kern w:val="2"/>
          <w:sz w:val="30"/>
          <w:szCs w:val="24"/>
          <w:lang w:val="en-US"/>
        </w:rPr>
        <w:t>元，占本年支出合计的</w:t>
      </w:r>
      <w:r>
        <w:rPr>
          <w:rFonts w:hint="default" w:ascii="Times New Roman" w:hAnsi="Times New Roman" w:eastAsia="Times New Roman"/>
          <w:kern w:val="2"/>
          <w:sz w:val="30"/>
          <w:szCs w:val="24"/>
          <w:lang w:val="en-US"/>
        </w:rPr>
        <w:t>99.96%</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年度相比，减少</w:t>
      </w:r>
      <w:r>
        <w:rPr>
          <w:rFonts w:hint="default" w:ascii="Times New Roman" w:hAnsi="Times New Roman" w:eastAsia="Times New Roman"/>
          <w:kern w:val="2"/>
          <w:sz w:val="30"/>
          <w:szCs w:val="24"/>
          <w:lang w:val="en-US"/>
        </w:rPr>
        <w:t>707,607.48</w:t>
      </w:r>
      <w:r>
        <w:rPr>
          <w:rFonts w:hint="eastAsia" w:ascii="仿宋_GB2312" w:hAnsi="仿宋_GB2312" w:eastAsia="仿宋_GB2312"/>
          <w:kern w:val="2"/>
          <w:sz w:val="30"/>
          <w:szCs w:val="24"/>
          <w:lang w:val="en-US"/>
        </w:rPr>
        <w:t>元，下降</w:t>
      </w:r>
      <w:r>
        <w:rPr>
          <w:rFonts w:hint="default" w:ascii="Times New Roman" w:hAnsi="Times New Roman" w:eastAsia="Times New Roman"/>
          <w:kern w:val="2"/>
          <w:sz w:val="30"/>
          <w:szCs w:val="24"/>
          <w:lang w:val="en-US"/>
        </w:rPr>
        <w:t>11.46%</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highlight w:val="none"/>
          <w:lang w:val="zh-CN"/>
        </w:rPr>
        <w:t>有人员变化与调资</w:t>
      </w:r>
      <w:r>
        <w:rPr>
          <w:rFonts w:hint="eastAsia" w:ascii="仿宋_GB2312" w:hAnsi="仿宋_GB2312" w:eastAsia="仿宋_GB2312"/>
          <w:kern w:val="2"/>
          <w:sz w:val="30"/>
          <w:szCs w:val="24"/>
          <w:lang w:val="en-US"/>
        </w:rPr>
        <w:t>。</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pPr>
        <w:spacing w:beforeLines="0" w:afterLines="0" w:line="600" w:lineRule="exact"/>
        <w:ind w:firstLine="720"/>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en-US"/>
        </w:rPr>
        <w:t>2022年度一般公共预算财政拨款支出</w:t>
      </w:r>
      <w:r>
        <w:rPr>
          <w:rFonts w:hint="default" w:ascii="Times New Roman" w:hAnsi="Times New Roman" w:eastAsia="Times New Roman"/>
          <w:kern w:val="2"/>
          <w:sz w:val="30"/>
          <w:szCs w:val="24"/>
          <w:lang w:val="en-US"/>
        </w:rPr>
        <w:t>5,468,585.09</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主要用于以下方面：</w:t>
      </w:r>
      <w:r>
        <w:rPr>
          <w:rFonts w:hint="eastAsia" w:ascii="仿宋_GB2312" w:hAnsi="仿宋_GB2312" w:eastAsia="仿宋_GB2312"/>
          <w:kern w:val="2"/>
          <w:sz w:val="30"/>
          <w:szCs w:val="24"/>
          <w:lang w:val="zh-CN"/>
        </w:rPr>
        <w:t>社会保障和就业支出5,298,374.42元，占96.89%；卫生健康支出170,210.67元，占3.11%；</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pPr>
        <w:spacing w:beforeLines="0" w:afterLines="0"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2022年度一般公共预算财政拨款支出年初预算为</w:t>
      </w:r>
      <w:r>
        <w:rPr>
          <w:rFonts w:hint="default" w:ascii="Times New Roman" w:hAnsi="Times New Roman" w:eastAsia="Times New Roman"/>
          <w:kern w:val="2"/>
          <w:sz w:val="30"/>
          <w:szCs w:val="24"/>
          <w:lang w:val="en-US"/>
        </w:rPr>
        <w:t>5,751,867.37</w:t>
      </w:r>
      <w:r>
        <w:rPr>
          <w:rFonts w:hint="eastAsia" w:ascii="仿宋_GB2312" w:hAnsi="仿宋_GB2312" w:eastAsia="仿宋_GB2312"/>
          <w:sz w:val="30"/>
          <w:szCs w:val="24"/>
          <w:lang w:val="en-US"/>
        </w:rPr>
        <w:t>元，支出决算为</w:t>
      </w:r>
      <w:r>
        <w:rPr>
          <w:rFonts w:hint="default" w:ascii="Times New Roman" w:hAnsi="Times New Roman" w:eastAsia="Times New Roman"/>
          <w:kern w:val="2"/>
          <w:sz w:val="30"/>
          <w:szCs w:val="24"/>
          <w:lang w:val="en-US"/>
        </w:rPr>
        <w:t>5,468,585.09</w:t>
      </w:r>
      <w:r>
        <w:rPr>
          <w:rFonts w:hint="eastAsia" w:ascii="仿宋_GB2312" w:hAnsi="仿宋_GB2312" w:eastAsia="仿宋_GB2312"/>
          <w:sz w:val="30"/>
          <w:szCs w:val="24"/>
          <w:lang w:val="en-US"/>
        </w:rPr>
        <w:t>元，完成年初预算的</w:t>
      </w:r>
      <w:r>
        <w:rPr>
          <w:rFonts w:hint="default" w:ascii="Times New Roman" w:hAnsi="Times New Roman" w:eastAsia="Times New Roman"/>
          <w:kern w:val="2"/>
          <w:sz w:val="30"/>
          <w:szCs w:val="24"/>
          <w:lang w:val="en-US"/>
        </w:rPr>
        <w:t>95.07</w:t>
      </w:r>
      <w:r>
        <w:rPr>
          <w:rFonts w:hint="eastAsia" w:ascii="仿宋_GB2312" w:hAnsi="仿宋_GB2312" w:eastAsia="仿宋_GB2312"/>
          <w:sz w:val="30"/>
          <w:szCs w:val="24"/>
          <w:lang w:val="en-US"/>
        </w:rPr>
        <w:t>%。其中：</w:t>
      </w:r>
    </w:p>
    <w:p>
      <w:pPr>
        <w:spacing w:beforeLines="0" w:afterLines="0" w:line="600" w:lineRule="exact"/>
        <w:ind w:firstLine="600"/>
        <w:rPr>
          <w:rFonts w:hint="eastAsia" w:ascii="仿宋_GB2312" w:hAnsi="仿宋_GB2312" w:eastAsia="仿宋_GB2312"/>
          <w:sz w:val="30"/>
          <w:szCs w:val="24"/>
          <w:u w:val="none"/>
          <w:lang w:val="en-US"/>
        </w:rPr>
      </w:pPr>
      <w:r>
        <w:rPr>
          <w:rFonts w:hint="eastAsia" w:ascii="仿宋_GB2312" w:hAnsi="仿宋_GB2312" w:eastAsia="仿宋_GB2312"/>
          <w:sz w:val="30"/>
          <w:szCs w:val="24"/>
          <w:lang w:val="en-US" w:eastAsia="zh-CN"/>
        </w:rPr>
        <w:t>1.</w:t>
      </w:r>
      <w:r>
        <w:rPr>
          <w:rFonts w:hint="default" w:ascii="仿宋_GB2312" w:hAnsi="仿宋_GB2312" w:eastAsia="仿宋_GB2312"/>
          <w:sz w:val="30"/>
          <w:szCs w:val="24"/>
          <w:lang w:val="en-US" w:eastAsia="zh-CN"/>
        </w:rPr>
        <w:t xml:space="preserve"> </w:t>
      </w:r>
      <w:r>
        <w:rPr>
          <w:rFonts w:hint="eastAsia" w:ascii="仿宋_GB2312" w:hAnsi="仿宋_GB2312" w:eastAsia="仿宋_GB2312"/>
          <w:sz w:val="30"/>
          <w:szCs w:val="24"/>
          <w:lang w:val="en-US" w:eastAsia="zh-CN"/>
        </w:rPr>
        <w:t>208社会保障和就业支出（类）02民政管理事务（款）99其他民政管理事务支出</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u w:val="none"/>
          <w:lang w:val="en-US"/>
        </w:rPr>
        <w:t>1</w:t>
      </w:r>
      <w:r>
        <w:rPr>
          <w:rFonts w:hint="eastAsia"/>
          <w:sz w:val="30"/>
          <w:szCs w:val="24"/>
          <w:u w:val="none"/>
          <w:lang w:val="en-US" w:eastAsia="zh-CN"/>
        </w:rPr>
        <w:t>,</w:t>
      </w:r>
      <w:r>
        <w:rPr>
          <w:rFonts w:hint="default" w:ascii="Times New Roman" w:hAnsi="Times New Roman" w:eastAsia="Times New Roman"/>
          <w:sz w:val="30"/>
          <w:szCs w:val="24"/>
          <w:u w:val="none"/>
          <w:lang w:val="en-US"/>
        </w:rPr>
        <w:t>394</w:t>
      </w:r>
      <w:r>
        <w:rPr>
          <w:rFonts w:hint="eastAsia"/>
          <w:sz w:val="30"/>
          <w:szCs w:val="24"/>
          <w:u w:val="none"/>
          <w:lang w:val="en-US" w:eastAsia="zh-CN"/>
        </w:rPr>
        <w:t>,</w:t>
      </w:r>
      <w:r>
        <w:rPr>
          <w:rFonts w:hint="default" w:ascii="Times New Roman" w:hAnsi="Times New Roman" w:eastAsia="Times New Roman"/>
          <w:sz w:val="30"/>
          <w:szCs w:val="24"/>
          <w:u w:val="none"/>
          <w:lang w:val="en-US"/>
        </w:rPr>
        <w:t>250.00</w:t>
      </w:r>
      <w:r>
        <w:rPr>
          <w:rFonts w:hint="eastAsia" w:ascii="仿宋_GB2312" w:hAnsi="仿宋_GB2312" w:eastAsia="仿宋_GB2312"/>
          <w:sz w:val="30"/>
          <w:szCs w:val="24"/>
          <w:u w:val="none"/>
          <w:lang w:val="en-US"/>
        </w:rPr>
        <w:t>元，支出决算为</w:t>
      </w:r>
      <w:r>
        <w:rPr>
          <w:rFonts w:hint="default" w:ascii="Times New Roman" w:hAnsi="Times New Roman" w:eastAsia="Times New Roman"/>
          <w:sz w:val="30"/>
          <w:szCs w:val="24"/>
          <w:u w:val="none"/>
          <w:lang w:val="en-US"/>
        </w:rPr>
        <w:t>1</w:t>
      </w:r>
      <w:r>
        <w:rPr>
          <w:rFonts w:hint="eastAsia"/>
          <w:sz w:val="30"/>
          <w:szCs w:val="24"/>
          <w:u w:val="none"/>
          <w:lang w:val="en-US" w:eastAsia="zh-CN"/>
        </w:rPr>
        <w:t>,</w:t>
      </w:r>
      <w:r>
        <w:rPr>
          <w:rFonts w:hint="default" w:ascii="Times New Roman" w:hAnsi="Times New Roman" w:eastAsia="Times New Roman"/>
          <w:sz w:val="30"/>
          <w:szCs w:val="24"/>
          <w:u w:val="none"/>
          <w:lang w:val="en-US"/>
        </w:rPr>
        <w:t>267</w:t>
      </w:r>
      <w:r>
        <w:rPr>
          <w:rFonts w:hint="eastAsia"/>
          <w:sz w:val="30"/>
          <w:szCs w:val="24"/>
          <w:u w:val="none"/>
          <w:lang w:val="en-US" w:eastAsia="zh-CN"/>
        </w:rPr>
        <w:t>,</w:t>
      </w:r>
      <w:r>
        <w:rPr>
          <w:rFonts w:hint="default" w:ascii="Times New Roman" w:hAnsi="Times New Roman" w:eastAsia="Times New Roman"/>
          <w:sz w:val="30"/>
          <w:szCs w:val="24"/>
          <w:u w:val="none"/>
          <w:lang w:val="en-US"/>
        </w:rPr>
        <w:t>690</w:t>
      </w:r>
      <w:r>
        <w:rPr>
          <w:rFonts w:hint="eastAsia" w:ascii="仿宋_GB2312" w:hAnsi="仿宋_GB2312" w:eastAsia="仿宋_GB2312"/>
          <w:sz w:val="30"/>
          <w:szCs w:val="24"/>
          <w:u w:val="none"/>
          <w:lang w:val="en-US"/>
        </w:rPr>
        <w:t>元，完成年初预算的</w:t>
      </w:r>
      <w:r>
        <w:rPr>
          <w:rFonts w:hint="eastAsia"/>
          <w:sz w:val="30"/>
          <w:szCs w:val="24"/>
          <w:u w:val="none"/>
          <w:lang w:val="en-US" w:eastAsia="zh-CN"/>
        </w:rPr>
        <w:t>90.92</w:t>
      </w:r>
      <w:r>
        <w:rPr>
          <w:rFonts w:hint="eastAsia" w:ascii="仿宋_GB2312" w:hAnsi="仿宋_GB2312" w:eastAsia="仿宋_GB2312"/>
          <w:sz w:val="30"/>
          <w:szCs w:val="24"/>
          <w:u w:val="none"/>
          <w:lang w:val="en-US"/>
        </w:rPr>
        <w:t>%，决算数小于年初预算数的主要原因是</w:t>
      </w:r>
      <w:r>
        <w:rPr>
          <w:rFonts w:hint="eastAsia" w:ascii="仿宋_GB2312" w:hAnsi="仿宋_GB2312" w:eastAsia="仿宋_GB2312"/>
          <w:sz w:val="30"/>
          <w:szCs w:val="24"/>
          <w:u w:val="none"/>
          <w:lang w:val="en-US" w:eastAsia="zh-CN"/>
        </w:rPr>
        <w:t>减少支出节约经费</w:t>
      </w:r>
      <w:r>
        <w:rPr>
          <w:rFonts w:hint="eastAsia" w:ascii="仿宋_GB2312" w:hAnsi="仿宋_GB2312" w:eastAsia="仿宋_GB2312"/>
          <w:sz w:val="30"/>
          <w:szCs w:val="24"/>
          <w:u w:val="none"/>
          <w:lang w:val="en-US"/>
        </w:rPr>
        <w:t>。</w:t>
      </w:r>
    </w:p>
    <w:p>
      <w:pPr>
        <w:spacing w:beforeLines="0" w:afterLines="0" w:line="600" w:lineRule="exact"/>
        <w:ind w:firstLine="600"/>
        <w:rPr>
          <w:rFonts w:hint="eastAsia" w:ascii="仿宋_GB2312" w:hAnsi="仿宋_GB2312" w:eastAsia="仿宋_GB2312"/>
          <w:sz w:val="30"/>
          <w:szCs w:val="24"/>
          <w:u w:val="none"/>
          <w:lang w:val="en-US"/>
        </w:rPr>
      </w:pPr>
      <w:r>
        <w:rPr>
          <w:rFonts w:hint="eastAsia" w:ascii="仿宋_GB2312" w:hAnsi="仿宋_GB2312" w:eastAsia="仿宋_GB2312"/>
          <w:sz w:val="30"/>
          <w:szCs w:val="24"/>
          <w:lang w:val="en-US" w:eastAsia="zh-CN"/>
        </w:rPr>
        <w:t>2.</w:t>
      </w:r>
      <w:r>
        <w:rPr>
          <w:rFonts w:hint="default" w:ascii="仿宋_GB2312" w:hAnsi="仿宋_GB2312" w:eastAsia="仿宋_GB2312"/>
          <w:sz w:val="30"/>
          <w:szCs w:val="24"/>
          <w:lang w:val="en-US" w:eastAsia="zh-CN"/>
        </w:rPr>
        <w:t xml:space="preserve"> </w:t>
      </w:r>
      <w:r>
        <w:rPr>
          <w:rFonts w:hint="eastAsia" w:ascii="仿宋_GB2312" w:hAnsi="仿宋_GB2312" w:eastAsia="仿宋_GB2312"/>
          <w:sz w:val="30"/>
          <w:szCs w:val="24"/>
          <w:lang w:val="en-US" w:eastAsia="zh-CN"/>
        </w:rPr>
        <w:t>208社会保障和就业支出（类）05行政事业单位养老支出（款）05机关事业单位基本养老保险缴费支出</w:t>
      </w:r>
      <w:r>
        <w:rPr>
          <w:rFonts w:hint="eastAsia" w:ascii="仿宋_GB2312" w:hAnsi="仿宋_GB2312" w:eastAsia="仿宋_GB2312"/>
          <w:sz w:val="30"/>
          <w:szCs w:val="24"/>
          <w:lang w:val="en-US"/>
        </w:rPr>
        <w:t>（项）年</w:t>
      </w:r>
      <w:r>
        <w:rPr>
          <w:rFonts w:hint="eastAsia" w:ascii="仿宋_GB2312" w:hAnsi="仿宋_GB2312" w:eastAsia="仿宋_GB2312"/>
          <w:sz w:val="30"/>
          <w:szCs w:val="24"/>
          <w:u w:val="none"/>
          <w:lang w:val="en-US"/>
        </w:rPr>
        <w:t>初预算为</w:t>
      </w:r>
      <w:r>
        <w:rPr>
          <w:rFonts w:hint="default" w:ascii="Times New Roman" w:hAnsi="Times New Roman" w:eastAsia="Times New Roman"/>
          <w:sz w:val="30"/>
          <w:szCs w:val="24"/>
          <w:u w:val="none"/>
          <w:lang w:val="en-US"/>
        </w:rPr>
        <w:t>248</w:t>
      </w:r>
      <w:r>
        <w:rPr>
          <w:rFonts w:hint="eastAsia"/>
          <w:sz w:val="30"/>
          <w:szCs w:val="24"/>
          <w:u w:val="none"/>
          <w:lang w:val="en-US" w:eastAsia="zh-CN"/>
        </w:rPr>
        <w:t>,</w:t>
      </w:r>
      <w:r>
        <w:rPr>
          <w:rFonts w:hint="default" w:ascii="Times New Roman" w:hAnsi="Times New Roman" w:eastAsia="Times New Roman"/>
          <w:sz w:val="30"/>
          <w:szCs w:val="24"/>
          <w:u w:val="none"/>
          <w:lang w:val="en-US"/>
        </w:rPr>
        <w:t>121.60</w:t>
      </w:r>
      <w:r>
        <w:rPr>
          <w:rFonts w:hint="eastAsia" w:ascii="仿宋_GB2312" w:hAnsi="仿宋_GB2312" w:eastAsia="仿宋_GB2312"/>
          <w:sz w:val="30"/>
          <w:szCs w:val="24"/>
          <w:u w:val="none"/>
          <w:lang w:val="en-US"/>
        </w:rPr>
        <w:t>元，支出决算为</w:t>
      </w:r>
      <w:r>
        <w:rPr>
          <w:rFonts w:hint="default" w:ascii="Times New Roman" w:hAnsi="Times New Roman" w:eastAsia="Times New Roman"/>
          <w:sz w:val="30"/>
          <w:szCs w:val="24"/>
          <w:u w:val="none"/>
          <w:lang w:val="en-US"/>
        </w:rPr>
        <w:t>248</w:t>
      </w:r>
      <w:r>
        <w:rPr>
          <w:rFonts w:hint="eastAsia"/>
          <w:sz w:val="30"/>
          <w:szCs w:val="24"/>
          <w:u w:val="none"/>
          <w:lang w:val="en-US" w:eastAsia="zh-CN"/>
        </w:rPr>
        <w:t>,</w:t>
      </w:r>
      <w:r>
        <w:rPr>
          <w:rFonts w:hint="default" w:ascii="Times New Roman" w:hAnsi="Times New Roman" w:eastAsia="Times New Roman"/>
          <w:sz w:val="30"/>
          <w:szCs w:val="24"/>
          <w:u w:val="none"/>
          <w:lang w:val="en-US"/>
        </w:rPr>
        <w:t>121.6</w:t>
      </w:r>
      <w:r>
        <w:rPr>
          <w:rFonts w:hint="eastAsia" w:ascii="仿宋_GB2312" w:hAnsi="仿宋_GB2312" w:eastAsia="仿宋_GB2312"/>
          <w:sz w:val="30"/>
          <w:szCs w:val="24"/>
          <w:u w:val="none"/>
          <w:lang w:val="en-US"/>
        </w:rPr>
        <w:t>元，完成年初预算的</w:t>
      </w:r>
      <w:r>
        <w:rPr>
          <w:rFonts w:hint="eastAsia"/>
          <w:sz w:val="30"/>
          <w:szCs w:val="24"/>
          <w:u w:val="none"/>
          <w:lang w:val="en-US" w:eastAsia="zh-CN"/>
        </w:rPr>
        <w:t>100.00</w:t>
      </w:r>
      <w:r>
        <w:rPr>
          <w:rFonts w:hint="eastAsia" w:ascii="仿宋_GB2312" w:hAnsi="仿宋_GB2312" w:eastAsia="仿宋_GB2312"/>
          <w:sz w:val="30"/>
          <w:szCs w:val="24"/>
          <w:u w:val="none"/>
          <w:lang w:val="en-US"/>
        </w:rPr>
        <w:t>%，决算数</w:t>
      </w:r>
      <w:r>
        <w:rPr>
          <w:rFonts w:hint="eastAsia" w:ascii="仿宋_GB2312" w:hAnsi="仿宋_GB2312" w:eastAsia="仿宋_GB2312"/>
          <w:sz w:val="30"/>
          <w:szCs w:val="24"/>
          <w:u w:val="none"/>
          <w:lang w:val="en-US" w:eastAsia="zh-CN"/>
        </w:rPr>
        <w:t>与</w:t>
      </w:r>
      <w:r>
        <w:rPr>
          <w:rFonts w:hint="eastAsia" w:ascii="仿宋_GB2312" w:hAnsi="仿宋_GB2312" w:eastAsia="仿宋_GB2312"/>
          <w:sz w:val="30"/>
          <w:szCs w:val="24"/>
          <w:u w:val="none"/>
          <w:lang w:val="en-US"/>
        </w:rPr>
        <w:t>年初预算数</w:t>
      </w:r>
      <w:r>
        <w:rPr>
          <w:rFonts w:hint="eastAsia" w:ascii="仿宋_GB2312" w:hAnsi="仿宋_GB2312" w:eastAsia="仿宋_GB2312"/>
          <w:sz w:val="30"/>
          <w:szCs w:val="24"/>
          <w:u w:val="none"/>
          <w:lang w:val="en-US" w:eastAsia="zh-CN"/>
        </w:rPr>
        <w:t>持平</w:t>
      </w:r>
      <w:r>
        <w:rPr>
          <w:rFonts w:hint="eastAsia" w:ascii="仿宋_GB2312" w:hAnsi="仿宋_GB2312" w:eastAsia="仿宋_GB2312"/>
          <w:sz w:val="30"/>
          <w:szCs w:val="24"/>
          <w:u w:val="none"/>
          <w:lang w:val="en-US"/>
        </w:rPr>
        <w:t>。</w:t>
      </w:r>
    </w:p>
    <w:p>
      <w:pPr>
        <w:spacing w:beforeLines="0" w:afterLines="0"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3.</w:t>
      </w:r>
      <w:r>
        <w:rPr>
          <w:rFonts w:hint="default" w:ascii="仿宋_GB2312" w:hAnsi="仿宋_GB2312" w:eastAsia="仿宋_GB2312"/>
          <w:sz w:val="30"/>
          <w:szCs w:val="24"/>
          <w:lang w:val="en-US" w:eastAsia="zh-CN"/>
        </w:rPr>
        <w:t xml:space="preserve"> </w:t>
      </w:r>
      <w:r>
        <w:rPr>
          <w:rFonts w:hint="eastAsia" w:ascii="仿宋_GB2312" w:hAnsi="仿宋_GB2312" w:eastAsia="仿宋_GB2312"/>
          <w:sz w:val="30"/>
          <w:szCs w:val="24"/>
          <w:lang w:val="en-US" w:eastAsia="zh-CN"/>
        </w:rPr>
        <w:t>208社会保障和就业支出（类）05行政事业单位养老支出（款）06机关事业单位职业年金缴费支出</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u w:val="none"/>
          <w:lang w:val="en-US"/>
        </w:rPr>
        <w:t>124</w:t>
      </w:r>
      <w:r>
        <w:rPr>
          <w:rFonts w:hint="eastAsia"/>
          <w:sz w:val="30"/>
          <w:szCs w:val="24"/>
          <w:u w:val="none"/>
          <w:lang w:val="en-US" w:eastAsia="zh-CN"/>
        </w:rPr>
        <w:t>,</w:t>
      </w:r>
      <w:r>
        <w:rPr>
          <w:rFonts w:hint="default" w:ascii="Times New Roman" w:hAnsi="Times New Roman" w:eastAsia="Times New Roman"/>
          <w:sz w:val="30"/>
          <w:szCs w:val="24"/>
          <w:u w:val="none"/>
          <w:lang w:val="en-US"/>
        </w:rPr>
        <w:t>060.80</w:t>
      </w:r>
      <w:r>
        <w:rPr>
          <w:rFonts w:hint="eastAsia" w:ascii="仿宋_GB2312" w:hAnsi="仿宋_GB2312" w:eastAsia="仿宋_GB2312"/>
          <w:sz w:val="30"/>
          <w:szCs w:val="24"/>
          <w:lang w:val="en-US"/>
        </w:rPr>
        <w:t>元，支出决算为</w:t>
      </w:r>
      <w:r>
        <w:rPr>
          <w:rFonts w:hint="default" w:ascii="Times New Roman" w:hAnsi="Times New Roman" w:eastAsia="Times New Roman"/>
          <w:sz w:val="30"/>
          <w:szCs w:val="24"/>
          <w:u w:val="none"/>
          <w:lang w:val="en-US"/>
        </w:rPr>
        <w:t>124</w:t>
      </w:r>
      <w:r>
        <w:rPr>
          <w:rFonts w:hint="eastAsia"/>
          <w:sz w:val="30"/>
          <w:szCs w:val="24"/>
          <w:u w:val="none"/>
          <w:lang w:val="en-US" w:eastAsia="zh-CN"/>
        </w:rPr>
        <w:t>,</w:t>
      </w:r>
      <w:r>
        <w:rPr>
          <w:rFonts w:hint="default" w:ascii="Times New Roman" w:hAnsi="Times New Roman" w:eastAsia="Times New Roman"/>
          <w:sz w:val="30"/>
          <w:szCs w:val="24"/>
          <w:u w:val="none"/>
          <w:lang w:val="en-US"/>
        </w:rPr>
        <w:t>060.80</w:t>
      </w:r>
      <w:r>
        <w:rPr>
          <w:rFonts w:hint="eastAsia" w:ascii="仿宋_GB2312" w:hAnsi="仿宋_GB2312" w:eastAsia="仿宋_GB2312"/>
          <w:sz w:val="30"/>
          <w:szCs w:val="24"/>
          <w:lang w:val="en-US"/>
        </w:rPr>
        <w:t>元，完成年初预算的</w:t>
      </w:r>
      <w:r>
        <w:rPr>
          <w:rFonts w:hint="eastAsia"/>
          <w:sz w:val="30"/>
          <w:szCs w:val="24"/>
          <w:u w:val="none"/>
          <w:lang w:val="en-US" w:eastAsia="zh-CN"/>
        </w:rPr>
        <w:t>100.00</w:t>
      </w:r>
      <w:r>
        <w:rPr>
          <w:rFonts w:hint="eastAsia" w:ascii="仿宋_GB2312" w:hAnsi="仿宋_GB2312" w:eastAsia="仿宋_GB2312"/>
          <w:sz w:val="30"/>
          <w:szCs w:val="24"/>
          <w:lang w:val="en-US"/>
        </w:rPr>
        <w:t>%，决算数</w:t>
      </w:r>
      <w:r>
        <w:rPr>
          <w:rFonts w:hint="eastAsia" w:ascii="仿宋_GB2312" w:hAnsi="仿宋_GB2312" w:eastAsia="仿宋_GB2312"/>
          <w:sz w:val="30"/>
          <w:szCs w:val="24"/>
          <w:lang w:val="en-US" w:eastAsia="zh-CN"/>
        </w:rPr>
        <w:t>与</w:t>
      </w:r>
      <w:r>
        <w:rPr>
          <w:rFonts w:hint="eastAsia" w:ascii="仿宋_GB2312" w:hAnsi="仿宋_GB2312" w:eastAsia="仿宋_GB2312"/>
          <w:sz w:val="30"/>
          <w:szCs w:val="24"/>
          <w:lang w:val="en-US"/>
        </w:rPr>
        <w:t>年初预算数</w:t>
      </w:r>
      <w:r>
        <w:rPr>
          <w:rFonts w:hint="eastAsia" w:ascii="仿宋_GB2312" w:hAnsi="仿宋_GB2312" w:eastAsia="仿宋_GB2312"/>
          <w:sz w:val="30"/>
          <w:szCs w:val="24"/>
          <w:lang w:val="en-US" w:eastAsia="zh-CN"/>
        </w:rPr>
        <w:t>持平。</w:t>
      </w:r>
    </w:p>
    <w:p>
      <w:pPr>
        <w:spacing w:beforeLines="0" w:afterLines="0"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4.</w:t>
      </w:r>
      <w:r>
        <w:rPr>
          <w:rFonts w:hint="default" w:ascii="仿宋_GB2312" w:hAnsi="仿宋_GB2312" w:eastAsia="仿宋_GB2312"/>
          <w:sz w:val="30"/>
          <w:szCs w:val="24"/>
          <w:lang w:val="en-US" w:eastAsia="zh-CN"/>
        </w:rPr>
        <w:t xml:space="preserve"> </w:t>
      </w:r>
      <w:r>
        <w:rPr>
          <w:rFonts w:hint="eastAsia" w:ascii="仿宋_GB2312" w:hAnsi="仿宋_GB2312" w:eastAsia="仿宋_GB2312"/>
          <w:sz w:val="30"/>
          <w:szCs w:val="24"/>
          <w:lang w:val="en-US" w:eastAsia="zh-CN"/>
        </w:rPr>
        <w:t>208社会保障和就业支出（类）05行政事业单位养老支出（款）99其他行政事业单位养老支出</w:t>
      </w:r>
      <w:r>
        <w:rPr>
          <w:rFonts w:hint="eastAsia" w:ascii="仿宋_GB2312" w:hAnsi="仿宋_GB2312" w:eastAsia="仿宋_GB2312"/>
          <w:sz w:val="30"/>
          <w:szCs w:val="24"/>
          <w:lang w:val="en-US"/>
        </w:rPr>
        <w:t>（项）年初预算为</w:t>
      </w:r>
      <w:r>
        <w:rPr>
          <w:rFonts w:hint="eastAsia"/>
          <w:sz w:val="30"/>
          <w:szCs w:val="24"/>
          <w:u w:val="none"/>
          <w:lang w:val="en-US" w:eastAsia="zh-CN"/>
        </w:rPr>
        <w:t>260,000.00</w:t>
      </w:r>
      <w:r>
        <w:rPr>
          <w:rFonts w:hint="eastAsia" w:ascii="仿宋_GB2312" w:hAnsi="仿宋_GB2312" w:eastAsia="仿宋_GB2312"/>
          <w:sz w:val="30"/>
          <w:szCs w:val="24"/>
          <w:lang w:val="en-US"/>
        </w:rPr>
        <w:t>元，支出决算为</w:t>
      </w:r>
      <w:r>
        <w:rPr>
          <w:rFonts w:hint="eastAsia"/>
          <w:sz w:val="30"/>
          <w:szCs w:val="24"/>
          <w:u w:val="none"/>
          <w:lang w:val="en-US" w:eastAsia="zh-CN"/>
        </w:rPr>
        <w:t>139,899.40</w:t>
      </w:r>
      <w:r>
        <w:rPr>
          <w:rFonts w:hint="eastAsia" w:ascii="仿宋_GB2312" w:hAnsi="仿宋_GB2312" w:eastAsia="仿宋_GB2312"/>
          <w:sz w:val="30"/>
          <w:szCs w:val="24"/>
          <w:lang w:val="en-US"/>
        </w:rPr>
        <w:t>元，完成年初预算的</w:t>
      </w:r>
      <w:r>
        <w:rPr>
          <w:rFonts w:hint="eastAsia"/>
          <w:sz w:val="30"/>
          <w:szCs w:val="24"/>
          <w:u w:val="none"/>
          <w:lang w:val="en-US" w:eastAsia="zh-CN"/>
        </w:rPr>
        <w:t>53.81</w:t>
      </w:r>
      <w:r>
        <w:rPr>
          <w:rFonts w:hint="eastAsia" w:ascii="仿宋_GB2312" w:hAnsi="仿宋_GB2312" w:eastAsia="仿宋_GB2312"/>
          <w:sz w:val="30"/>
          <w:szCs w:val="24"/>
          <w:lang w:val="en-US"/>
        </w:rPr>
        <w:t>%，决算数小于年初预算数的主要原因是</w:t>
      </w:r>
      <w:r>
        <w:rPr>
          <w:rFonts w:hint="eastAsia" w:ascii="仿宋_GB2312" w:hAnsi="仿宋_GB2312" w:eastAsia="仿宋_GB2312"/>
          <w:sz w:val="30"/>
          <w:szCs w:val="24"/>
          <w:lang w:val="en-US" w:eastAsia="zh-CN"/>
        </w:rPr>
        <w:t>实际本年未发生人员死亡抚恤金。</w:t>
      </w:r>
    </w:p>
    <w:p>
      <w:pPr>
        <w:spacing w:beforeLines="0" w:afterLines="0"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5.</w:t>
      </w:r>
      <w:r>
        <w:rPr>
          <w:rFonts w:hint="default" w:ascii="仿宋_GB2312" w:hAnsi="仿宋_GB2312" w:eastAsia="仿宋_GB2312"/>
          <w:sz w:val="30"/>
          <w:szCs w:val="24"/>
          <w:lang w:val="en-US" w:eastAsia="zh-CN"/>
        </w:rPr>
        <w:t xml:space="preserve"> </w:t>
      </w:r>
      <w:r>
        <w:rPr>
          <w:rFonts w:hint="eastAsia" w:ascii="仿宋_GB2312" w:hAnsi="仿宋_GB2312" w:eastAsia="仿宋_GB2312"/>
          <w:sz w:val="30"/>
          <w:szCs w:val="24"/>
          <w:lang w:val="en-US" w:eastAsia="zh-CN"/>
        </w:rPr>
        <w:t>208社会保障和就业支出（类）10社会福利（款）05社会福利事业单位</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u w:val="none"/>
          <w:lang w:val="en-US"/>
        </w:rPr>
        <w:t>3</w:t>
      </w:r>
      <w:r>
        <w:rPr>
          <w:rFonts w:hint="eastAsia"/>
          <w:sz w:val="30"/>
          <w:szCs w:val="24"/>
          <w:u w:val="none"/>
          <w:lang w:val="en-US" w:eastAsia="zh-CN"/>
        </w:rPr>
        <w:t>,</w:t>
      </w:r>
      <w:r>
        <w:rPr>
          <w:rFonts w:hint="default" w:ascii="Times New Roman" w:hAnsi="Times New Roman" w:eastAsia="Times New Roman"/>
          <w:sz w:val="30"/>
          <w:szCs w:val="24"/>
          <w:u w:val="none"/>
          <w:lang w:val="en-US"/>
        </w:rPr>
        <w:t>504</w:t>
      </w:r>
      <w:r>
        <w:rPr>
          <w:rFonts w:hint="eastAsia"/>
          <w:sz w:val="30"/>
          <w:szCs w:val="24"/>
          <w:u w:val="none"/>
          <w:lang w:val="en-US" w:eastAsia="zh-CN"/>
        </w:rPr>
        <w:t>,</w:t>
      </w:r>
      <w:r>
        <w:rPr>
          <w:rFonts w:hint="default" w:ascii="Times New Roman" w:hAnsi="Times New Roman" w:eastAsia="Times New Roman"/>
          <w:sz w:val="30"/>
          <w:szCs w:val="24"/>
          <w:u w:val="none"/>
          <w:lang w:val="en-US"/>
        </w:rPr>
        <w:t>914.97</w:t>
      </w:r>
      <w:r>
        <w:rPr>
          <w:rFonts w:hint="eastAsia" w:ascii="仿宋_GB2312" w:hAnsi="仿宋_GB2312" w:eastAsia="仿宋_GB2312"/>
          <w:sz w:val="30"/>
          <w:szCs w:val="24"/>
          <w:u w:val="none"/>
          <w:lang w:val="en-US"/>
        </w:rPr>
        <w:t>元，支出决算为</w:t>
      </w:r>
      <w:r>
        <w:rPr>
          <w:rFonts w:hint="eastAsia"/>
          <w:sz w:val="30"/>
          <w:szCs w:val="24"/>
          <w:u w:val="none"/>
          <w:lang w:val="en-US" w:eastAsia="zh-CN"/>
        </w:rPr>
        <w:t>3,412,862.68</w:t>
      </w:r>
      <w:r>
        <w:rPr>
          <w:rFonts w:hint="eastAsia" w:ascii="仿宋_GB2312" w:hAnsi="仿宋_GB2312" w:eastAsia="仿宋_GB2312"/>
          <w:sz w:val="30"/>
          <w:szCs w:val="24"/>
          <w:u w:val="none"/>
          <w:lang w:val="en-US"/>
        </w:rPr>
        <w:t>元，完成年初预算的</w:t>
      </w:r>
      <w:r>
        <w:rPr>
          <w:rFonts w:hint="eastAsia"/>
          <w:sz w:val="30"/>
          <w:szCs w:val="24"/>
          <w:u w:val="none"/>
          <w:lang w:val="en-US" w:eastAsia="zh-CN"/>
        </w:rPr>
        <w:t>97.37</w:t>
      </w:r>
      <w:r>
        <w:rPr>
          <w:rFonts w:hint="eastAsia" w:ascii="仿宋_GB2312" w:hAnsi="仿宋_GB2312" w:eastAsia="仿宋_GB2312"/>
          <w:sz w:val="30"/>
          <w:szCs w:val="24"/>
          <w:u w:val="none"/>
          <w:lang w:val="en-US"/>
        </w:rPr>
        <w:t>%，决算数小于年初预算数的主要原因是</w:t>
      </w:r>
      <w:r>
        <w:rPr>
          <w:rFonts w:hint="eastAsia" w:ascii="仿宋_GB2312" w:hAnsi="仿宋_GB2312" w:eastAsia="仿宋_GB2312"/>
          <w:sz w:val="30"/>
          <w:szCs w:val="24"/>
          <w:u w:val="none"/>
          <w:lang w:val="en-US" w:eastAsia="zh-CN"/>
        </w:rPr>
        <w:t>减少支出节约经费。</w:t>
      </w:r>
    </w:p>
    <w:p>
      <w:pPr>
        <w:spacing w:beforeLines="0" w:afterLines="0"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6.</w:t>
      </w:r>
      <w:r>
        <w:rPr>
          <w:rFonts w:hint="default" w:ascii="仿宋_GB2312" w:hAnsi="仿宋_GB2312" w:eastAsia="仿宋_GB2312"/>
          <w:sz w:val="30"/>
          <w:szCs w:val="24"/>
          <w:lang w:val="en-US" w:eastAsia="zh-CN"/>
        </w:rPr>
        <w:t xml:space="preserve"> </w:t>
      </w:r>
      <w:r>
        <w:rPr>
          <w:rFonts w:hint="eastAsia" w:ascii="仿宋_GB2312" w:hAnsi="仿宋_GB2312" w:eastAsia="仿宋_GB2312"/>
          <w:sz w:val="30"/>
          <w:szCs w:val="24"/>
          <w:lang w:val="en-US" w:eastAsia="zh-CN"/>
        </w:rPr>
        <w:t>208社会保障和就业支出（类）20临时救助（款）02流浪乞讨人员救助支出</w:t>
      </w:r>
      <w:r>
        <w:rPr>
          <w:rFonts w:hint="eastAsia" w:ascii="仿宋_GB2312" w:hAnsi="仿宋_GB2312" w:eastAsia="仿宋_GB2312"/>
          <w:sz w:val="30"/>
          <w:szCs w:val="24"/>
          <w:lang w:val="en-US"/>
        </w:rPr>
        <w:t>（项）年初预算为</w:t>
      </w:r>
      <w:r>
        <w:rPr>
          <w:rFonts w:hint="eastAsia"/>
          <w:sz w:val="30"/>
          <w:szCs w:val="24"/>
          <w:u w:val="none"/>
          <w:lang w:val="en-US" w:eastAsia="zh-CN"/>
        </w:rPr>
        <w:t>50,000.00</w:t>
      </w:r>
      <w:r>
        <w:rPr>
          <w:rFonts w:hint="eastAsia" w:ascii="仿宋_GB2312" w:hAnsi="仿宋_GB2312" w:eastAsia="仿宋_GB2312"/>
          <w:sz w:val="30"/>
          <w:szCs w:val="24"/>
          <w:u w:val="none"/>
          <w:lang w:val="en-US"/>
        </w:rPr>
        <w:t>元，支出决算为</w:t>
      </w:r>
      <w:r>
        <w:rPr>
          <w:rFonts w:hint="eastAsia"/>
          <w:sz w:val="30"/>
          <w:szCs w:val="24"/>
          <w:u w:val="none"/>
          <w:lang w:val="en-US" w:eastAsia="zh-CN"/>
        </w:rPr>
        <w:t>105739.94</w:t>
      </w:r>
      <w:r>
        <w:rPr>
          <w:rFonts w:hint="eastAsia" w:ascii="仿宋_GB2312" w:hAnsi="仿宋_GB2312" w:eastAsia="仿宋_GB2312"/>
          <w:sz w:val="30"/>
          <w:szCs w:val="24"/>
          <w:u w:val="none"/>
          <w:lang w:val="en-US"/>
        </w:rPr>
        <w:t>元，完成年初预算的</w:t>
      </w:r>
      <w:r>
        <w:rPr>
          <w:rFonts w:hint="eastAsia"/>
          <w:sz w:val="30"/>
          <w:szCs w:val="24"/>
          <w:u w:val="none"/>
          <w:lang w:val="en-US" w:eastAsia="zh-CN"/>
        </w:rPr>
        <w:t>211.48</w:t>
      </w:r>
      <w:r>
        <w:rPr>
          <w:rFonts w:hint="eastAsia" w:ascii="仿宋_GB2312" w:hAnsi="仿宋_GB2312" w:eastAsia="仿宋_GB2312"/>
          <w:sz w:val="30"/>
          <w:szCs w:val="24"/>
          <w:u w:val="none"/>
          <w:lang w:val="en-US"/>
        </w:rPr>
        <w:t>%，决</w:t>
      </w:r>
      <w:r>
        <w:rPr>
          <w:rFonts w:hint="eastAsia" w:ascii="仿宋_GB2312" w:hAnsi="仿宋_GB2312" w:eastAsia="仿宋_GB2312"/>
          <w:sz w:val="30"/>
          <w:szCs w:val="24"/>
          <w:lang w:val="en-US"/>
        </w:rPr>
        <w:t>算数大于年初预算数的主要原因是</w:t>
      </w:r>
      <w:r>
        <w:rPr>
          <w:rFonts w:hint="eastAsia" w:ascii="仿宋_GB2312" w:hAnsi="仿宋_GB2312" w:eastAsia="仿宋_GB2312"/>
          <w:sz w:val="30"/>
          <w:szCs w:val="24"/>
          <w:lang w:val="en-US" w:eastAsia="zh-CN"/>
        </w:rPr>
        <w:t>资金来源为区、市、中央资金匹配,年初预算只有区级资金。</w:t>
      </w:r>
    </w:p>
    <w:p>
      <w:pPr>
        <w:spacing w:beforeLines="0" w:afterLines="0"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7.</w:t>
      </w:r>
      <w:r>
        <w:rPr>
          <w:rFonts w:hint="default" w:ascii="仿宋_GB2312" w:hAnsi="仿宋_GB2312" w:eastAsia="仿宋_GB2312"/>
          <w:sz w:val="30"/>
          <w:szCs w:val="24"/>
          <w:lang w:val="en-US" w:eastAsia="zh-CN"/>
        </w:rPr>
        <w:t xml:space="preserve"> </w:t>
      </w:r>
      <w:r>
        <w:rPr>
          <w:rFonts w:hint="eastAsia" w:ascii="仿宋_GB2312" w:hAnsi="仿宋_GB2312" w:eastAsia="仿宋_GB2312"/>
          <w:sz w:val="30"/>
          <w:szCs w:val="24"/>
          <w:lang w:val="en-US" w:eastAsia="zh-CN"/>
        </w:rPr>
        <w:t>210卫生健康支出支出（类）11行政事业单位医疗（款）02事业单位医疗</w:t>
      </w:r>
      <w:r>
        <w:rPr>
          <w:rFonts w:hint="eastAsia" w:ascii="仿宋_GB2312" w:hAnsi="仿宋_GB2312" w:eastAsia="仿宋_GB2312"/>
          <w:sz w:val="30"/>
          <w:szCs w:val="24"/>
          <w:lang w:val="en-US"/>
        </w:rPr>
        <w:t>（项）年初预算为</w:t>
      </w:r>
      <w:r>
        <w:rPr>
          <w:rFonts w:hint="eastAsia"/>
          <w:sz w:val="30"/>
          <w:szCs w:val="24"/>
          <w:u w:val="none"/>
          <w:lang w:val="en-US" w:eastAsia="zh-CN"/>
        </w:rPr>
        <w:t>170,520.00</w:t>
      </w:r>
      <w:r>
        <w:rPr>
          <w:rFonts w:hint="eastAsia" w:ascii="仿宋_GB2312" w:hAnsi="仿宋_GB2312" w:eastAsia="仿宋_GB2312"/>
          <w:sz w:val="30"/>
          <w:szCs w:val="24"/>
          <w:lang w:val="en-US"/>
        </w:rPr>
        <w:t>元，支出决算为</w:t>
      </w:r>
      <w:r>
        <w:rPr>
          <w:rFonts w:hint="eastAsia"/>
          <w:sz w:val="30"/>
          <w:szCs w:val="24"/>
          <w:u w:val="none"/>
          <w:lang w:val="en-US" w:eastAsia="zh-CN"/>
        </w:rPr>
        <w:t>170,210.67</w:t>
      </w:r>
      <w:r>
        <w:rPr>
          <w:rFonts w:hint="eastAsia" w:ascii="仿宋_GB2312" w:hAnsi="仿宋_GB2312" w:eastAsia="仿宋_GB2312"/>
          <w:sz w:val="30"/>
          <w:szCs w:val="24"/>
          <w:lang w:val="en-US"/>
        </w:rPr>
        <w:t>元，完成年初预算的</w:t>
      </w:r>
      <w:r>
        <w:rPr>
          <w:rFonts w:hint="eastAsia"/>
          <w:sz w:val="30"/>
          <w:szCs w:val="24"/>
          <w:u w:val="none"/>
          <w:lang w:val="en-US" w:eastAsia="zh-CN"/>
        </w:rPr>
        <w:t>99.82</w:t>
      </w:r>
      <w:r>
        <w:rPr>
          <w:rFonts w:hint="eastAsia" w:ascii="仿宋_GB2312" w:hAnsi="仿宋_GB2312" w:eastAsia="仿宋_GB2312"/>
          <w:sz w:val="30"/>
          <w:szCs w:val="24"/>
          <w:lang w:val="en-US"/>
        </w:rPr>
        <w:t>%，决算数</w:t>
      </w:r>
      <w:r>
        <w:rPr>
          <w:rFonts w:hint="eastAsia" w:ascii="仿宋_GB2312" w:hAnsi="仿宋_GB2312" w:eastAsia="仿宋_GB2312"/>
          <w:sz w:val="30"/>
          <w:szCs w:val="24"/>
          <w:lang w:val="en-US" w:eastAsia="zh-CN"/>
        </w:rPr>
        <w:t>与</w:t>
      </w:r>
      <w:r>
        <w:rPr>
          <w:rFonts w:hint="eastAsia" w:ascii="仿宋_GB2312" w:hAnsi="仿宋_GB2312" w:eastAsia="仿宋_GB2312"/>
          <w:sz w:val="30"/>
          <w:szCs w:val="24"/>
          <w:lang w:val="en-US"/>
        </w:rPr>
        <w:t>年初预算数</w:t>
      </w:r>
      <w:r>
        <w:rPr>
          <w:rFonts w:hint="eastAsia" w:ascii="仿宋_GB2312" w:hAnsi="仿宋_GB2312" w:eastAsia="仿宋_GB2312"/>
          <w:sz w:val="30"/>
          <w:szCs w:val="24"/>
          <w:lang w:val="en-US" w:eastAsia="zh-CN"/>
        </w:rPr>
        <w:t>基本持平。</w:t>
      </w:r>
    </w:p>
    <w:p>
      <w:pPr>
        <w:spacing w:beforeLines="0" w:afterLines="0"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8.</w:t>
      </w:r>
      <w:r>
        <w:rPr>
          <w:rFonts w:hint="default" w:ascii="仿宋_GB2312" w:hAnsi="仿宋_GB2312" w:eastAsia="仿宋_GB2312"/>
          <w:sz w:val="30"/>
          <w:szCs w:val="24"/>
          <w:lang w:val="en-US" w:eastAsia="zh-CN"/>
        </w:rPr>
        <w:t xml:space="preserve"> </w:t>
      </w:r>
      <w:r>
        <w:rPr>
          <w:rFonts w:hint="eastAsia" w:ascii="仿宋_GB2312" w:hAnsi="仿宋_GB2312" w:eastAsia="仿宋_GB2312"/>
          <w:sz w:val="30"/>
          <w:szCs w:val="24"/>
          <w:lang w:val="en-US" w:eastAsia="zh-CN"/>
        </w:rPr>
        <w:t>229其他支出（类）60彩票公益金安排的支出（款）02用于社会福利的彩票公益金支出</w:t>
      </w:r>
      <w:r>
        <w:rPr>
          <w:rFonts w:hint="eastAsia" w:ascii="仿宋_GB2312" w:hAnsi="仿宋_GB2312" w:eastAsia="仿宋_GB2312"/>
          <w:sz w:val="30"/>
          <w:szCs w:val="24"/>
          <w:lang w:val="en-US"/>
        </w:rPr>
        <w:t>（项）年初预算为</w:t>
      </w:r>
      <w:r>
        <w:rPr>
          <w:rFonts w:hint="eastAsia"/>
          <w:sz w:val="30"/>
          <w:szCs w:val="24"/>
          <w:u w:val="none"/>
          <w:lang w:val="en-US" w:eastAsia="zh-CN"/>
        </w:rPr>
        <w:t>0.00</w:t>
      </w:r>
      <w:r>
        <w:rPr>
          <w:rFonts w:hint="eastAsia" w:ascii="仿宋_GB2312" w:hAnsi="仿宋_GB2312" w:eastAsia="仿宋_GB2312"/>
          <w:sz w:val="30"/>
          <w:szCs w:val="24"/>
          <w:lang w:val="en-US"/>
        </w:rPr>
        <w:t>元，支出决算为</w:t>
      </w:r>
      <w:r>
        <w:rPr>
          <w:rFonts w:hint="eastAsia"/>
          <w:sz w:val="30"/>
          <w:szCs w:val="24"/>
          <w:u w:val="none"/>
          <w:lang w:val="en-US" w:eastAsia="zh-CN"/>
        </w:rPr>
        <w:t>2,065.00</w:t>
      </w:r>
      <w:r>
        <w:rPr>
          <w:rFonts w:hint="eastAsia" w:ascii="仿宋_GB2312" w:hAnsi="仿宋_GB2312" w:eastAsia="仿宋_GB2312"/>
          <w:sz w:val="30"/>
          <w:szCs w:val="24"/>
          <w:lang w:val="en-US"/>
        </w:rPr>
        <w:t>元，决算数大于年初预算数的主要原因是</w:t>
      </w:r>
      <w:r>
        <w:rPr>
          <w:rFonts w:hint="eastAsia" w:ascii="仿宋_GB2312" w:hAnsi="仿宋_GB2312" w:eastAsia="仿宋_GB2312"/>
          <w:sz w:val="30"/>
          <w:szCs w:val="24"/>
          <w:lang w:val="en-US" w:eastAsia="zh-CN"/>
        </w:rPr>
        <w:t>次项目来源只有上级资金安排。</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天津市东丽区民政事务服务中心</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年度一般公共预算财政拨款基本支出合计</w:t>
      </w:r>
      <w:r>
        <w:rPr>
          <w:rFonts w:hint="default" w:ascii="Times New Roman" w:hAnsi="Times New Roman" w:eastAsia="Times New Roman"/>
          <w:kern w:val="2"/>
          <w:sz w:val="30"/>
          <w:szCs w:val="24"/>
          <w:lang w:val="en-US"/>
        </w:rPr>
        <w:t>3,933,255.75</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年度相比减少</w:t>
      </w:r>
      <w:r>
        <w:rPr>
          <w:rFonts w:hint="default" w:ascii="Times New Roman" w:hAnsi="Times New Roman" w:eastAsia="Times New Roman"/>
          <w:kern w:val="2"/>
          <w:sz w:val="30"/>
          <w:szCs w:val="24"/>
          <w:lang w:val="en-US"/>
        </w:rPr>
        <w:t>38,805.69</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主要原因是</w:t>
      </w:r>
      <w:r>
        <w:rPr>
          <w:rFonts w:hint="eastAsia" w:ascii="楷体_GB2312" w:hAnsi="楷体_GB2312" w:eastAsia="楷体_GB2312"/>
          <w:kern w:val="2"/>
          <w:sz w:val="30"/>
          <w:szCs w:val="24"/>
          <w:lang w:val="zh-CN"/>
        </w:rPr>
        <w:t>：</w:t>
      </w:r>
      <w:r>
        <w:rPr>
          <w:rFonts w:hint="eastAsia" w:ascii="仿宋_GB2312" w:hAnsi="仿宋_GB2312" w:eastAsia="仿宋_GB2312"/>
          <w:sz w:val="30"/>
          <w:szCs w:val="24"/>
          <w:highlight w:val="none"/>
          <w:lang w:val="zh-CN"/>
        </w:rPr>
        <w:t>有人员变化与调资</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其中：人员经费</w:t>
      </w:r>
      <w:r>
        <w:rPr>
          <w:rFonts w:hint="default" w:ascii="Times New Roman" w:hAnsi="Times New Roman" w:eastAsia="Times New Roman"/>
          <w:kern w:val="2"/>
          <w:sz w:val="30"/>
          <w:szCs w:val="24"/>
          <w:lang w:val="en-US"/>
        </w:rPr>
        <w:t>3,538,688.19</w:t>
      </w:r>
      <w:r>
        <w:rPr>
          <w:rFonts w:hint="eastAsia" w:ascii="仿宋_GB2312" w:hAnsi="仿宋_GB2312" w:eastAsia="仿宋_GB2312"/>
          <w:sz w:val="30"/>
          <w:szCs w:val="24"/>
          <w:lang w:val="en-US"/>
        </w:rPr>
        <w:t>元，主要包括基本工资、津贴补贴、绩效工资、机关事业单位基本养老保险缴费、职业年金缴费、职工基本医疗保险缴费、其他社会保障缴费、住房公积金、医疗费、其他工资福利支出、退休费、医疗费补助、奖励金、其他对个人和家庭的补助、；公用经费</w:t>
      </w:r>
      <w:r>
        <w:rPr>
          <w:rFonts w:hint="default" w:ascii="Times New Roman" w:hAnsi="Times New Roman" w:eastAsia="Times New Roman"/>
          <w:kern w:val="2"/>
          <w:sz w:val="30"/>
          <w:szCs w:val="24"/>
          <w:lang w:val="en-US"/>
        </w:rPr>
        <w:t>394,567.56</w:t>
      </w:r>
      <w:r>
        <w:rPr>
          <w:rFonts w:hint="eastAsia" w:ascii="仿宋_GB2312" w:hAnsi="仿宋_GB2312" w:eastAsia="仿宋_GB2312"/>
          <w:sz w:val="30"/>
          <w:szCs w:val="24"/>
          <w:lang w:val="en-US"/>
        </w:rPr>
        <w:t>元，主要包括办公费、手续费、取暖费、差旅费、维修(护)费、租赁费、培训费、委托业务费、工会经费、其他商品和服务支出。</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w:t>
      </w:r>
    </w:p>
    <w:p>
      <w:pPr>
        <w:spacing w:beforeLines="0" w:afterLines="0" w:line="580" w:lineRule="exact"/>
        <w:ind w:firstLine="600"/>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天津市东丽区民政事务服务中心</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年度政府性基金预算财政拨款</w:t>
      </w:r>
      <w:r>
        <w:rPr>
          <w:rFonts w:hint="eastAsia" w:ascii="仿宋_GB2312" w:hAnsi="仿宋_GB2312" w:eastAsia="仿宋_GB2312"/>
          <w:sz w:val="30"/>
          <w:szCs w:val="24"/>
          <w:lang w:val="en-US"/>
        </w:rPr>
        <w:t>年初结转和结余</w:t>
      </w:r>
      <w:r>
        <w:rPr>
          <w:rFonts w:hint="default" w:ascii="Times New Roman" w:hAnsi="Times New Roman" w:eastAsia="Times New Roman"/>
          <w:kern w:val="2"/>
          <w:sz w:val="30"/>
          <w:szCs w:val="24"/>
          <w:lang w:val="en-US"/>
        </w:rPr>
        <w:t>0.00</w:t>
      </w:r>
      <w:r>
        <w:rPr>
          <w:rFonts w:hint="eastAsia" w:ascii="仿宋_GB2312" w:hAnsi="仿宋_GB2312" w:eastAsia="仿宋_GB2312"/>
          <w:sz w:val="30"/>
          <w:szCs w:val="24"/>
          <w:lang w:val="en-US"/>
        </w:rPr>
        <w:t>元，收入</w:t>
      </w:r>
      <w:r>
        <w:rPr>
          <w:rFonts w:hint="default" w:ascii="Times New Roman" w:hAnsi="Times New Roman" w:eastAsia="Times New Roman"/>
          <w:kern w:val="2"/>
          <w:sz w:val="30"/>
          <w:szCs w:val="24"/>
          <w:lang w:val="en-US"/>
        </w:rPr>
        <w:t>2,065.00</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支出</w:t>
      </w:r>
      <w:r>
        <w:rPr>
          <w:rFonts w:hint="default" w:ascii="Times New Roman" w:hAnsi="Times New Roman" w:eastAsia="Times New Roman"/>
          <w:kern w:val="2"/>
          <w:sz w:val="30"/>
          <w:szCs w:val="24"/>
          <w:lang w:val="en-US"/>
        </w:rPr>
        <w:t>2,065.00</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highlight w:val="white"/>
          <w:lang w:val="en-US"/>
        </w:rPr>
        <w:t>年末结转和结余</w:t>
      </w:r>
      <w:r>
        <w:rPr>
          <w:rFonts w:hint="default" w:ascii="Times New Roman" w:hAnsi="Times New Roman" w:eastAsia="Times New Roman"/>
          <w:kern w:val="2"/>
          <w:sz w:val="30"/>
          <w:szCs w:val="24"/>
          <w:highlight w:val="white"/>
          <w:lang w:val="en-US"/>
        </w:rPr>
        <w:t>0.00</w:t>
      </w:r>
      <w:r>
        <w:rPr>
          <w:rFonts w:hint="eastAsia" w:ascii="仿宋_GB2312" w:hAnsi="仿宋_GB2312" w:eastAsia="仿宋_GB2312"/>
          <w:kern w:val="2"/>
          <w:sz w:val="30"/>
          <w:szCs w:val="24"/>
          <w:highlight w:val="white"/>
          <w:lang w:val="en-US"/>
        </w:rPr>
        <w:t>元。</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年度相比，政府性基金财政拨款支出减少</w:t>
      </w:r>
      <w:r>
        <w:rPr>
          <w:rFonts w:hint="default" w:ascii="Times New Roman" w:hAnsi="Times New Roman" w:eastAsia="Times New Roman"/>
          <w:kern w:val="2"/>
          <w:sz w:val="30"/>
          <w:szCs w:val="24"/>
          <w:lang w:val="en-US"/>
        </w:rPr>
        <w:t>40,868.75</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highlight w:val="white"/>
          <w:lang w:val="en-US"/>
        </w:rPr>
        <w:t>下降</w:t>
      </w:r>
      <w:r>
        <w:rPr>
          <w:rFonts w:hint="default" w:ascii="Times New Roman" w:hAnsi="Times New Roman" w:eastAsia="Times New Roman"/>
          <w:kern w:val="2"/>
          <w:sz w:val="30"/>
          <w:szCs w:val="24"/>
          <w:lang w:val="en-US"/>
        </w:rPr>
        <w:t>95.19%</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主要原因是</w:t>
      </w:r>
      <w:r>
        <w:rPr>
          <w:rFonts w:hint="eastAsia" w:ascii="楷体_GB2312" w:hAnsi="楷体_GB2312" w:eastAsia="楷体_GB2312"/>
          <w:kern w:val="2"/>
          <w:sz w:val="30"/>
          <w:szCs w:val="24"/>
          <w:lang w:val="zh-CN"/>
        </w:rPr>
        <w:t>：本年只安排了这项上级补助支出</w:t>
      </w:r>
      <w:r>
        <w:rPr>
          <w:rFonts w:hint="eastAsia" w:ascii="仿宋_GB2312" w:hAnsi="仿宋_GB2312" w:eastAsia="仿宋_GB2312"/>
          <w:sz w:val="30"/>
          <w:szCs w:val="24"/>
          <w:lang w:val="en-US"/>
        </w:rPr>
        <w:t>。</w:t>
      </w:r>
    </w:p>
    <w:p>
      <w:pPr>
        <w:spacing w:beforeLines="0" w:afterLines="0"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pPr>
        <w:spacing w:beforeLines="0" w:afterLines="0" w:line="600" w:lineRule="exact"/>
        <w:ind w:firstLine="600"/>
        <w:rPr>
          <w:rFonts w:hint="eastAsia" w:ascii="仿宋_GB2312" w:hAnsi="仿宋_GB2312" w:eastAsia="仿宋_GB2312"/>
          <w:color w:val="auto"/>
          <w:kern w:val="2"/>
          <w:sz w:val="30"/>
          <w:szCs w:val="24"/>
          <w:lang w:val="en-US"/>
        </w:rPr>
      </w:pPr>
      <w:r>
        <w:rPr>
          <w:rFonts w:hint="eastAsia" w:ascii="仿宋_GB2312" w:hAnsi="仿宋_GB2312" w:eastAsia="仿宋_GB2312"/>
          <w:color w:val="000000"/>
          <w:sz w:val="30"/>
          <w:szCs w:val="24"/>
          <w:lang w:val="en-US"/>
        </w:rPr>
        <w:t>天津市东丽区民政事务服务中心</w:t>
      </w:r>
      <w:r>
        <w:rPr>
          <w:rFonts w:hint="eastAsia" w:ascii="宋体" w:hAnsi="宋体" w:eastAsia="宋体"/>
          <w:color w:val="000000"/>
          <w:sz w:val="30"/>
          <w:szCs w:val="24"/>
          <w:lang w:val="en-US"/>
        </w:rPr>
        <w:t>2022</w:t>
      </w:r>
      <w:r>
        <w:rPr>
          <w:rFonts w:hint="eastAsia" w:ascii="仿宋_GB2312" w:hAnsi="仿宋_GB2312" w:eastAsia="仿宋_GB2312"/>
          <w:color w:val="auto"/>
          <w:sz w:val="30"/>
          <w:szCs w:val="24"/>
          <w:lang w:val="en-US"/>
        </w:rPr>
        <w:t>年度</w:t>
      </w:r>
      <w:r>
        <w:rPr>
          <w:rFonts w:hint="eastAsia" w:ascii="仿宋_GB2312" w:hAnsi="仿宋_GB2312" w:eastAsia="仿宋_GB2312"/>
          <w:color w:val="auto"/>
          <w:sz w:val="30"/>
          <w:szCs w:val="24"/>
          <w:lang w:val="en-US" w:eastAsia="zh-CN"/>
        </w:rPr>
        <w:t>无</w:t>
      </w:r>
      <w:r>
        <w:rPr>
          <w:rFonts w:hint="eastAsia" w:ascii="仿宋_GB2312" w:hAnsi="仿宋_GB2312" w:eastAsia="仿宋_GB2312"/>
          <w:color w:val="auto"/>
          <w:sz w:val="30"/>
          <w:szCs w:val="24"/>
          <w:lang w:val="en-US"/>
        </w:rPr>
        <w:t>国有资本经营预算财政拨款</w:t>
      </w:r>
      <w:r>
        <w:rPr>
          <w:rFonts w:hint="eastAsia" w:ascii="仿宋_GB2312" w:hAnsi="仿宋_GB2312" w:eastAsia="仿宋_GB2312"/>
          <w:color w:val="auto"/>
          <w:sz w:val="30"/>
          <w:szCs w:val="24"/>
          <w:lang w:val="en-US" w:eastAsia="zh-CN"/>
        </w:rPr>
        <w:t>收入、支出和结转结余。</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九、一般公共预算财政拨款</w:t>
      </w:r>
      <w:r>
        <w:rPr>
          <w:rFonts w:hint="default" w:ascii="黑体" w:hAnsi="黑体" w:eastAsia="黑体"/>
          <w:b/>
          <w:color w:val="auto"/>
          <w:sz w:val="30"/>
          <w:szCs w:val="24"/>
          <w:lang w:val="en-US"/>
        </w:rPr>
        <w:t>“</w:t>
      </w:r>
      <w:r>
        <w:rPr>
          <w:rFonts w:hint="eastAsia" w:ascii="黑体" w:hAnsi="黑体" w:eastAsia="黑体"/>
          <w:b/>
          <w:color w:val="auto"/>
          <w:sz w:val="30"/>
          <w:szCs w:val="24"/>
          <w:lang w:val="en-US"/>
        </w:rPr>
        <w:t>三公</w:t>
      </w:r>
      <w:r>
        <w:rPr>
          <w:rFonts w:hint="default" w:ascii="黑体" w:hAnsi="黑体" w:eastAsia="黑体"/>
          <w:b/>
          <w:color w:val="auto"/>
          <w:sz w:val="30"/>
          <w:szCs w:val="24"/>
          <w:lang w:val="en-US"/>
        </w:rPr>
        <w:t>”</w:t>
      </w:r>
      <w:r>
        <w:rPr>
          <w:rFonts w:hint="eastAsia" w:ascii="黑体" w:hAnsi="黑体" w:eastAsia="黑体"/>
          <w:b/>
          <w:color w:val="auto"/>
          <w:sz w:val="30"/>
          <w:szCs w:val="24"/>
          <w:lang w:val="en-US"/>
        </w:rPr>
        <w:t>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w:t>
      </w:r>
    </w:p>
    <w:p>
      <w:pPr>
        <w:spacing w:beforeLines="0" w:afterLines="0"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（一）总体情况</w:t>
      </w:r>
    </w:p>
    <w:p>
      <w:pPr>
        <w:spacing w:beforeLines="0" w:afterLines="0" w:line="600" w:lineRule="exact"/>
        <w:ind w:firstLine="600"/>
        <w:rPr>
          <w:rFonts w:hint="default"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2022年一般公共预算财政拨款</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三公</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经费预算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元，支出决算</w:t>
      </w:r>
      <w:r>
        <w:rPr>
          <w:rFonts w:hint="default" w:ascii="仿宋_GB2312" w:hAnsi="仿宋_GB2312" w:eastAsia="仿宋_GB2312"/>
          <w:color w:val="auto"/>
          <w:sz w:val="30"/>
          <w:szCs w:val="24"/>
          <w:lang w:val="en-US"/>
        </w:rPr>
        <w:t>0.00</w:t>
      </w:r>
      <w:r>
        <w:rPr>
          <w:rFonts w:hint="eastAsia" w:ascii="仿宋_GB2312" w:hAnsi="仿宋_GB2312" w:eastAsia="仿宋_GB2312"/>
          <w:color w:val="auto"/>
          <w:sz w:val="30"/>
          <w:szCs w:val="24"/>
          <w:lang w:val="en-US"/>
        </w:rPr>
        <w:t>元，与2022年预算相比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olor w:val="auto"/>
          <w:sz w:val="30"/>
          <w:szCs w:val="24"/>
          <w:lang w:val="en-US" w:eastAsia="zh-CN"/>
        </w:rPr>
        <w:t>等</w:t>
      </w:r>
      <w:r>
        <w:rPr>
          <w:rFonts w:hint="eastAsia" w:ascii="仿宋_GB2312" w:hAnsi="仿宋_GB2312" w:eastAsia="仿宋_GB2312"/>
          <w:color w:val="auto"/>
          <w:sz w:val="30"/>
          <w:szCs w:val="24"/>
          <w:lang w:val="en-US"/>
        </w:rPr>
        <w:t>于预算数的主要原因是本年度未用一般公共预算列支</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三公</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经费</w:t>
      </w:r>
      <w:r>
        <w:rPr>
          <w:rFonts w:hint="eastAsia" w:ascii="仿宋_GB2312" w:hAnsi="仿宋_GB2312" w:eastAsia="仿宋_GB2312"/>
          <w:color w:val="auto"/>
          <w:sz w:val="30"/>
          <w:szCs w:val="24"/>
          <w:lang w:val="en-US"/>
        </w:rPr>
        <w:t>。决算数较上年</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的主要原因是本年度未用一般公共预算列支</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三</w:t>
      </w:r>
      <w:bookmarkStart w:id="0" w:name="_GoBack"/>
      <w:r>
        <w:rPr>
          <w:rFonts w:hint="eastAsia" w:ascii="仿宋_GB2312" w:hAnsi="仿宋_GB2312" w:eastAsia="仿宋_GB2312"/>
          <w:color w:val="auto"/>
          <w:sz w:val="30"/>
          <w:szCs w:val="24"/>
          <w:lang w:val="en-US"/>
        </w:rPr>
        <w:t>公</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经费</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w:t>
      </w:r>
    </w:p>
    <w:bookmarkEnd w:id="0"/>
    <w:p>
      <w:pPr>
        <w:spacing w:beforeLines="0" w:afterLines="0"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（二）具体情况</w:t>
      </w:r>
    </w:p>
    <w:p>
      <w:pPr>
        <w:spacing w:beforeLines="0" w:afterLines="0" w:line="600" w:lineRule="exact"/>
        <w:ind w:firstLine="600"/>
        <w:rPr>
          <w:rFonts w:hint="default" w:ascii="Times New Roman" w:hAnsi="Times New Roman" w:eastAsia="Times New Roman"/>
          <w:color w:val="auto"/>
          <w:sz w:val="30"/>
          <w:szCs w:val="24"/>
          <w:u w:val="none"/>
          <w:lang w:val="en-US"/>
        </w:rPr>
      </w:pPr>
      <w:r>
        <w:rPr>
          <w:rFonts w:hint="eastAsia" w:ascii="仿宋_GB2312" w:hAnsi="仿宋_GB2312" w:eastAsia="仿宋_GB2312"/>
          <w:color w:val="auto"/>
          <w:sz w:val="30"/>
          <w:szCs w:val="24"/>
          <w:lang w:val="en-US"/>
        </w:rPr>
        <w:t>1.因公出国（境）费预算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olor w:val="auto"/>
          <w:sz w:val="30"/>
          <w:szCs w:val="24"/>
          <w:lang w:val="en-US" w:eastAsia="zh-CN"/>
        </w:rPr>
        <w:t>等</w:t>
      </w:r>
      <w:r>
        <w:rPr>
          <w:rFonts w:hint="eastAsia" w:ascii="仿宋_GB2312" w:hAnsi="仿宋_GB2312" w:eastAsia="仿宋_GB2312"/>
          <w:color w:val="auto"/>
          <w:sz w:val="30"/>
          <w:szCs w:val="24"/>
          <w:lang w:val="en-US"/>
        </w:rPr>
        <w:t>于预算数的主要原因是</w:t>
      </w:r>
      <w:r>
        <w:rPr>
          <w:rFonts w:hint="eastAsia" w:ascii="楷体" w:hAnsi="楷体" w:eastAsia="楷体"/>
          <w:color w:val="auto"/>
          <w:sz w:val="30"/>
          <w:szCs w:val="24"/>
          <w:lang w:val="en-US"/>
        </w:rPr>
        <w:t>本年度未用一般公共预算列支</w:t>
      </w:r>
      <w:r>
        <w:rPr>
          <w:rFonts w:hint="default" w:ascii="楷体" w:hAnsi="楷体" w:eastAsia="楷体"/>
          <w:color w:val="auto"/>
          <w:sz w:val="30"/>
          <w:szCs w:val="24"/>
          <w:lang w:val="en-US"/>
        </w:rPr>
        <w:t>“</w:t>
      </w:r>
      <w:r>
        <w:rPr>
          <w:rFonts w:hint="eastAsia" w:ascii="楷体" w:hAnsi="楷体" w:eastAsia="楷体"/>
          <w:color w:val="auto"/>
          <w:sz w:val="30"/>
          <w:szCs w:val="24"/>
          <w:lang w:val="en-US"/>
        </w:rPr>
        <w:t>三公</w:t>
      </w:r>
      <w:r>
        <w:rPr>
          <w:rFonts w:hint="default" w:ascii="楷体" w:hAnsi="楷体" w:eastAsia="楷体"/>
          <w:color w:val="auto"/>
          <w:sz w:val="30"/>
          <w:szCs w:val="24"/>
          <w:lang w:val="en-US"/>
        </w:rPr>
        <w:t>”</w:t>
      </w:r>
      <w:r>
        <w:rPr>
          <w:rFonts w:hint="eastAsia" w:ascii="楷体" w:hAnsi="楷体" w:eastAsia="楷体"/>
          <w:color w:val="auto"/>
          <w:sz w:val="30"/>
          <w:szCs w:val="24"/>
          <w:lang w:val="en-US"/>
        </w:rPr>
        <w:t>经费</w:t>
      </w:r>
      <w:r>
        <w:rPr>
          <w:rFonts w:hint="default" w:ascii="楷体" w:hAnsi="楷体" w:eastAsia="楷体"/>
          <w:color w:val="auto"/>
          <w:sz w:val="30"/>
          <w:szCs w:val="24"/>
          <w:lang w:val="en-US"/>
        </w:rPr>
        <w:t>”</w:t>
      </w:r>
      <w:r>
        <w:rPr>
          <w:rFonts w:hint="eastAsia" w:ascii="仿宋_GB2312" w:hAnsi="仿宋_GB2312" w:eastAsia="仿宋_GB2312"/>
          <w:color w:val="auto"/>
          <w:sz w:val="30"/>
          <w:szCs w:val="24"/>
          <w:lang w:val="en-US"/>
        </w:rPr>
        <w:t>。决算数较上年</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的主要原因是</w:t>
      </w:r>
      <w:r>
        <w:rPr>
          <w:rFonts w:hint="eastAsia" w:ascii="楷体" w:hAnsi="楷体" w:eastAsia="楷体"/>
          <w:color w:val="auto"/>
          <w:sz w:val="30"/>
          <w:szCs w:val="24"/>
          <w:lang w:val="en-US"/>
        </w:rPr>
        <w:t>本年度未用一般公共预算列支</w:t>
      </w:r>
      <w:r>
        <w:rPr>
          <w:rFonts w:hint="default" w:ascii="楷体" w:hAnsi="楷体" w:eastAsia="楷体"/>
          <w:color w:val="auto"/>
          <w:sz w:val="30"/>
          <w:szCs w:val="24"/>
          <w:lang w:val="en-US"/>
        </w:rPr>
        <w:t>“</w:t>
      </w:r>
      <w:r>
        <w:rPr>
          <w:rFonts w:hint="eastAsia" w:ascii="楷体" w:hAnsi="楷体" w:eastAsia="楷体"/>
          <w:color w:val="auto"/>
          <w:sz w:val="30"/>
          <w:szCs w:val="24"/>
          <w:lang w:val="en-US"/>
        </w:rPr>
        <w:t>三公</w:t>
      </w:r>
      <w:r>
        <w:rPr>
          <w:rFonts w:hint="default" w:ascii="楷体" w:hAnsi="楷体" w:eastAsia="楷体"/>
          <w:color w:val="auto"/>
          <w:sz w:val="30"/>
          <w:szCs w:val="24"/>
          <w:lang w:val="en-US"/>
        </w:rPr>
        <w:t>”</w:t>
      </w:r>
      <w:r>
        <w:rPr>
          <w:rFonts w:hint="eastAsia" w:ascii="楷体" w:hAnsi="楷体" w:eastAsia="楷体"/>
          <w:color w:val="auto"/>
          <w:sz w:val="30"/>
          <w:szCs w:val="24"/>
          <w:lang w:val="en-US"/>
        </w:rPr>
        <w:t>经费</w:t>
      </w:r>
      <w:r>
        <w:rPr>
          <w:rFonts w:hint="default" w:ascii="楷体" w:hAnsi="楷体" w:eastAsia="楷体"/>
          <w:color w:val="auto"/>
          <w:sz w:val="30"/>
          <w:szCs w:val="24"/>
          <w:lang w:val="en-US"/>
        </w:rPr>
        <w:t>”</w:t>
      </w:r>
      <w:r>
        <w:rPr>
          <w:rFonts w:hint="eastAsia" w:ascii="仿宋_GB2312" w:hAnsi="仿宋_GB2312" w:eastAsia="仿宋_GB2312"/>
          <w:color w:val="auto"/>
          <w:sz w:val="30"/>
          <w:szCs w:val="24"/>
          <w:lang w:val="en-US"/>
        </w:rPr>
        <w:t>。2022年本单位组织的出国团组</w:t>
      </w:r>
      <w:r>
        <w:rPr>
          <w:rFonts w:hint="eastAsia"/>
          <w:color w:val="auto"/>
          <w:sz w:val="30"/>
          <w:szCs w:val="24"/>
          <w:u w:val="none"/>
          <w:lang w:val="en-US" w:eastAsia="zh-CN"/>
        </w:rPr>
        <w:t>0</w:t>
      </w:r>
      <w:r>
        <w:rPr>
          <w:rFonts w:hint="eastAsia" w:ascii="仿宋_GB2312" w:hAnsi="仿宋_GB2312" w:eastAsia="仿宋_GB2312"/>
          <w:color w:val="auto"/>
          <w:sz w:val="30"/>
          <w:szCs w:val="24"/>
          <w:u w:val="none"/>
          <w:lang w:val="en-US"/>
        </w:rPr>
        <w:t>个，出国</w:t>
      </w:r>
      <w:r>
        <w:rPr>
          <w:rFonts w:hint="eastAsia"/>
          <w:color w:val="auto"/>
          <w:sz w:val="30"/>
          <w:szCs w:val="24"/>
          <w:u w:val="none"/>
          <w:lang w:val="en-US" w:eastAsia="zh-CN"/>
        </w:rPr>
        <w:t>0</w:t>
      </w:r>
      <w:r>
        <w:rPr>
          <w:rFonts w:hint="eastAsia" w:ascii="仿宋_GB2312" w:hAnsi="仿宋_GB2312" w:eastAsia="仿宋_GB2312"/>
          <w:color w:val="auto"/>
          <w:sz w:val="30"/>
          <w:szCs w:val="24"/>
          <w:u w:val="none"/>
          <w:lang w:val="en-US"/>
        </w:rPr>
        <w:t>人次。</w:t>
      </w:r>
    </w:p>
    <w:p>
      <w:pPr>
        <w:spacing w:beforeLines="0" w:afterLines="0" w:line="600" w:lineRule="exact"/>
        <w:ind w:firstLine="600"/>
        <w:jc w:val="both"/>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u w:val="none"/>
          <w:lang w:val="en-US"/>
        </w:rPr>
        <w:t>2.公务用车购置及运行维护</w:t>
      </w:r>
      <w:r>
        <w:rPr>
          <w:rFonts w:hint="eastAsia" w:ascii="仿宋_GB2312" w:hAnsi="仿宋_GB2312" w:eastAsia="仿宋_GB2312"/>
          <w:color w:val="auto"/>
          <w:sz w:val="30"/>
          <w:szCs w:val="24"/>
          <w:lang w:val="en-US"/>
        </w:rPr>
        <w:t>费预算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；较上年持平。其中：</w:t>
      </w:r>
    </w:p>
    <w:p>
      <w:pPr>
        <w:spacing w:beforeLines="0" w:afterLines="0" w:line="60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公务用车运行维护费预算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olor w:val="auto"/>
          <w:sz w:val="30"/>
          <w:szCs w:val="24"/>
          <w:lang w:val="en-US" w:eastAsia="zh-CN"/>
        </w:rPr>
        <w:t>等</w:t>
      </w:r>
      <w:r>
        <w:rPr>
          <w:rFonts w:hint="eastAsia" w:ascii="仿宋_GB2312" w:hAnsi="仿宋_GB2312" w:eastAsia="仿宋_GB2312"/>
          <w:color w:val="auto"/>
          <w:sz w:val="30"/>
          <w:szCs w:val="24"/>
          <w:lang w:val="en-US"/>
        </w:rPr>
        <w:t>于预算数的主要原因是</w:t>
      </w:r>
      <w:r>
        <w:rPr>
          <w:rFonts w:hint="eastAsia" w:ascii="楷体" w:hAnsi="楷体" w:eastAsia="楷体"/>
          <w:color w:val="auto"/>
          <w:sz w:val="30"/>
          <w:szCs w:val="24"/>
          <w:lang w:val="en-US"/>
        </w:rPr>
        <w:t>本年度未用一般公共预算列支</w:t>
      </w:r>
      <w:r>
        <w:rPr>
          <w:rFonts w:hint="default" w:ascii="楷体" w:hAnsi="楷体" w:eastAsia="楷体"/>
          <w:color w:val="auto"/>
          <w:sz w:val="30"/>
          <w:szCs w:val="24"/>
          <w:lang w:val="en-US"/>
        </w:rPr>
        <w:t>“</w:t>
      </w:r>
      <w:r>
        <w:rPr>
          <w:rFonts w:hint="eastAsia" w:ascii="楷体" w:hAnsi="楷体" w:eastAsia="楷体"/>
          <w:color w:val="auto"/>
          <w:sz w:val="30"/>
          <w:szCs w:val="24"/>
          <w:lang w:val="en-US"/>
        </w:rPr>
        <w:t>三公</w:t>
      </w:r>
      <w:r>
        <w:rPr>
          <w:rFonts w:hint="default" w:ascii="楷体" w:hAnsi="楷体" w:eastAsia="楷体"/>
          <w:color w:val="auto"/>
          <w:sz w:val="30"/>
          <w:szCs w:val="24"/>
          <w:lang w:val="en-US"/>
        </w:rPr>
        <w:t>”</w:t>
      </w:r>
      <w:r>
        <w:rPr>
          <w:rFonts w:hint="eastAsia" w:ascii="楷体" w:hAnsi="楷体" w:eastAsia="楷体"/>
          <w:color w:val="auto"/>
          <w:sz w:val="30"/>
          <w:szCs w:val="24"/>
          <w:lang w:val="en-US"/>
        </w:rPr>
        <w:t>经费</w:t>
      </w:r>
      <w:r>
        <w:rPr>
          <w:rFonts w:hint="default" w:ascii="楷体" w:hAnsi="楷体" w:eastAsia="楷体"/>
          <w:color w:val="auto"/>
          <w:sz w:val="30"/>
          <w:szCs w:val="24"/>
          <w:lang w:val="en-US"/>
        </w:rPr>
        <w:t>”</w:t>
      </w:r>
      <w:r>
        <w:rPr>
          <w:rFonts w:hint="eastAsia" w:ascii="仿宋_GB2312" w:hAnsi="仿宋_GB2312" w:eastAsia="仿宋_GB2312"/>
          <w:color w:val="auto"/>
          <w:sz w:val="30"/>
          <w:szCs w:val="24"/>
          <w:lang w:val="en-US"/>
        </w:rPr>
        <w:t>。决算数较上年</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的主要原因是</w:t>
      </w:r>
      <w:r>
        <w:rPr>
          <w:rFonts w:hint="eastAsia" w:ascii="楷体" w:hAnsi="楷体" w:eastAsia="楷体"/>
          <w:color w:val="auto"/>
          <w:sz w:val="30"/>
          <w:szCs w:val="24"/>
          <w:lang w:val="en-US"/>
        </w:rPr>
        <w:t>本年度未用一般公共预算列支</w:t>
      </w:r>
      <w:r>
        <w:rPr>
          <w:rFonts w:hint="default" w:ascii="楷体" w:hAnsi="楷体" w:eastAsia="楷体"/>
          <w:color w:val="auto"/>
          <w:sz w:val="30"/>
          <w:szCs w:val="24"/>
          <w:lang w:val="en-US"/>
        </w:rPr>
        <w:t>“</w:t>
      </w:r>
      <w:r>
        <w:rPr>
          <w:rFonts w:hint="eastAsia" w:ascii="楷体" w:hAnsi="楷体" w:eastAsia="楷体"/>
          <w:color w:val="auto"/>
          <w:sz w:val="30"/>
          <w:szCs w:val="24"/>
          <w:lang w:val="en-US"/>
        </w:rPr>
        <w:t>三公</w:t>
      </w:r>
      <w:r>
        <w:rPr>
          <w:rFonts w:hint="default" w:ascii="楷体" w:hAnsi="楷体" w:eastAsia="楷体"/>
          <w:color w:val="auto"/>
          <w:sz w:val="30"/>
          <w:szCs w:val="24"/>
          <w:lang w:val="en-US"/>
        </w:rPr>
        <w:t>”</w:t>
      </w:r>
      <w:r>
        <w:rPr>
          <w:rFonts w:hint="eastAsia" w:ascii="楷体" w:hAnsi="楷体" w:eastAsia="楷体"/>
          <w:color w:val="auto"/>
          <w:sz w:val="30"/>
          <w:szCs w:val="24"/>
          <w:lang w:val="en-US"/>
        </w:rPr>
        <w:t>经费</w:t>
      </w:r>
      <w:r>
        <w:rPr>
          <w:rFonts w:hint="default" w:ascii="楷体" w:hAnsi="楷体" w:eastAsia="楷体"/>
          <w:color w:val="auto"/>
          <w:sz w:val="30"/>
          <w:szCs w:val="24"/>
          <w:lang w:val="en-US"/>
        </w:rPr>
        <w:t>”</w:t>
      </w:r>
      <w:r>
        <w:rPr>
          <w:rFonts w:hint="eastAsia" w:ascii="仿宋_GB2312" w:hAnsi="仿宋_GB2312" w:eastAsia="仿宋_GB2312"/>
          <w:color w:val="auto"/>
          <w:sz w:val="30"/>
          <w:szCs w:val="24"/>
          <w:lang w:val="en-US"/>
        </w:rPr>
        <w:t>。截至2022年12月31日，使用一般公共预算财政拨款开支运行维护费的公务用车保有量为</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辆。</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公务用车购置费预算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olor w:val="auto"/>
          <w:sz w:val="30"/>
          <w:szCs w:val="24"/>
          <w:lang w:val="en-US" w:eastAsia="zh-CN"/>
        </w:rPr>
        <w:t>等</w:t>
      </w:r>
      <w:r>
        <w:rPr>
          <w:rFonts w:hint="eastAsia" w:ascii="仿宋_GB2312" w:hAnsi="仿宋_GB2312" w:eastAsia="仿宋_GB2312"/>
          <w:color w:val="auto"/>
          <w:sz w:val="30"/>
          <w:szCs w:val="24"/>
          <w:lang w:val="en-US"/>
        </w:rPr>
        <w:t>于预算数的主要原因是</w:t>
      </w:r>
      <w:r>
        <w:rPr>
          <w:rFonts w:hint="eastAsia" w:ascii="楷体" w:hAnsi="楷体" w:eastAsia="楷体"/>
          <w:color w:val="auto"/>
          <w:sz w:val="30"/>
          <w:szCs w:val="24"/>
          <w:lang w:val="en-US"/>
        </w:rPr>
        <w:t>本年度未用一般公共预算列支</w:t>
      </w:r>
      <w:r>
        <w:rPr>
          <w:rFonts w:hint="default" w:ascii="楷体" w:hAnsi="楷体" w:eastAsia="楷体"/>
          <w:color w:val="auto"/>
          <w:sz w:val="30"/>
          <w:szCs w:val="24"/>
          <w:lang w:val="en-US"/>
        </w:rPr>
        <w:t>“</w:t>
      </w:r>
      <w:r>
        <w:rPr>
          <w:rFonts w:hint="eastAsia" w:ascii="楷体" w:hAnsi="楷体" w:eastAsia="楷体"/>
          <w:color w:val="auto"/>
          <w:sz w:val="30"/>
          <w:szCs w:val="24"/>
          <w:lang w:val="en-US"/>
        </w:rPr>
        <w:t>三公</w:t>
      </w:r>
      <w:r>
        <w:rPr>
          <w:rFonts w:hint="default" w:ascii="楷体" w:hAnsi="楷体" w:eastAsia="楷体"/>
          <w:color w:val="auto"/>
          <w:sz w:val="30"/>
          <w:szCs w:val="24"/>
          <w:lang w:val="en-US"/>
        </w:rPr>
        <w:t>”</w:t>
      </w:r>
      <w:r>
        <w:rPr>
          <w:rFonts w:hint="eastAsia" w:ascii="楷体" w:hAnsi="楷体" w:eastAsia="楷体"/>
          <w:color w:val="auto"/>
          <w:sz w:val="30"/>
          <w:szCs w:val="24"/>
          <w:lang w:val="en-US"/>
        </w:rPr>
        <w:t>经费</w:t>
      </w:r>
      <w:r>
        <w:rPr>
          <w:rFonts w:hint="default" w:ascii="楷体" w:hAnsi="楷体" w:eastAsia="楷体"/>
          <w:color w:val="auto"/>
          <w:sz w:val="30"/>
          <w:szCs w:val="24"/>
          <w:lang w:val="en-US"/>
        </w:rPr>
        <w:t>”</w:t>
      </w:r>
      <w:r>
        <w:rPr>
          <w:rFonts w:hint="eastAsia" w:ascii="仿宋_GB2312" w:hAnsi="仿宋_GB2312" w:eastAsia="仿宋_GB2312"/>
          <w:color w:val="auto"/>
          <w:sz w:val="30"/>
          <w:szCs w:val="24"/>
          <w:lang w:val="en-US"/>
        </w:rPr>
        <w:t>。决算数较上年</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的主要原因是</w:t>
      </w:r>
      <w:r>
        <w:rPr>
          <w:rFonts w:hint="eastAsia" w:ascii="楷体" w:hAnsi="楷体" w:eastAsia="楷体"/>
          <w:color w:val="auto"/>
          <w:sz w:val="30"/>
          <w:szCs w:val="24"/>
          <w:lang w:val="en-US"/>
        </w:rPr>
        <w:t>本年度未用一般公共预算列支</w:t>
      </w:r>
      <w:r>
        <w:rPr>
          <w:rFonts w:hint="default" w:ascii="楷体" w:hAnsi="楷体" w:eastAsia="楷体"/>
          <w:color w:val="auto"/>
          <w:sz w:val="30"/>
          <w:szCs w:val="24"/>
          <w:lang w:val="en-US"/>
        </w:rPr>
        <w:t>“</w:t>
      </w:r>
      <w:r>
        <w:rPr>
          <w:rFonts w:hint="eastAsia" w:ascii="楷体" w:hAnsi="楷体" w:eastAsia="楷体"/>
          <w:color w:val="auto"/>
          <w:sz w:val="30"/>
          <w:szCs w:val="24"/>
          <w:lang w:val="en-US"/>
        </w:rPr>
        <w:t>三公</w:t>
      </w:r>
      <w:r>
        <w:rPr>
          <w:rFonts w:hint="default" w:ascii="楷体" w:hAnsi="楷体" w:eastAsia="楷体"/>
          <w:color w:val="auto"/>
          <w:sz w:val="30"/>
          <w:szCs w:val="24"/>
          <w:lang w:val="en-US"/>
        </w:rPr>
        <w:t>”</w:t>
      </w:r>
      <w:r>
        <w:rPr>
          <w:rFonts w:hint="eastAsia" w:ascii="楷体" w:hAnsi="楷体" w:eastAsia="楷体"/>
          <w:color w:val="auto"/>
          <w:sz w:val="30"/>
          <w:szCs w:val="24"/>
          <w:lang w:val="en-US"/>
        </w:rPr>
        <w:t>经费</w:t>
      </w:r>
      <w:r>
        <w:rPr>
          <w:rFonts w:hint="default" w:ascii="楷体" w:hAnsi="楷体" w:eastAsia="楷体"/>
          <w:color w:val="auto"/>
          <w:sz w:val="30"/>
          <w:szCs w:val="24"/>
          <w:lang w:val="en-US"/>
        </w:rPr>
        <w:t>”</w:t>
      </w:r>
      <w:r>
        <w:rPr>
          <w:rFonts w:hint="eastAsia" w:ascii="仿宋_GB2312" w:hAnsi="仿宋_GB2312" w:eastAsia="仿宋_GB2312"/>
          <w:color w:val="auto"/>
          <w:sz w:val="30"/>
          <w:szCs w:val="24"/>
          <w:lang w:val="en-US"/>
        </w:rPr>
        <w:t>。2022年购置公务用车</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辆。</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3.公务接待费预算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w:t>
      </w:r>
      <w:r>
        <w:rPr>
          <w:rFonts w:hint="eastAsia" w:ascii="仿宋_GB2312" w:hAnsi="仿宋_GB2312" w:eastAsia="仿宋_GB2312"/>
          <w:color w:val="auto"/>
          <w:sz w:val="30"/>
          <w:szCs w:val="24"/>
          <w:lang w:val="en-US" w:eastAsia="zh-CN"/>
        </w:rPr>
        <w:t>相比持平</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olor w:val="auto"/>
          <w:sz w:val="30"/>
          <w:szCs w:val="24"/>
          <w:lang w:val="en-US" w:eastAsia="zh-CN"/>
        </w:rPr>
        <w:t>等于</w:t>
      </w:r>
      <w:r>
        <w:rPr>
          <w:rFonts w:hint="eastAsia" w:ascii="仿宋_GB2312" w:hAnsi="仿宋_GB2312" w:eastAsia="仿宋_GB2312"/>
          <w:color w:val="auto"/>
          <w:sz w:val="30"/>
          <w:szCs w:val="24"/>
          <w:lang w:val="en-US"/>
        </w:rPr>
        <w:t>预算数的主要原因是</w:t>
      </w:r>
      <w:r>
        <w:rPr>
          <w:rFonts w:hint="eastAsia" w:ascii="楷体" w:hAnsi="楷体" w:eastAsia="楷体"/>
          <w:color w:val="auto"/>
          <w:sz w:val="30"/>
          <w:szCs w:val="24"/>
          <w:lang w:val="en-US"/>
        </w:rPr>
        <w:t>本年度未用一般公共预算列支</w:t>
      </w:r>
      <w:r>
        <w:rPr>
          <w:rFonts w:hint="default" w:ascii="楷体" w:hAnsi="楷体" w:eastAsia="楷体"/>
          <w:color w:val="auto"/>
          <w:sz w:val="30"/>
          <w:szCs w:val="24"/>
          <w:lang w:val="en-US"/>
        </w:rPr>
        <w:t>“</w:t>
      </w:r>
      <w:r>
        <w:rPr>
          <w:rFonts w:hint="eastAsia" w:ascii="楷体" w:hAnsi="楷体" w:eastAsia="楷体"/>
          <w:color w:val="auto"/>
          <w:sz w:val="30"/>
          <w:szCs w:val="24"/>
          <w:lang w:val="en-US"/>
        </w:rPr>
        <w:t>三公</w:t>
      </w:r>
      <w:r>
        <w:rPr>
          <w:rFonts w:hint="default" w:ascii="楷体" w:hAnsi="楷体" w:eastAsia="楷体"/>
          <w:color w:val="auto"/>
          <w:sz w:val="30"/>
          <w:szCs w:val="24"/>
          <w:lang w:val="en-US"/>
        </w:rPr>
        <w:t>”</w:t>
      </w:r>
      <w:r>
        <w:rPr>
          <w:rFonts w:hint="eastAsia" w:ascii="楷体" w:hAnsi="楷体" w:eastAsia="楷体"/>
          <w:color w:val="auto"/>
          <w:sz w:val="30"/>
          <w:szCs w:val="24"/>
          <w:lang w:val="en-US"/>
        </w:rPr>
        <w:t>经费</w:t>
      </w:r>
      <w:r>
        <w:rPr>
          <w:rFonts w:hint="default" w:ascii="楷体" w:hAnsi="楷体" w:eastAsia="楷体"/>
          <w:color w:val="auto"/>
          <w:sz w:val="30"/>
          <w:szCs w:val="24"/>
          <w:lang w:val="en-US"/>
        </w:rPr>
        <w:t>”</w:t>
      </w:r>
      <w:r>
        <w:rPr>
          <w:rFonts w:hint="eastAsia" w:ascii="仿宋_GB2312" w:hAnsi="仿宋_GB2312" w:eastAsia="仿宋_GB2312"/>
          <w:color w:val="auto"/>
          <w:sz w:val="30"/>
          <w:szCs w:val="24"/>
          <w:lang w:val="en-US"/>
        </w:rPr>
        <w:t>。决算数较上年</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的主要原因是</w:t>
      </w:r>
      <w:r>
        <w:rPr>
          <w:rFonts w:hint="eastAsia" w:ascii="楷体" w:hAnsi="楷体" w:eastAsia="楷体"/>
          <w:color w:val="auto"/>
          <w:sz w:val="30"/>
          <w:szCs w:val="24"/>
          <w:lang w:val="en-US"/>
        </w:rPr>
        <w:t>本年度未用一般公共预算列支</w:t>
      </w:r>
      <w:r>
        <w:rPr>
          <w:rFonts w:hint="default" w:ascii="楷体" w:hAnsi="楷体" w:eastAsia="楷体"/>
          <w:color w:val="auto"/>
          <w:sz w:val="30"/>
          <w:szCs w:val="24"/>
          <w:lang w:val="en-US"/>
        </w:rPr>
        <w:t>“</w:t>
      </w:r>
      <w:r>
        <w:rPr>
          <w:rFonts w:hint="eastAsia" w:ascii="楷体" w:hAnsi="楷体" w:eastAsia="楷体"/>
          <w:color w:val="auto"/>
          <w:sz w:val="30"/>
          <w:szCs w:val="24"/>
          <w:lang w:val="en-US"/>
        </w:rPr>
        <w:t>三公</w:t>
      </w:r>
      <w:r>
        <w:rPr>
          <w:rFonts w:hint="default" w:ascii="楷体" w:hAnsi="楷体" w:eastAsia="楷体"/>
          <w:color w:val="auto"/>
          <w:sz w:val="30"/>
          <w:szCs w:val="24"/>
          <w:lang w:val="en-US"/>
        </w:rPr>
        <w:t>”</w:t>
      </w:r>
      <w:r>
        <w:rPr>
          <w:rFonts w:hint="eastAsia" w:ascii="楷体" w:hAnsi="楷体" w:eastAsia="楷体"/>
          <w:color w:val="auto"/>
          <w:sz w:val="30"/>
          <w:szCs w:val="24"/>
          <w:lang w:val="en-US"/>
        </w:rPr>
        <w:t>经费</w:t>
      </w:r>
      <w:r>
        <w:rPr>
          <w:rFonts w:hint="default" w:ascii="楷体" w:hAnsi="楷体" w:eastAsia="楷体"/>
          <w:color w:val="auto"/>
          <w:sz w:val="30"/>
          <w:szCs w:val="24"/>
          <w:lang w:val="en-US"/>
        </w:rPr>
        <w:t>”</w:t>
      </w:r>
      <w:r>
        <w:rPr>
          <w:rFonts w:hint="eastAsia" w:ascii="仿宋_GB2312" w:hAnsi="仿宋_GB2312" w:eastAsia="仿宋_GB2312"/>
          <w:color w:val="auto"/>
          <w:sz w:val="30"/>
          <w:szCs w:val="24"/>
          <w:lang w:val="en-US"/>
        </w:rPr>
        <w:t>。2022年本单位国内公务接待</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批次，</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人次；其中，外事接待</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批次，</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人次。</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pPr>
        <w:spacing w:beforeLines="0" w:afterLines="0" w:line="580" w:lineRule="exact"/>
        <w:ind w:firstLine="600"/>
        <w:rPr>
          <w:rFonts w:hint="default" w:ascii="仿宋_GB2312" w:hAnsi="仿宋_GB2312" w:eastAsia="仿宋_GB2312"/>
          <w:color w:val="auto"/>
          <w:sz w:val="30"/>
          <w:szCs w:val="24"/>
          <w:highlight w:val="none"/>
          <w:lang w:val="en-US"/>
        </w:rPr>
      </w:pPr>
      <w:r>
        <w:rPr>
          <w:rFonts w:hint="eastAsia" w:ascii="仿宋_GB2312" w:hAnsi="仿宋_GB2312" w:eastAsia="仿宋_GB2312"/>
          <w:color w:val="auto"/>
          <w:sz w:val="30"/>
          <w:szCs w:val="24"/>
          <w:highlight w:val="none"/>
          <w:lang w:val="en-US"/>
        </w:rPr>
        <w:t>机关运行经费是指行政单位和参照公务员法管理的事业单位使用一般公共预算财政拨款安排的基本支出中的日常公用经费支出，天津市东丽区民政事务服务中心2022年度</w:t>
      </w:r>
      <w:r>
        <w:rPr>
          <w:rFonts w:hint="eastAsia" w:ascii="仿宋_GB2312" w:hAnsi="仿宋_GB2312" w:eastAsia="仿宋_GB2312"/>
          <w:color w:val="auto"/>
          <w:sz w:val="30"/>
          <w:szCs w:val="24"/>
          <w:highlight w:val="none"/>
          <w:lang w:val="en-US" w:eastAsia="zh-CN"/>
        </w:rPr>
        <w:t>无</w:t>
      </w:r>
      <w:r>
        <w:rPr>
          <w:rFonts w:hint="eastAsia" w:ascii="仿宋_GB2312" w:hAnsi="仿宋_GB2312" w:eastAsia="仿宋_GB2312"/>
          <w:color w:val="auto"/>
          <w:sz w:val="30"/>
          <w:szCs w:val="24"/>
          <w:highlight w:val="none"/>
          <w:lang w:val="en-US"/>
        </w:rPr>
        <w:t>机关运行经费。</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pPr>
        <w:spacing w:beforeLines="0" w:afterLines="0" w:line="600" w:lineRule="exact"/>
        <w:ind w:firstLine="600"/>
        <w:rPr>
          <w:rFonts w:hint="eastAsia" w:ascii="仿宋_GB2312" w:hAnsi="仿宋_GB2312" w:eastAsia="仿宋_GB2312"/>
          <w:color w:val="auto"/>
          <w:sz w:val="30"/>
          <w:szCs w:val="24"/>
          <w:highlight w:val="white"/>
          <w:u w:val="none"/>
          <w:lang w:val="en-US"/>
        </w:rPr>
      </w:pPr>
      <w:r>
        <w:rPr>
          <w:rFonts w:hint="eastAsia" w:ascii="仿宋_GB2312" w:hAnsi="仿宋_GB2312" w:eastAsia="仿宋_GB2312"/>
          <w:color w:val="000000"/>
          <w:sz w:val="30"/>
          <w:szCs w:val="24"/>
          <w:lang w:val="en-US"/>
        </w:rPr>
        <w:t>天津市东丽区民政事务服务中心</w:t>
      </w:r>
      <w:r>
        <w:rPr>
          <w:rFonts w:hint="eastAsia" w:ascii="宋体" w:hAnsi="宋体" w:eastAsia="宋体"/>
          <w:color w:val="000000"/>
          <w:sz w:val="30"/>
          <w:szCs w:val="24"/>
          <w:lang w:val="en-US"/>
        </w:rPr>
        <w:t>2022</w:t>
      </w:r>
      <w:r>
        <w:rPr>
          <w:rFonts w:hint="eastAsia" w:ascii="仿宋_GB2312" w:hAnsi="仿宋_GB2312" w:eastAsia="仿宋_GB2312"/>
          <w:color w:val="000000"/>
          <w:sz w:val="30"/>
          <w:szCs w:val="24"/>
          <w:lang w:val="en-US"/>
        </w:rPr>
        <w:t>年</w:t>
      </w:r>
      <w:r>
        <w:rPr>
          <w:rFonts w:hint="eastAsia" w:ascii="仿宋_GB2312" w:hAnsi="仿宋_GB2312" w:eastAsia="仿宋_GB2312"/>
          <w:color w:val="auto"/>
          <w:kern w:val="2"/>
          <w:sz w:val="30"/>
          <w:szCs w:val="24"/>
          <w:lang w:val="en-US"/>
        </w:rPr>
        <w:t>政府</w:t>
      </w:r>
      <w:r>
        <w:rPr>
          <w:rFonts w:hint="eastAsia" w:ascii="仿宋_GB2312" w:hAnsi="仿宋_GB2312" w:eastAsia="仿宋_GB2312"/>
          <w:color w:val="000000"/>
          <w:sz w:val="30"/>
          <w:szCs w:val="24"/>
          <w:lang w:val="en-US"/>
        </w:rPr>
        <w:t>采购支出总额</w:t>
      </w:r>
      <w:r>
        <w:rPr>
          <w:rFonts w:hint="default" w:ascii="Times New Roman" w:hAnsi="Times New Roman" w:eastAsia="Times New Roman"/>
          <w:color w:val="auto"/>
          <w:sz w:val="30"/>
          <w:szCs w:val="24"/>
          <w:lang w:val="en-US"/>
        </w:rPr>
        <w:t>5,600,000.00</w:t>
      </w:r>
      <w:r>
        <w:rPr>
          <w:rFonts w:hint="eastAsia" w:ascii="仿宋_GB2312" w:hAnsi="仿宋_GB2312" w:eastAsia="仿宋_GB2312"/>
          <w:color w:val="000000"/>
          <w:sz w:val="30"/>
          <w:szCs w:val="24"/>
          <w:lang w:val="en-US"/>
        </w:rPr>
        <w:t>元，其中：政府采购货物支出</w:t>
      </w:r>
      <w:r>
        <w:rPr>
          <w:rFonts w:hint="default" w:ascii="Times New Roman" w:hAnsi="Times New Roman" w:eastAsia="Times New Roman"/>
          <w:color w:val="auto"/>
          <w:sz w:val="30"/>
          <w:szCs w:val="24"/>
          <w:lang w:val="en-US"/>
        </w:rPr>
        <w:t>5,600,000.00</w:t>
      </w:r>
      <w:r>
        <w:rPr>
          <w:rFonts w:hint="eastAsia" w:ascii="仿宋_GB2312" w:hAnsi="仿宋_GB2312" w:eastAsia="仿宋_GB2312"/>
          <w:color w:val="000000"/>
          <w:sz w:val="30"/>
          <w:szCs w:val="24"/>
          <w:lang w:val="en-US"/>
        </w:rPr>
        <w:t>元、政府采购工程支出</w:t>
      </w:r>
      <w:r>
        <w:rPr>
          <w:rFonts w:hint="default" w:ascii="Times New Roman" w:hAnsi="Times New Roman" w:eastAsia="Times New Roman"/>
          <w:color w:val="auto"/>
          <w:sz w:val="30"/>
          <w:szCs w:val="24"/>
          <w:lang w:val="en-US"/>
        </w:rPr>
        <w:t>0.00</w:t>
      </w:r>
      <w:r>
        <w:rPr>
          <w:rFonts w:hint="eastAsia" w:ascii="仿宋_GB2312" w:hAnsi="仿宋_GB2312" w:eastAsia="仿宋_GB2312"/>
          <w:color w:val="000000"/>
          <w:sz w:val="30"/>
          <w:szCs w:val="24"/>
          <w:lang w:val="en-US"/>
        </w:rPr>
        <w:t>元、政府采购服务支出</w:t>
      </w:r>
      <w:r>
        <w:rPr>
          <w:rFonts w:hint="default" w:ascii="Times New Roman" w:hAnsi="Times New Roman" w:eastAsia="Times New Roman"/>
          <w:color w:val="auto"/>
          <w:sz w:val="30"/>
          <w:szCs w:val="24"/>
          <w:lang w:val="en-US"/>
        </w:rPr>
        <w:t>0.00</w:t>
      </w:r>
      <w:r>
        <w:rPr>
          <w:rFonts w:hint="eastAsia" w:ascii="仿宋_GB2312" w:hAnsi="仿宋_GB2312" w:eastAsia="仿宋_GB2312"/>
          <w:color w:val="000000"/>
          <w:sz w:val="30"/>
          <w:szCs w:val="24"/>
          <w:lang w:val="en-US"/>
        </w:rPr>
        <w:t>元。授予中小企业合同金额</w:t>
      </w:r>
      <w:r>
        <w:rPr>
          <w:rFonts w:hint="default" w:ascii="Times New Roman" w:hAnsi="Times New Roman" w:eastAsia="Times New Roman"/>
          <w:color w:val="auto"/>
          <w:sz w:val="30"/>
          <w:szCs w:val="24"/>
          <w:lang w:val="en-US"/>
        </w:rPr>
        <w:t>5,600,000.00</w:t>
      </w:r>
      <w:r>
        <w:rPr>
          <w:rFonts w:hint="eastAsia" w:ascii="仿宋_GB2312" w:hAnsi="仿宋_GB2312" w:eastAsia="仿宋_GB2312"/>
          <w:color w:val="000000"/>
          <w:sz w:val="30"/>
          <w:szCs w:val="24"/>
          <w:lang w:val="en-US"/>
        </w:rPr>
        <w:t>元，占政府采购支出总额的</w:t>
      </w:r>
      <w:r>
        <w:rPr>
          <w:rFonts w:hint="default" w:ascii="Times New Roman" w:hAnsi="Times New Roman" w:eastAsia="Times New Roman"/>
          <w:color w:val="auto"/>
          <w:sz w:val="30"/>
          <w:szCs w:val="24"/>
          <w:lang w:val="en-US"/>
        </w:rPr>
        <w:t>100.00</w:t>
      </w:r>
      <w:r>
        <w:rPr>
          <w:rFonts w:hint="eastAsia" w:ascii="仿宋_GB2312" w:hAnsi="仿宋_GB2312" w:eastAsia="仿宋_GB2312"/>
          <w:color w:val="000000"/>
          <w:sz w:val="30"/>
          <w:szCs w:val="24"/>
          <w:lang w:val="en-US"/>
        </w:rPr>
        <w:t>%，其中：授予小微企业合同金额</w:t>
      </w:r>
      <w:r>
        <w:rPr>
          <w:rFonts w:hint="default" w:ascii="Times New Roman" w:hAnsi="Times New Roman" w:eastAsia="Times New Roman"/>
          <w:color w:val="auto"/>
          <w:sz w:val="30"/>
          <w:szCs w:val="24"/>
          <w:lang w:val="en-US"/>
        </w:rPr>
        <w:t>5,600,000.00</w:t>
      </w:r>
      <w:r>
        <w:rPr>
          <w:rFonts w:hint="eastAsia" w:ascii="仿宋_GB2312" w:hAnsi="仿宋_GB2312" w:eastAsia="仿宋_GB2312"/>
          <w:color w:val="000000"/>
          <w:sz w:val="30"/>
          <w:szCs w:val="24"/>
          <w:lang w:val="en-US"/>
        </w:rPr>
        <w:t>元，占政府采购支出总额的</w:t>
      </w:r>
      <w:r>
        <w:rPr>
          <w:rFonts w:hint="default" w:ascii="Times New Roman" w:hAnsi="Times New Roman" w:eastAsia="Times New Roman"/>
          <w:color w:val="auto"/>
          <w:sz w:val="30"/>
          <w:szCs w:val="24"/>
          <w:lang w:val="en-US"/>
        </w:rPr>
        <w:t>100.00</w:t>
      </w:r>
      <w:r>
        <w:rPr>
          <w:rFonts w:hint="eastAsia" w:ascii="仿宋_GB2312" w:hAnsi="仿宋_GB2312" w:eastAsia="仿宋_GB2312"/>
          <w:color w:val="000000"/>
          <w:sz w:val="30"/>
          <w:szCs w:val="24"/>
          <w:lang w:val="en-US"/>
        </w:rPr>
        <w:t>%；</w:t>
      </w:r>
      <w:r>
        <w:rPr>
          <w:rFonts w:hint="eastAsia" w:ascii="仿宋_GB2312" w:hAnsi="仿宋_GB2312" w:eastAsia="仿宋_GB2312"/>
          <w:color w:val="auto"/>
          <w:sz w:val="30"/>
          <w:szCs w:val="24"/>
          <w:highlight w:val="white"/>
          <w:lang w:val="en-US"/>
        </w:rPr>
        <w:t>货物采购授予中小企业合同金额占货物支出金额的</w:t>
      </w:r>
      <w:r>
        <w:rPr>
          <w:rFonts w:hint="eastAsia"/>
          <w:color w:val="auto"/>
          <w:sz w:val="30"/>
          <w:szCs w:val="24"/>
          <w:highlight w:val="white"/>
          <w:u w:val="none"/>
          <w:lang w:val="en-US" w:eastAsia="zh-CN"/>
        </w:rPr>
        <w:t>0.00</w:t>
      </w:r>
      <w:r>
        <w:rPr>
          <w:rFonts w:hint="eastAsia" w:ascii="仿宋_GB2312" w:hAnsi="仿宋_GB2312" w:eastAsia="仿宋_GB2312"/>
          <w:color w:val="auto"/>
          <w:sz w:val="30"/>
          <w:szCs w:val="24"/>
          <w:highlight w:val="white"/>
          <w:u w:val="none"/>
          <w:lang w:val="en-US"/>
        </w:rPr>
        <w:t>%，工程采购授予中小企业合同金额占工程支出金额的</w:t>
      </w:r>
      <w:r>
        <w:rPr>
          <w:rFonts w:hint="eastAsia"/>
          <w:color w:val="auto"/>
          <w:sz w:val="30"/>
          <w:szCs w:val="24"/>
          <w:highlight w:val="white"/>
          <w:u w:val="none"/>
          <w:lang w:val="en-US" w:eastAsia="zh-CN"/>
        </w:rPr>
        <w:t>0.00</w:t>
      </w:r>
      <w:r>
        <w:rPr>
          <w:rFonts w:hint="eastAsia" w:ascii="仿宋_GB2312" w:hAnsi="仿宋_GB2312" w:eastAsia="仿宋_GB2312"/>
          <w:color w:val="auto"/>
          <w:sz w:val="30"/>
          <w:szCs w:val="24"/>
          <w:highlight w:val="white"/>
          <w:u w:val="none"/>
          <w:lang w:val="en-US"/>
        </w:rPr>
        <w:t>%，服务采购授予中小企业合同金额占服务支出金额的</w:t>
      </w:r>
      <w:r>
        <w:rPr>
          <w:rFonts w:hint="eastAsia"/>
          <w:color w:val="auto"/>
          <w:sz w:val="30"/>
          <w:szCs w:val="24"/>
          <w:highlight w:val="white"/>
          <w:u w:val="none"/>
          <w:lang w:val="en-US" w:eastAsia="zh-CN"/>
        </w:rPr>
        <w:t>0.00</w:t>
      </w:r>
      <w:r>
        <w:rPr>
          <w:rFonts w:hint="eastAsia" w:ascii="仿宋_GB2312" w:hAnsi="仿宋_GB2312" w:eastAsia="仿宋_GB2312"/>
          <w:color w:val="auto"/>
          <w:sz w:val="30"/>
          <w:szCs w:val="24"/>
          <w:highlight w:val="white"/>
          <w:u w:val="none"/>
          <w:lang w:val="en-US"/>
        </w:rPr>
        <w:t>%。</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pPr>
        <w:spacing w:beforeLines="0" w:afterLines="0" w:line="580" w:lineRule="exact"/>
        <w:ind w:firstLine="600"/>
        <w:rPr>
          <w:rFonts w:hint="eastAsia" w:ascii="楷体" w:hAnsi="楷体" w:eastAsia="楷体"/>
          <w:color w:val="auto"/>
          <w:sz w:val="30"/>
          <w:szCs w:val="24"/>
          <w:lang w:val="en-US"/>
        </w:rPr>
      </w:pPr>
      <w:r>
        <w:rPr>
          <w:rFonts w:hint="eastAsia" w:ascii="仿宋_GB2312" w:hAnsi="仿宋_GB2312" w:eastAsia="仿宋_GB2312"/>
          <w:color w:val="000000"/>
          <w:sz w:val="30"/>
          <w:szCs w:val="24"/>
          <w:lang w:val="en-US"/>
        </w:rPr>
        <w:t>天津市东丽区民政事务服务中心</w:t>
      </w:r>
      <w:r>
        <w:rPr>
          <w:rFonts w:hint="eastAsia" w:ascii="仿宋_GB2312" w:hAnsi="仿宋_GB2312" w:eastAsia="仿宋_GB2312"/>
          <w:color w:val="000000"/>
          <w:sz w:val="30"/>
          <w:szCs w:val="24"/>
          <w:lang w:val="en-US" w:eastAsia="zh-CN"/>
        </w:rPr>
        <w:t>2022年度无国有资产占有使用情况。</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pPr>
        <w:keepNext/>
        <w:keepLines/>
        <w:spacing w:beforeLines="0" w:afterLines="0" w:line="600" w:lineRule="exact"/>
        <w:ind w:firstLine="600"/>
        <w:jc w:val="both"/>
        <w:rPr>
          <w:rFonts w:hint="eastAsia" w:ascii="仿宋_GB2312" w:hAnsi="仿宋_GB2312" w:eastAsia="仿宋_GB2312"/>
          <w:color w:val="auto"/>
          <w:sz w:val="30"/>
          <w:szCs w:val="24"/>
          <w:highlight w:val="white"/>
          <w:lang w:val="en-US"/>
        </w:rPr>
      </w:pPr>
      <w:r>
        <w:rPr>
          <w:rFonts w:hint="eastAsia" w:ascii="仿宋_GB2312" w:hAnsi="仿宋_GB2312" w:eastAsia="仿宋_GB2312"/>
          <w:color w:val="auto"/>
          <w:sz w:val="30"/>
          <w:szCs w:val="24"/>
          <w:highlight w:val="white"/>
          <w:lang w:val="en-US"/>
        </w:rPr>
        <w:t>根据预算绩效管理要求，天津市</w:t>
      </w:r>
      <w:r>
        <w:rPr>
          <w:rFonts w:hint="eastAsia" w:ascii="仿宋_GB2312" w:hAnsi="仿宋_GB2312" w:eastAsia="仿宋_GB2312"/>
          <w:color w:val="auto"/>
          <w:sz w:val="30"/>
          <w:szCs w:val="24"/>
          <w:highlight w:val="white"/>
          <w:lang w:val="en-US" w:eastAsia="zh-CN"/>
        </w:rPr>
        <w:t>东丽区民政事务服务中心</w:t>
      </w:r>
      <w:r>
        <w:rPr>
          <w:rFonts w:hint="eastAsia" w:ascii="仿宋_GB2312" w:hAnsi="仿宋_GB2312" w:eastAsia="仿宋_GB2312"/>
          <w:color w:val="auto"/>
          <w:sz w:val="30"/>
          <w:szCs w:val="24"/>
          <w:highlight w:val="white"/>
          <w:lang w:val="en-US"/>
        </w:rPr>
        <w:t>2022年度已对</w:t>
      </w:r>
      <w:r>
        <w:rPr>
          <w:rFonts w:hint="eastAsia"/>
          <w:color w:val="auto"/>
          <w:sz w:val="30"/>
          <w:szCs w:val="24"/>
          <w:highlight w:val="white"/>
          <w:u w:val="none"/>
          <w:lang w:val="en-US" w:eastAsia="zh-CN"/>
        </w:rPr>
        <w:t>9</w:t>
      </w:r>
      <w:r>
        <w:rPr>
          <w:rFonts w:hint="eastAsia" w:ascii="仿宋_GB2312" w:hAnsi="仿宋_GB2312" w:eastAsia="仿宋_GB2312"/>
          <w:color w:val="auto"/>
          <w:sz w:val="30"/>
          <w:szCs w:val="24"/>
          <w:highlight w:val="white"/>
          <w:lang w:val="en-US"/>
        </w:rPr>
        <w:t>个项目开展绩效自评，涉及金额</w:t>
      </w:r>
      <w:r>
        <w:rPr>
          <w:rFonts w:hint="eastAsia"/>
          <w:color w:val="auto"/>
          <w:sz w:val="30"/>
          <w:szCs w:val="24"/>
          <w:highlight w:val="white"/>
          <w:u w:val="none"/>
          <w:lang w:val="en-US" w:eastAsia="zh-CN"/>
        </w:rPr>
        <w:t>1,537,394.34</w:t>
      </w:r>
      <w:r>
        <w:rPr>
          <w:rFonts w:hint="eastAsia" w:ascii="仿宋_GB2312" w:hAnsi="仿宋_GB2312" w:eastAsia="仿宋_GB2312"/>
          <w:color w:val="auto"/>
          <w:sz w:val="30"/>
          <w:szCs w:val="24"/>
          <w:highlight w:val="white"/>
          <w:lang w:val="en-US"/>
        </w:rPr>
        <w:t>元，自评结果已随部门决算一并公开。</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教育、医疗卫、社会保障和就业、住房保障、涉农补贴等民生支出情况说明</w:t>
      </w:r>
    </w:p>
    <w:p>
      <w:pPr>
        <w:spacing w:line="600" w:lineRule="exact"/>
        <w:ind w:firstLine="600"/>
        <w:rPr>
          <w:rFonts w:hint="eastAsia" w:ascii="仿宋_GB2312" w:hAnsi="仿宋_GB2312" w:eastAsia="仿宋_GB2312" w:cs="Times New Roman"/>
          <w:color w:val="auto"/>
          <w:sz w:val="30"/>
          <w:szCs w:val="24"/>
          <w:lang w:val="en-US"/>
        </w:rPr>
      </w:pPr>
      <w:r>
        <w:rPr>
          <w:rFonts w:hint="eastAsia" w:ascii="仿宋_GB2312" w:hAnsi="仿宋_GB2312" w:eastAsia="仿宋_GB2312"/>
          <w:color w:val="auto"/>
          <w:sz w:val="30"/>
          <w:szCs w:val="24"/>
          <w:lang w:val="en-US"/>
        </w:rPr>
        <w:t>2022年度，天津市</w:t>
      </w:r>
      <w:r>
        <w:rPr>
          <w:rFonts w:hint="eastAsia" w:ascii="仿宋_GB2312" w:hAnsi="仿宋_GB2312" w:eastAsia="仿宋_GB2312"/>
          <w:color w:val="auto"/>
          <w:sz w:val="30"/>
          <w:szCs w:val="24"/>
          <w:lang w:val="en-US" w:eastAsia="zh-CN"/>
        </w:rPr>
        <w:t>东丽区民政事务服务中心</w:t>
      </w:r>
      <w:r>
        <w:rPr>
          <w:rFonts w:hint="eastAsia" w:ascii="仿宋_GB2312" w:hAnsi="仿宋_GB2312" w:eastAsia="仿宋_GB2312" w:cs="Times New Roman"/>
          <w:color w:val="auto"/>
          <w:sz w:val="30"/>
          <w:szCs w:val="24"/>
          <w:lang w:val="en-US"/>
        </w:rPr>
        <w:t>不属于乡、镇、街级单位，不涉及公开2022 年度教育、医疗卫生社会保障和就业、住房保障、涉农补贴等民生支出情况。</w:t>
      </w:r>
    </w:p>
    <w:p>
      <w:pPr>
        <w:spacing w:beforeLines="0" w:afterLines="0"/>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pPr>
        <w:pStyle w:val="2"/>
        <w:keepNext/>
        <w:keepLines/>
        <w:spacing w:beforeLines="0" w:afterLines="0" w:line="600" w:lineRule="exact"/>
        <w:jc w:val="center"/>
        <w:rPr>
          <w:rFonts w:hint="eastAsia" w:ascii="方正小标宋简体" w:hAnsi="方正小标宋简体" w:eastAsia="方正小标宋简体"/>
          <w:color w:val="auto"/>
          <w:kern w:val="44"/>
          <w:sz w:val="44"/>
          <w:szCs w:val="24"/>
          <w:lang w:val="en-US"/>
        </w:rPr>
      </w:pPr>
      <w:r>
        <w:rPr>
          <w:rFonts w:hint="eastAsia" w:ascii="方正小标宋简体" w:hAnsi="方正小标宋简体" w:eastAsia="方正小标宋简体"/>
          <w:color w:val="auto"/>
          <w:kern w:val="44"/>
          <w:sz w:val="44"/>
          <w:szCs w:val="24"/>
          <w:lang w:val="en-US"/>
        </w:rPr>
        <w:t>第四部分  名词解释</w:t>
      </w:r>
    </w:p>
    <w:p>
      <w:pPr>
        <w:spacing w:beforeLines="0" w:afterLines="0" w:line="600" w:lineRule="exact"/>
        <w:ind w:firstLine="600"/>
        <w:rPr>
          <w:rFonts w:hint="eastAsia" w:ascii="仿宋_GB2312" w:hAnsi="仿宋_GB2312" w:eastAsia="仿宋_GB2312"/>
          <w:color w:val="auto"/>
          <w:sz w:val="30"/>
          <w:szCs w:val="24"/>
          <w:lang w:val="en-US"/>
        </w:rPr>
      </w:pP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宋体" w:hAnsi="宋体" w:eastAsia="宋体"/>
          <w:color w:val="auto"/>
          <w:sz w:val="24"/>
          <w:szCs w:val="24"/>
          <w:lang w:val="en-US"/>
        </w:rPr>
        <w:t>1.</w:t>
      </w:r>
      <w:r>
        <w:rPr>
          <w:rFonts w:hint="eastAsia" w:ascii="仿宋_GB2312" w:hAnsi="仿宋_GB2312" w:eastAsia="仿宋_GB2312"/>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3.</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三公</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ZDA5ODA3NTgzNjJiYjc0MzM5ZDViMTJhNWUwYjgifQ=="/>
  </w:docVars>
  <w:rsids>
    <w:rsidRoot w:val="00172A27"/>
    <w:rsid w:val="012C5161"/>
    <w:rsid w:val="03014ED2"/>
    <w:rsid w:val="04C64E6C"/>
    <w:rsid w:val="0AAF0C6D"/>
    <w:rsid w:val="0AB74996"/>
    <w:rsid w:val="10081D1E"/>
    <w:rsid w:val="115E5409"/>
    <w:rsid w:val="12FC58B1"/>
    <w:rsid w:val="14496F20"/>
    <w:rsid w:val="198527A8"/>
    <w:rsid w:val="1C9B0535"/>
    <w:rsid w:val="1F345D75"/>
    <w:rsid w:val="211946F4"/>
    <w:rsid w:val="224534CB"/>
    <w:rsid w:val="25BC2E15"/>
    <w:rsid w:val="260E3B25"/>
    <w:rsid w:val="296C74E1"/>
    <w:rsid w:val="2B6F150A"/>
    <w:rsid w:val="2CE95B0E"/>
    <w:rsid w:val="30D2475E"/>
    <w:rsid w:val="37FE0E2D"/>
    <w:rsid w:val="38A52F17"/>
    <w:rsid w:val="3D401C8D"/>
    <w:rsid w:val="3F111E31"/>
    <w:rsid w:val="3F4E170B"/>
    <w:rsid w:val="402C30CE"/>
    <w:rsid w:val="43D25540"/>
    <w:rsid w:val="43D67F21"/>
    <w:rsid w:val="44621C79"/>
    <w:rsid w:val="44B73164"/>
    <w:rsid w:val="489953CE"/>
    <w:rsid w:val="51961169"/>
    <w:rsid w:val="51BA49DE"/>
    <w:rsid w:val="52412A09"/>
    <w:rsid w:val="53514ECE"/>
    <w:rsid w:val="544D38E7"/>
    <w:rsid w:val="54C16083"/>
    <w:rsid w:val="567C5DDB"/>
    <w:rsid w:val="570C6185"/>
    <w:rsid w:val="5B4F43E9"/>
    <w:rsid w:val="5E1B2CA8"/>
    <w:rsid w:val="5FC8476A"/>
    <w:rsid w:val="62D47AE0"/>
    <w:rsid w:val="62D6425F"/>
    <w:rsid w:val="634436DA"/>
    <w:rsid w:val="66C9435B"/>
    <w:rsid w:val="6A1B204A"/>
    <w:rsid w:val="6FC073F7"/>
    <w:rsid w:val="7259599E"/>
    <w:rsid w:val="73555EBD"/>
    <w:rsid w:val="74084E89"/>
    <w:rsid w:val="781A42C2"/>
    <w:rsid w:val="79D258F0"/>
    <w:rsid w:val="7C2F7BF3"/>
    <w:rsid w:val="7DF80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5">
    <w:name w:val="Default Paragraph Font"/>
    <w:semiHidden/>
    <w:unhideWhenUsed/>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2023-09-15T07:55:00Z</dcterms:created>
  <dc:creator>Administrator</dc:creator>
  <cp:lastModifiedBy>鱼</cp:lastModifiedBy>
  <dcterms:modified xsi:type="dcterms:W3CDTF">2023-09-21T08:32:47Z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CBBB4E94DD144E32AC3C927E6CB10C4B_13</vt:lpwstr>
  </property>
</Properties>
</file>