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bCs/>
          <w:sz w:val="72"/>
          <w:szCs w:val="72"/>
          <w:highlight w:val="none"/>
        </w:rPr>
      </w:pPr>
    </w:p>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bCs/>
          <w:sz w:val="48"/>
          <w:szCs w:val="48"/>
          <w:highlight w:val="none"/>
          <w:lang w:eastAsia="zh-CN"/>
        </w:rPr>
      </w:pPr>
      <w:r>
        <w:rPr>
          <w:rFonts w:hint="eastAsia" w:ascii="宋体" w:hAnsi="宋体" w:cs="宋体"/>
          <w:b/>
          <w:bCs/>
          <w:i w:val="0"/>
          <w:iCs w:val="0"/>
          <w:caps w:val="0"/>
          <w:color w:val="404040"/>
          <w:spacing w:val="0"/>
          <w:sz w:val="48"/>
          <w:szCs w:val="48"/>
          <w:highlight w:val="none"/>
          <w:shd w:val="clear" w:fill="FFFFFF"/>
          <w:lang w:eastAsia="zh-CN"/>
        </w:rPr>
        <w:t>天津市东丽区市场监督管理局202</w:t>
      </w:r>
      <w:r>
        <w:rPr>
          <w:rFonts w:hint="eastAsia" w:ascii="宋体" w:hAnsi="宋体" w:cs="宋体"/>
          <w:b/>
          <w:bCs/>
          <w:i w:val="0"/>
          <w:iCs w:val="0"/>
          <w:caps w:val="0"/>
          <w:color w:val="404040"/>
          <w:spacing w:val="0"/>
          <w:sz w:val="48"/>
          <w:szCs w:val="48"/>
          <w:highlight w:val="none"/>
          <w:shd w:val="clear" w:fill="FFFFFF"/>
          <w:lang w:val="en-US" w:eastAsia="zh-CN"/>
        </w:rPr>
        <w:t>3</w:t>
      </w:r>
      <w:r>
        <w:rPr>
          <w:rFonts w:hint="eastAsia" w:ascii="宋体" w:hAnsi="宋体" w:cs="宋体"/>
          <w:b/>
          <w:bCs/>
          <w:i w:val="0"/>
          <w:iCs w:val="0"/>
          <w:caps w:val="0"/>
          <w:color w:val="404040"/>
          <w:spacing w:val="0"/>
          <w:sz w:val="48"/>
          <w:szCs w:val="48"/>
          <w:highlight w:val="none"/>
          <w:shd w:val="clear" w:fill="FFFFFF"/>
          <w:lang w:eastAsia="zh-CN"/>
        </w:rPr>
        <w:t>年度食用农产品快检室抽检服务项目</w:t>
      </w:r>
    </w:p>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bCs/>
          <w:sz w:val="84"/>
          <w:szCs w:val="84"/>
          <w:highlight w:val="none"/>
        </w:rPr>
      </w:pPr>
    </w:p>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bCs/>
          <w:sz w:val="52"/>
          <w:szCs w:val="52"/>
          <w:highlight w:val="none"/>
        </w:rPr>
      </w:pPr>
    </w:p>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bCs/>
          <w:sz w:val="52"/>
          <w:szCs w:val="52"/>
          <w:highlight w:val="none"/>
        </w:rPr>
      </w:pPr>
      <w:r>
        <w:rPr>
          <w:rFonts w:hint="eastAsia" w:ascii="宋体" w:hAnsi="宋体" w:eastAsia="宋体" w:cs="宋体"/>
          <w:b/>
          <w:bCs/>
          <w:sz w:val="52"/>
          <w:szCs w:val="52"/>
          <w:highlight w:val="none"/>
          <w:lang w:val="en-US" w:eastAsia="zh-CN"/>
        </w:rPr>
        <w:t>招标</w:t>
      </w:r>
      <w:r>
        <w:rPr>
          <w:rFonts w:hint="eastAsia" w:ascii="宋体" w:hAnsi="宋体" w:eastAsia="宋体" w:cs="宋体"/>
          <w:b/>
          <w:bCs/>
          <w:sz w:val="52"/>
          <w:szCs w:val="52"/>
          <w:highlight w:val="none"/>
        </w:rPr>
        <w:t>文件</w:t>
      </w:r>
    </w:p>
    <w:p>
      <w:pPr>
        <w:keepNext w:val="0"/>
        <w:keepLines w:val="0"/>
        <w:pageBreakBefore w:val="0"/>
        <w:kinsoku/>
        <w:wordWrap/>
        <w:overflowPunct/>
        <w:topLinePunct w:val="0"/>
        <w:bidi w:val="0"/>
        <w:snapToGrid/>
        <w:spacing w:line="360" w:lineRule="auto"/>
        <w:jc w:val="center"/>
        <w:textAlignment w:val="auto"/>
        <w:rPr>
          <w:rFonts w:hint="default" w:ascii="宋体" w:hAnsi="宋体" w:eastAsia="宋体" w:cs="宋体"/>
          <w:b/>
          <w:bCs/>
          <w:sz w:val="32"/>
          <w:szCs w:val="32"/>
          <w:highlight w:val="none"/>
          <w:lang w:val="en-US" w:eastAsia="zh-CN"/>
        </w:rPr>
      </w:pPr>
      <w:r>
        <w:rPr>
          <w:rFonts w:hint="eastAsia" w:ascii="宋体" w:hAnsi="宋体" w:eastAsia="宋体" w:cs="宋体"/>
          <w:b/>
          <w:bCs/>
          <w:sz w:val="32"/>
          <w:szCs w:val="32"/>
          <w:highlight w:val="none"/>
        </w:rPr>
        <w:t>项目编号：</w:t>
      </w:r>
      <w:r>
        <w:rPr>
          <w:rFonts w:hint="eastAsia" w:ascii="宋体" w:hAnsi="宋体" w:cs="宋体"/>
          <w:b/>
          <w:bCs/>
          <w:sz w:val="32"/>
          <w:szCs w:val="32"/>
          <w:highlight w:val="none"/>
          <w:lang w:eastAsia="zh-CN"/>
        </w:rPr>
        <w:t>ZYZXZC-</w:t>
      </w:r>
      <w:r>
        <w:rPr>
          <w:rFonts w:hint="eastAsia" w:ascii="宋体" w:hAnsi="宋体" w:cs="宋体"/>
          <w:b/>
          <w:bCs/>
          <w:sz w:val="32"/>
          <w:szCs w:val="32"/>
          <w:highlight w:val="none"/>
          <w:lang w:val="en-US" w:eastAsia="zh-CN"/>
        </w:rPr>
        <w:t>2023</w:t>
      </w:r>
      <w:r>
        <w:rPr>
          <w:rFonts w:hint="eastAsia" w:ascii="宋体" w:hAnsi="宋体" w:cs="宋体"/>
          <w:b/>
          <w:bCs/>
          <w:sz w:val="32"/>
          <w:szCs w:val="32"/>
          <w:highlight w:val="none"/>
          <w:lang w:eastAsia="zh-CN"/>
        </w:rPr>
        <w:t>-00</w:t>
      </w:r>
      <w:r>
        <w:rPr>
          <w:rFonts w:hint="eastAsia" w:ascii="宋体" w:hAnsi="宋体" w:cs="宋体"/>
          <w:b/>
          <w:bCs/>
          <w:sz w:val="32"/>
          <w:szCs w:val="32"/>
          <w:highlight w:val="none"/>
          <w:lang w:val="en-US" w:eastAsia="zh-CN"/>
        </w:rPr>
        <w:t>1</w:t>
      </w:r>
    </w:p>
    <w:p>
      <w:pPr>
        <w:keepNext w:val="0"/>
        <w:keepLines w:val="0"/>
        <w:pageBreakBefore w:val="0"/>
        <w:kinsoku/>
        <w:wordWrap/>
        <w:overflowPunct/>
        <w:topLinePunct w:val="0"/>
        <w:bidi w:val="0"/>
        <w:snapToGrid/>
        <w:spacing w:beforeLines="50" w:afterLines="50" w:line="360" w:lineRule="auto"/>
        <w:jc w:val="center"/>
        <w:textAlignment w:val="auto"/>
        <w:rPr>
          <w:rFonts w:hint="eastAsia" w:ascii="宋体" w:hAnsi="宋体" w:eastAsia="宋体" w:cs="宋体"/>
          <w:b/>
          <w:bCs/>
          <w:sz w:val="32"/>
          <w:szCs w:val="32"/>
          <w:highlight w:val="none"/>
        </w:rPr>
      </w:pPr>
    </w:p>
    <w:p>
      <w:pPr>
        <w:keepNext w:val="0"/>
        <w:keepLines w:val="0"/>
        <w:pageBreakBefore w:val="0"/>
        <w:kinsoku/>
        <w:wordWrap/>
        <w:overflowPunct/>
        <w:topLinePunct w:val="0"/>
        <w:bidi w:val="0"/>
        <w:snapToGrid/>
        <w:spacing w:beforeLines="50" w:afterLines="50" w:line="360" w:lineRule="auto"/>
        <w:jc w:val="center"/>
        <w:textAlignment w:val="auto"/>
        <w:rPr>
          <w:rFonts w:hint="eastAsia" w:ascii="宋体" w:hAnsi="宋体" w:eastAsia="宋体" w:cs="宋体"/>
          <w:b/>
          <w:bCs/>
          <w:sz w:val="32"/>
          <w:szCs w:val="32"/>
          <w:highlight w:val="none"/>
        </w:rPr>
      </w:pPr>
    </w:p>
    <w:p>
      <w:pPr>
        <w:keepNext w:val="0"/>
        <w:keepLines w:val="0"/>
        <w:pageBreakBefore w:val="0"/>
        <w:kinsoku/>
        <w:wordWrap/>
        <w:overflowPunct/>
        <w:topLinePunct w:val="0"/>
        <w:bidi w:val="0"/>
        <w:snapToGrid/>
        <w:spacing w:beforeLines="50" w:afterLines="50" w:line="360" w:lineRule="auto"/>
        <w:jc w:val="center"/>
        <w:textAlignment w:val="auto"/>
        <w:rPr>
          <w:rFonts w:hint="eastAsia" w:ascii="宋体" w:hAnsi="宋体" w:eastAsia="宋体" w:cs="宋体"/>
          <w:b/>
          <w:bCs/>
          <w:sz w:val="32"/>
          <w:szCs w:val="32"/>
          <w:highlight w:val="none"/>
        </w:rPr>
      </w:pPr>
    </w:p>
    <w:p>
      <w:pPr>
        <w:pStyle w:val="9"/>
        <w:rPr>
          <w:rFonts w:hint="eastAsia" w:ascii="宋体" w:hAnsi="宋体" w:eastAsia="宋体" w:cs="宋体"/>
          <w:b/>
          <w:bCs/>
          <w:sz w:val="32"/>
          <w:szCs w:val="32"/>
          <w:highlight w:val="none"/>
        </w:rPr>
      </w:pPr>
    </w:p>
    <w:p>
      <w:pPr>
        <w:pStyle w:val="9"/>
        <w:rPr>
          <w:rFonts w:hint="eastAsia" w:ascii="宋体" w:hAnsi="宋体" w:eastAsia="宋体" w:cs="宋体"/>
          <w:b/>
          <w:bCs/>
          <w:sz w:val="32"/>
          <w:szCs w:val="32"/>
          <w:highlight w:val="none"/>
        </w:rPr>
      </w:pPr>
    </w:p>
    <w:p>
      <w:pPr>
        <w:keepNext w:val="0"/>
        <w:keepLines w:val="0"/>
        <w:pageBreakBefore w:val="0"/>
        <w:kinsoku/>
        <w:wordWrap/>
        <w:overflowPunct/>
        <w:topLinePunct w:val="0"/>
        <w:bidi w:val="0"/>
        <w:snapToGrid/>
        <w:spacing w:beforeLines="50" w:afterLines="50" w:line="360" w:lineRule="auto"/>
        <w:jc w:val="both"/>
        <w:textAlignment w:val="auto"/>
        <w:rPr>
          <w:rFonts w:hint="eastAsia" w:ascii="宋体" w:hAnsi="宋体" w:eastAsia="宋体" w:cs="宋体"/>
          <w:b/>
          <w:bCs/>
          <w:sz w:val="32"/>
          <w:szCs w:val="32"/>
          <w:highlight w:val="none"/>
        </w:rPr>
      </w:pPr>
    </w:p>
    <w:p>
      <w:pPr>
        <w:pStyle w:val="9"/>
        <w:rPr>
          <w:rFonts w:hint="eastAsia" w:ascii="宋体" w:hAnsi="宋体" w:eastAsia="宋体" w:cs="宋体"/>
          <w:highlight w:val="none"/>
        </w:rPr>
      </w:pPr>
    </w:p>
    <w:p>
      <w:pPr>
        <w:keepNext w:val="0"/>
        <w:keepLines w:val="0"/>
        <w:pageBreakBefore w:val="0"/>
        <w:kinsoku/>
        <w:wordWrap/>
        <w:overflowPunct/>
        <w:topLinePunct w:val="0"/>
        <w:bidi w:val="0"/>
        <w:snapToGrid/>
        <w:spacing w:beforeLines="50" w:afterLines="50" w:line="360" w:lineRule="auto"/>
        <w:jc w:val="center"/>
        <w:textAlignment w:val="auto"/>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采购单位：</w:t>
      </w:r>
      <w:r>
        <w:rPr>
          <w:rFonts w:hint="eastAsia" w:ascii="宋体" w:hAnsi="宋体" w:cs="宋体"/>
          <w:b/>
          <w:bCs/>
          <w:sz w:val="32"/>
          <w:szCs w:val="32"/>
          <w:highlight w:val="none"/>
          <w:lang w:val="en-US" w:eastAsia="zh-CN"/>
        </w:rPr>
        <w:t>天津市东丽区市场监督管理局</w:t>
      </w:r>
    </w:p>
    <w:p>
      <w:pPr>
        <w:keepNext w:val="0"/>
        <w:keepLines w:val="0"/>
        <w:pageBreakBefore w:val="0"/>
        <w:kinsoku/>
        <w:wordWrap/>
        <w:overflowPunct/>
        <w:topLinePunct w:val="0"/>
        <w:bidi w:val="0"/>
        <w:snapToGrid/>
        <w:spacing w:beforeLines="50" w:afterLines="50" w:line="360" w:lineRule="auto"/>
        <w:jc w:val="center"/>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rPr>
        <w:t>采购代理机构：</w:t>
      </w:r>
      <w:r>
        <w:rPr>
          <w:rFonts w:hint="eastAsia" w:ascii="宋体" w:hAnsi="宋体" w:eastAsia="宋体" w:cs="宋体"/>
          <w:b/>
          <w:bCs/>
          <w:sz w:val="32"/>
          <w:szCs w:val="32"/>
          <w:highlight w:val="none"/>
          <w:lang w:val="en-US" w:eastAsia="zh-CN"/>
        </w:rPr>
        <w:t>中易（天津）工程咨询有限公司</w:t>
      </w:r>
    </w:p>
    <w:p>
      <w:pPr>
        <w:keepNext w:val="0"/>
        <w:keepLines w:val="0"/>
        <w:pageBreakBefore w:val="0"/>
        <w:kinsoku/>
        <w:wordWrap/>
        <w:overflowPunct/>
        <w:topLinePunct w:val="0"/>
        <w:bidi w:val="0"/>
        <w:snapToGrid/>
        <w:spacing w:beforeLines="50" w:afterLines="50" w:line="360" w:lineRule="auto"/>
        <w:jc w:val="center"/>
        <w:textAlignment w:val="auto"/>
        <w:rPr>
          <w:rFonts w:hint="eastAsia" w:ascii="宋体" w:hAnsi="宋体" w:eastAsia="宋体" w:cs="宋体"/>
          <w:b/>
          <w:bCs/>
          <w:sz w:val="32"/>
          <w:szCs w:val="32"/>
          <w:highlight w:val="none"/>
        </w:rPr>
      </w:pPr>
      <w:r>
        <w:rPr>
          <w:rFonts w:hint="eastAsia" w:ascii="宋体" w:hAnsi="宋体" w:eastAsia="宋体" w:cs="宋体"/>
          <w:b/>
          <w:bCs/>
          <w:sz w:val="32"/>
          <w:szCs w:val="32"/>
          <w:highlight w:val="none"/>
          <w:lang w:eastAsia="zh-CN"/>
        </w:rPr>
        <w:t>二〇二</w:t>
      </w:r>
      <w:r>
        <w:rPr>
          <w:rFonts w:hint="eastAsia" w:ascii="宋体" w:hAnsi="宋体" w:cs="宋体"/>
          <w:b/>
          <w:bCs/>
          <w:sz w:val="32"/>
          <w:szCs w:val="32"/>
          <w:highlight w:val="none"/>
          <w:lang w:eastAsia="zh-CN"/>
        </w:rPr>
        <w:t>三</w:t>
      </w:r>
      <w:r>
        <w:rPr>
          <w:rFonts w:hint="eastAsia" w:ascii="宋体" w:hAnsi="宋体" w:eastAsia="宋体" w:cs="宋体"/>
          <w:b/>
          <w:bCs/>
          <w:sz w:val="32"/>
          <w:szCs w:val="32"/>
          <w:highlight w:val="none"/>
        </w:rPr>
        <w:t>年</w:t>
      </w:r>
      <w:r>
        <w:rPr>
          <w:rFonts w:hint="eastAsia" w:ascii="宋体" w:hAnsi="宋体" w:cs="宋体"/>
          <w:b/>
          <w:bCs/>
          <w:sz w:val="32"/>
          <w:szCs w:val="32"/>
          <w:highlight w:val="none"/>
          <w:lang w:val="en-US" w:eastAsia="zh-CN"/>
        </w:rPr>
        <w:t>三</w:t>
      </w:r>
      <w:r>
        <w:rPr>
          <w:rFonts w:hint="eastAsia" w:ascii="宋体" w:hAnsi="宋体" w:eastAsia="宋体" w:cs="宋体"/>
          <w:b/>
          <w:bCs/>
          <w:sz w:val="32"/>
          <w:szCs w:val="32"/>
          <w:highlight w:val="none"/>
        </w:rPr>
        <w:t>月</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9"/>
        <w:rPr>
          <w:rFonts w:hint="eastAsia" w:ascii="宋体" w:hAnsi="宋体" w:eastAsia="宋体" w:cs="宋体"/>
          <w:b/>
          <w:bCs/>
          <w:sz w:val="32"/>
          <w:szCs w:val="32"/>
          <w:highlight w:val="none"/>
        </w:rPr>
        <w:sectPr>
          <w:pgSz w:w="11906" w:h="16838"/>
          <w:pgMar w:top="1440" w:right="1800" w:bottom="1440" w:left="1800" w:header="851" w:footer="992" w:gutter="0"/>
          <w:pgNumType w:fmt="decimal" w:start="1"/>
          <w:cols w:space="425" w:num="1"/>
          <w:docGrid w:type="lines" w:linePitch="312" w:charSpace="0"/>
        </w:sectPr>
      </w:pPr>
    </w:p>
    <w:p>
      <w:pPr>
        <w:pStyle w:val="17"/>
        <w:tabs>
          <w:tab w:val="right" w:leader="dot" w:pos="8312"/>
        </w:tabs>
        <w:jc w:val="center"/>
        <w:rPr>
          <w:highlight w:val="none"/>
        </w:rPr>
      </w:pPr>
      <w:r>
        <w:rPr>
          <w:rFonts w:hint="eastAsia"/>
          <w:b/>
          <w:bCs/>
          <w:sz w:val="32"/>
          <w:szCs w:val="32"/>
          <w:highlight w:val="none"/>
          <w:lang w:eastAsia="zh-CN"/>
        </w:rPr>
        <w:t>目</w:t>
      </w:r>
      <w:r>
        <w:rPr>
          <w:rFonts w:hint="eastAsia"/>
          <w:b/>
          <w:bCs/>
          <w:sz w:val="32"/>
          <w:szCs w:val="32"/>
          <w:highlight w:val="none"/>
          <w:lang w:val="en-US" w:eastAsia="zh-CN"/>
        </w:rPr>
        <w:t xml:space="preserve"> </w:t>
      </w:r>
      <w:r>
        <w:rPr>
          <w:rFonts w:hint="eastAsia"/>
          <w:b/>
          <w:bCs/>
          <w:sz w:val="32"/>
          <w:szCs w:val="32"/>
          <w:highlight w:val="none"/>
          <w:lang w:eastAsia="zh-CN"/>
        </w:rPr>
        <w:t>录</w:t>
      </w:r>
    </w:p>
    <w:p>
      <w:pPr>
        <w:pStyle w:val="17"/>
        <w:tabs>
          <w:tab w:val="right" w:leader="dot" w:pos="8312"/>
        </w:tabs>
        <w:rPr>
          <w:highlight w:val="none"/>
        </w:rPr>
      </w:pPr>
    </w:p>
    <w:p>
      <w:pPr>
        <w:pStyle w:val="17"/>
        <w:tabs>
          <w:tab w:val="right" w:leader="dot" w:pos="8312"/>
        </w:tabs>
        <w:rPr>
          <w:highlight w:val="none"/>
        </w:rPr>
      </w:pPr>
      <w:r>
        <w:rPr>
          <w:highlight w:val="none"/>
        </w:rPr>
        <w:fldChar w:fldCharType="begin"/>
      </w:r>
      <w:r>
        <w:rPr>
          <w:highlight w:val="none"/>
        </w:rPr>
        <w:instrText xml:space="preserve">TOC \o "1-1" \h \u </w:instrText>
      </w:r>
      <w:r>
        <w:rPr>
          <w:highlight w:val="none"/>
        </w:rPr>
        <w:fldChar w:fldCharType="separate"/>
      </w:r>
      <w:r>
        <w:rPr>
          <w:highlight w:val="none"/>
        </w:rPr>
        <w:fldChar w:fldCharType="begin"/>
      </w:r>
      <w:r>
        <w:rPr>
          <w:highlight w:val="none"/>
        </w:rPr>
        <w:instrText xml:space="preserve"> HYPERLINK \l _Toc20916 </w:instrText>
      </w:r>
      <w:r>
        <w:rPr>
          <w:highlight w:val="none"/>
        </w:rPr>
        <w:fldChar w:fldCharType="separate"/>
      </w:r>
      <w:r>
        <w:rPr>
          <w:rFonts w:hint="eastAsia" w:ascii="宋体" w:hAnsi="宋体" w:eastAsia="宋体" w:cs="宋体"/>
          <w:highlight w:val="none"/>
        </w:rPr>
        <w:t>第一部分</w:t>
      </w:r>
      <w:r>
        <w:rPr>
          <w:rFonts w:hint="eastAsia" w:ascii="宋体" w:hAnsi="宋体" w:cs="宋体"/>
          <w:highlight w:val="none"/>
          <w:lang w:val="en-US" w:eastAsia="zh-CN"/>
        </w:rPr>
        <w:t xml:space="preserve">  </w:t>
      </w:r>
      <w:r>
        <w:rPr>
          <w:rFonts w:hint="eastAsia" w:ascii="宋体" w:hAnsi="宋体" w:eastAsia="宋体" w:cs="宋体"/>
          <w:highlight w:val="none"/>
        </w:rPr>
        <w:t>投标邀请函</w:t>
      </w:r>
      <w:r>
        <w:rPr>
          <w:highlight w:val="none"/>
        </w:rPr>
        <w:tab/>
      </w:r>
      <w:r>
        <w:rPr>
          <w:highlight w:val="none"/>
        </w:rPr>
        <w:fldChar w:fldCharType="begin"/>
      </w:r>
      <w:r>
        <w:rPr>
          <w:highlight w:val="none"/>
        </w:rPr>
        <w:instrText xml:space="preserve"> PAGEREF _Toc20916 \h </w:instrText>
      </w:r>
      <w:r>
        <w:rPr>
          <w:highlight w:val="none"/>
        </w:rPr>
        <w:fldChar w:fldCharType="separate"/>
      </w:r>
      <w:r>
        <w:rPr>
          <w:highlight w:val="none"/>
        </w:rPr>
        <w:t>2</w:t>
      </w:r>
      <w:r>
        <w:rPr>
          <w:highlight w:val="none"/>
        </w:rPr>
        <w:fldChar w:fldCharType="end"/>
      </w:r>
      <w:r>
        <w:rPr>
          <w:highlight w:val="none"/>
        </w:rPr>
        <w:fldChar w:fldCharType="end"/>
      </w:r>
    </w:p>
    <w:p>
      <w:pPr>
        <w:pStyle w:val="17"/>
        <w:tabs>
          <w:tab w:val="right" w:leader="dot" w:pos="8312"/>
        </w:tabs>
        <w:rPr>
          <w:highlight w:val="none"/>
        </w:rPr>
      </w:pPr>
      <w:r>
        <w:rPr>
          <w:highlight w:val="none"/>
        </w:rPr>
        <w:fldChar w:fldCharType="begin"/>
      </w:r>
      <w:r>
        <w:rPr>
          <w:highlight w:val="none"/>
        </w:rPr>
        <w:instrText xml:space="preserve"> HYPERLINK \l _Toc32721 </w:instrText>
      </w:r>
      <w:r>
        <w:rPr>
          <w:highlight w:val="none"/>
        </w:rPr>
        <w:fldChar w:fldCharType="separate"/>
      </w:r>
      <w:r>
        <w:rPr>
          <w:rFonts w:hint="eastAsia" w:ascii="宋体" w:hAnsi="宋体" w:eastAsia="宋体" w:cs="宋体"/>
          <w:highlight w:val="none"/>
        </w:rPr>
        <w:t>第二部分</w:t>
      </w:r>
      <w:r>
        <w:rPr>
          <w:rFonts w:hint="eastAsia" w:ascii="宋体" w:hAnsi="宋体" w:cs="宋体"/>
          <w:highlight w:val="none"/>
          <w:lang w:val="en-US" w:eastAsia="zh-CN"/>
        </w:rPr>
        <w:t xml:space="preserve">  </w:t>
      </w:r>
      <w:r>
        <w:rPr>
          <w:rFonts w:hint="eastAsia" w:ascii="宋体" w:hAnsi="宋体" w:eastAsia="宋体" w:cs="宋体"/>
          <w:highlight w:val="none"/>
        </w:rPr>
        <w:t>招标项目要求</w:t>
      </w:r>
      <w:r>
        <w:rPr>
          <w:highlight w:val="none"/>
        </w:rPr>
        <w:tab/>
      </w:r>
      <w:r>
        <w:rPr>
          <w:highlight w:val="none"/>
        </w:rPr>
        <w:fldChar w:fldCharType="begin"/>
      </w:r>
      <w:r>
        <w:rPr>
          <w:highlight w:val="none"/>
        </w:rPr>
        <w:instrText xml:space="preserve"> PAGEREF _Toc32721 \h </w:instrText>
      </w:r>
      <w:r>
        <w:rPr>
          <w:highlight w:val="none"/>
        </w:rPr>
        <w:fldChar w:fldCharType="separate"/>
      </w:r>
      <w:r>
        <w:rPr>
          <w:highlight w:val="none"/>
        </w:rPr>
        <w:t>7</w:t>
      </w:r>
      <w:r>
        <w:rPr>
          <w:highlight w:val="none"/>
        </w:rPr>
        <w:fldChar w:fldCharType="end"/>
      </w:r>
      <w:r>
        <w:rPr>
          <w:highlight w:val="none"/>
        </w:rPr>
        <w:fldChar w:fldCharType="end"/>
      </w:r>
    </w:p>
    <w:p>
      <w:pPr>
        <w:pStyle w:val="17"/>
        <w:tabs>
          <w:tab w:val="right" w:leader="dot" w:pos="8312"/>
        </w:tabs>
        <w:rPr>
          <w:highlight w:val="none"/>
        </w:rPr>
      </w:pPr>
      <w:r>
        <w:rPr>
          <w:highlight w:val="none"/>
        </w:rPr>
        <w:fldChar w:fldCharType="begin"/>
      </w:r>
      <w:r>
        <w:rPr>
          <w:highlight w:val="none"/>
        </w:rPr>
        <w:instrText xml:space="preserve"> HYPERLINK \l _Toc20075 </w:instrText>
      </w:r>
      <w:r>
        <w:rPr>
          <w:highlight w:val="none"/>
        </w:rPr>
        <w:fldChar w:fldCharType="separate"/>
      </w:r>
      <w:r>
        <w:rPr>
          <w:rFonts w:hint="eastAsia" w:ascii="宋体" w:hAnsi="宋体" w:eastAsia="宋体" w:cs="宋体"/>
          <w:highlight w:val="none"/>
        </w:rPr>
        <w:t>第三部分  投标须知</w:t>
      </w:r>
      <w:r>
        <w:rPr>
          <w:highlight w:val="none"/>
        </w:rPr>
        <w:tab/>
      </w:r>
      <w:r>
        <w:rPr>
          <w:highlight w:val="none"/>
        </w:rPr>
        <w:fldChar w:fldCharType="begin"/>
      </w:r>
      <w:r>
        <w:rPr>
          <w:highlight w:val="none"/>
        </w:rPr>
        <w:instrText xml:space="preserve"> PAGEREF _Toc20075 \h </w:instrText>
      </w:r>
      <w:r>
        <w:rPr>
          <w:highlight w:val="none"/>
        </w:rPr>
        <w:fldChar w:fldCharType="separate"/>
      </w:r>
      <w:r>
        <w:rPr>
          <w:highlight w:val="none"/>
        </w:rPr>
        <w:t>23</w:t>
      </w:r>
      <w:r>
        <w:rPr>
          <w:highlight w:val="none"/>
        </w:rPr>
        <w:fldChar w:fldCharType="end"/>
      </w:r>
      <w:r>
        <w:rPr>
          <w:highlight w:val="none"/>
        </w:rPr>
        <w:fldChar w:fldCharType="end"/>
      </w:r>
    </w:p>
    <w:p>
      <w:pPr>
        <w:pStyle w:val="17"/>
        <w:tabs>
          <w:tab w:val="right" w:leader="dot" w:pos="8312"/>
        </w:tabs>
        <w:rPr>
          <w:highlight w:val="none"/>
        </w:rPr>
      </w:pPr>
      <w:r>
        <w:rPr>
          <w:highlight w:val="none"/>
        </w:rPr>
        <w:fldChar w:fldCharType="begin"/>
      </w:r>
      <w:r>
        <w:rPr>
          <w:highlight w:val="none"/>
        </w:rPr>
        <w:instrText xml:space="preserve"> HYPERLINK \l _Toc7536 </w:instrText>
      </w:r>
      <w:r>
        <w:rPr>
          <w:highlight w:val="none"/>
        </w:rPr>
        <w:fldChar w:fldCharType="separate"/>
      </w:r>
      <w:r>
        <w:rPr>
          <w:rFonts w:hint="eastAsia" w:ascii="宋体" w:hAnsi="宋体" w:eastAsia="宋体" w:cs="宋体"/>
          <w:highlight w:val="none"/>
        </w:rPr>
        <w:t>第四部分  合同条款</w:t>
      </w:r>
      <w:r>
        <w:rPr>
          <w:highlight w:val="none"/>
        </w:rPr>
        <w:tab/>
      </w:r>
      <w:r>
        <w:rPr>
          <w:highlight w:val="none"/>
        </w:rPr>
        <w:fldChar w:fldCharType="begin"/>
      </w:r>
      <w:r>
        <w:rPr>
          <w:highlight w:val="none"/>
        </w:rPr>
        <w:instrText xml:space="preserve"> PAGEREF _Toc7536 \h </w:instrText>
      </w:r>
      <w:r>
        <w:rPr>
          <w:highlight w:val="none"/>
        </w:rPr>
        <w:fldChar w:fldCharType="separate"/>
      </w:r>
      <w:r>
        <w:rPr>
          <w:highlight w:val="none"/>
        </w:rPr>
        <w:t>40</w:t>
      </w:r>
      <w:r>
        <w:rPr>
          <w:highlight w:val="none"/>
        </w:rPr>
        <w:fldChar w:fldCharType="end"/>
      </w:r>
      <w:r>
        <w:rPr>
          <w:highlight w:val="none"/>
        </w:rPr>
        <w:fldChar w:fldCharType="end"/>
      </w:r>
    </w:p>
    <w:p>
      <w:pPr>
        <w:pStyle w:val="17"/>
        <w:tabs>
          <w:tab w:val="right" w:leader="dot" w:pos="8312"/>
        </w:tabs>
        <w:rPr>
          <w:highlight w:val="none"/>
        </w:rPr>
      </w:pPr>
      <w:r>
        <w:rPr>
          <w:highlight w:val="none"/>
        </w:rPr>
        <w:fldChar w:fldCharType="begin"/>
      </w:r>
      <w:r>
        <w:rPr>
          <w:highlight w:val="none"/>
        </w:rPr>
        <w:instrText xml:space="preserve"> HYPERLINK \l _Toc16307 </w:instrText>
      </w:r>
      <w:r>
        <w:rPr>
          <w:highlight w:val="none"/>
        </w:rPr>
        <w:fldChar w:fldCharType="separate"/>
      </w:r>
      <w:r>
        <w:rPr>
          <w:rFonts w:hint="eastAsia" w:ascii="宋体" w:hAnsi="宋体" w:eastAsia="宋体" w:cs="宋体"/>
          <w:highlight w:val="none"/>
        </w:rPr>
        <w:t>第五部分  投标文件格式</w:t>
      </w:r>
      <w:r>
        <w:rPr>
          <w:highlight w:val="none"/>
        </w:rPr>
        <w:tab/>
      </w:r>
      <w:r>
        <w:rPr>
          <w:highlight w:val="none"/>
        </w:rPr>
        <w:fldChar w:fldCharType="begin"/>
      </w:r>
      <w:r>
        <w:rPr>
          <w:highlight w:val="none"/>
        </w:rPr>
        <w:instrText xml:space="preserve"> PAGEREF _Toc16307 \h </w:instrText>
      </w:r>
      <w:r>
        <w:rPr>
          <w:highlight w:val="none"/>
        </w:rPr>
        <w:fldChar w:fldCharType="separate"/>
      </w:r>
      <w:r>
        <w:rPr>
          <w:highlight w:val="none"/>
        </w:rPr>
        <w:t>43</w:t>
      </w:r>
      <w:r>
        <w:rPr>
          <w:highlight w:val="none"/>
        </w:rPr>
        <w:fldChar w:fldCharType="end"/>
      </w:r>
      <w:r>
        <w:rPr>
          <w:highlight w:val="none"/>
        </w:rPr>
        <w:fldChar w:fldCharType="end"/>
      </w:r>
    </w:p>
    <w:p>
      <w:pPr>
        <w:spacing w:before="0" w:beforeLines="0" w:after="0" w:afterLines="0" w:line="240" w:lineRule="auto"/>
        <w:ind w:left="0" w:leftChars="0" w:right="0" w:rightChars="0" w:firstLine="0" w:firstLineChars="0"/>
        <w:jc w:val="both"/>
        <w:outlineLvl w:val="0"/>
        <w:rPr>
          <w:highlight w:val="none"/>
        </w:rPr>
      </w:pPr>
      <w:r>
        <w:rPr>
          <w:highlight w:val="none"/>
        </w:rPr>
        <w:fldChar w:fldCharType="end"/>
      </w:r>
    </w:p>
    <w:p>
      <w:pPr>
        <w:rPr>
          <w:rFonts w:hint="eastAsia" w:ascii="宋体" w:hAnsi="宋体" w:eastAsia="宋体" w:cs="宋体"/>
          <w:sz w:val="24"/>
          <w:highlight w:val="none"/>
        </w:rPr>
      </w:pPr>
    </w:p>
    <w:p>
      <w:pPr>
        <w:rPr>
          <w:rFonts w:hint="eastAsia" w:ascii="宋体" w:hAnsi="宋体" w:eastAsia="宋体" w:cs="宋体"/>
          <w:sz w:val="24"/>
          <w:highlight w:val="none"/>
        </w:rPr>
      </w:pPr>
    </w:p>
    <w:p>
      <w:pPr>
        <w:rPr>
          <w:rFonts w:hint="eastAsia" w:ascii="宋体" w:hAnsi="宋体" w:eastAsia="宋体" w:cs="宋体"/>
          <w:sz w:val="24"/>
          <w:highlight w:val="none"/>
        </w:rPr>
      </w:pPr>
    </w:p>
    <w:p>
      <w:pPr>
        <w:rPr>
          <w:rFonts w:hint="eastAsia" w:ascii="宋体" w:hAnsi="宋体" w:eastAsia="宋体" w:cs="宋体"/>
          <w:sz w:val="24"/>
          <w:highlight w:val="none"/>
        </w:rPr>
      </w:pPr>
    </w:p>
    <w:p>
      <w:pPr>
        <w:rPr>
          <w:rFonts w:hint="eastAsia" w:ascii="宋体" w:hAnsi="宋体" w:eastAsia="宋体" w:cs="宋体"/>
          <w:sz w:val="24"/>
          <w:highlight w:val="none"/>
        </w:rPr>
      </w:pPr>
    </w:p>
    <w:p>
      <w:pPr>
        <w:rPr>
          <w:rFonts w:hint="eastAsia" w:ascii="宋体" w:hAnsi="宋体" w:eastAsia="宋体" w:cs="宋体"/>
          <w:sz w:val="24"/>
          <w:highlight w:val="none"/>
        </w:rPr>
      </w:pPr>
    </w:p>
    <w:p>
      <w:pPr>
        <w:rPr>
          <w:rFonts w:hint="eastAsia" w:ascii="宋体" w:hAnsi="宋体" w:eastAsia="宋体" w:cs="宋体"/>
          <w:b/>
          <w:highlight w:val="none"/>
        </w:rPr>
      </w:pPr>
    </w:p>
    <w:p>
      <w:pPr>
        <w:pStyle w:val="18"/>
        <w:outlineLvl w:val="9"/>
        <w:rPr>
          <w:rFonts w:hint="eastAsia" w:ascii="宋体" w:hAnsi="宋体" w:eastAsia="宋体" w:cs="宋体"/>
          <w:highlight w:val="none"/>
        </w:rPr>
        <w:sectPr>
          <w:headerReference r:id="rId3" w:type="default"/>
          <w:footerReference r:id="rId4" w:type="default"/>
          <w:pgSz w:w="11906" w:h="16838"/>
          <w:pgMar w:top="1440" w:right="1797" w:bottom="1440" w:left="1797" w:header="851" w:footer="992" w:gutter="0"/>
          <w:pgNumType w:fmt="decimal" w:start="1"/>
          <w:cols w:space="425" w:num="1"/>
          <w:docGrid w:linePitch="285" w:charSpace="-3449"/>
        </w:sectPr>
      </w:pPr>
      <w:bookmarkStart w:id="0" w:name="_Toc412903614"/>
    </w:p>
    <w:p>
      <w:pPr>
        <w:pStyle w:val="18"/>
        <w:outlineLvl w:val="0"/>
        <w:rPr>
          <w:rFonts w:hint="eastAsia" w:ascii="宋体" w:hAnsi="宋体" w:eastAsia="宋体" w:cs="宋体"/>
          <w:highlight w:val="none"/>
        </w:rPr>
      </w:pPr>
      <w:bookmarkStart w:id="1" w:name="_Toc6492"/>
      <w:bookmarkStart w:id="2" w:name="_Toc30364"/>
      <w:bookmarkStart w:id="3" w:name="_Toc20916"/>
      <w:r>
        <w:rPr>
          <w:rFonts w:hint="eastAsia" w:ascii="宋体" w:hAnsi="宋体" w:eastAsia="宋体" w:cs="宋体"/>
          <w:highlight w:val="none"/>
        </w:rPr>
        <w:t>第一部分</w:t>
      </w:r>
      <w:r>
        <w:rPr>
          <w:rFonts w:hint="eastAsia" w:ascii="宋体" w:hAnsi="宋体" w:cs="宋体"/>
          <w:highlight w:val="none"/>
          <w:lang w:val="en-US" w:eastAsia="zh-CN"/>
        </w:rPr>
        <w:t xml:space="preserve">  </w:t>
      </w:r>
      <w:r>
        <w:rPr>
          <w:rFonts w:hint="eastAsia" w:ascii="宋体" w:hAnsi="宋体" w:eastAsia="宋体" w:cs="宋体"/>
          <w:highlight w:val="none"/>
        </w:rPr>
        <w:t>投标邀请函</w:t>
      </w:r>
      <w:bookmarkEnd w:id="0"/>
      <w:bookmarkEnd w:id="1"/>
      <w:bookmarkEnd w:id="2"/>
      <w:bookmarkEnd w:id="3"/>
      <w:bookmarkStart w:id="4" w:name="_Toc412903615"/>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受</w:t>
      </w:r>
      <w:r>
        <w:rPr>
          <w:rFonts w:hint="eastAsia" w:ascii="宋体" w:hAnsi="宋体" w:cs="宋体"/>
          <w:sz w:val="24"/>
          <w:szCs w:val="24"/>
          <w:highlight w:val="none"/>
          <w:lang w:val="en-US" w:eastAsia="zh-CN"/>
        </w:rPr>
        <w:t>天津市东丽区市场监督管理局</w:t>
      </w:r>
      <w:r>
        <w:rPr>
          <w:rFonts w:hint="eastAsia" w:ascii="宋体" w:hAnsi="宋体" w:eastAsia="宋体" w:cs="宋体"/>
          <w:sz w:val="24"/>
          <w:szCs w:val="24"/>
          <w:highlight w:val="none"/>
        </w:rPr>
        <w:t>委托，</w:t>
      </w:r>
      <w:r>
        <w:rPr>
          <w:rFonts w:hint="eastAsia" w:ascii="宋体" w:hAnsi="宋体" w:eastAsia="宋体" w:cs="宋体"/>
          <w:sz w:val="24"/>
          <w:szCs w:val="24"/>
          <w:highlight w:val="none"/>
          <w:lang w:eastAsia="zh-CN"/>
        </w:rPr>
        <w:t>中易（天津）工程咨询有限公司</w:t>
      </w:r>
      <w:r>
        <w:rPr>
          <w:rFonts w:hint="eastAsia" w:ascii="宋体" w:hAnsi="宋体" w:eastAsia="宋体" w:cs="宋体"/>
          <w:sz w:val="24"/>
          <w:szCs w:val="24"/>
          <w:highlight w:val="none"/>
        </w:rPr>
        <w:t>将以公开招标方式，对</w:t>
      </w:r>
      <w:r>
        <w:rPr>
          <w:rFonts w:hint="eastAsia" w:ascii="宋体" w:hAnsi="宋体" w:cs="宋体"/>
          <w:sz w:val="24"/>
          <w:szCs w:val="24"/>
          <w:highlight w:val="none"/>
          <w:lang w:val="en-US" w:eastAsia="zh-CN"/>
        </w:rPr>
        <w:t>天津市东丽区市场监督管理局2023年度食用农产品快检室抽检服务项目</w:t>
      </w:r>
      <w:r>
        <w:rPr>
          <w:rFonts w:hint="eastAsia" w:ascii="宋体" w:hAnsi="宋体" w:eastAsia="宋体" w:cs="宋体"/>
          <w:sz w:val="24"/>
          <w:szCs w:val="24"/>
          <w:highlight w:val="none"/>
        </w:rPr>
        <w:t>实施政府采购。现欢迎合格的供应商参加投标。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一、项目名称和编号</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（一）项目名称：</w:t>
      </w:r>
      <w:r>
        <w:rPr>
          <w:rFonts w:hint="eastAsia" w:ascii="宋体" w:hAnsi="宋体" w:cs="宋体"/>
          <w:sz w:val="24"/>
          <w:szCs w:val="24"/>
          <w:highlight w:val="none"/>
          <w:lang w:val="en-US" w:eastAsia="zh-CN"/>
        </w:rPr>
        <w:t>天津市东丽区市场监督管理局2023年度食用农产品快检室抽检服务项目</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jc w:val="lef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（二）项目编号：</w:t>
      </w:r>
      <w:r>
        <w:rPr>
          <w:rFonts w:hint="eastAsia" w:ascii="宋体" w:hAnsi="宋体" w:cs="宋体"/>
          <w:sz w:val="24"/>
          <w:szCs w:val="24"/>
          <w:highlight w:val="none"/>
          <w:lang w:eastAsia="zh-CN"/>
        </w:rPr>
        <w:t>ZYZXZC-202</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-00</w:t>
      </w:r>
      <w:r>
        <w:rPr>
          <w:rFonts w:hint="eastAsia" w:ascii="宋体" w:hAnsi="宋体" w:cs="宋体"/>
          <w:sz w:val="24"/>
          <w:szCs w:val="24"/>
          <w:highlight w:val="none"/>
          <w:lang w:val="en-US" w:eastAsia="zh-CN"/>
        </w:rPr>
        <w:t>1</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二、项目内容</w:t>
      </w:r>
    </w:p>
    <w:tbl>
      <w:tblPr>
        <w:tblStyle w:val="23"/>
        <w:tblW w:w="8984" w:type="dxa"/>
        <w:jc w:val="center"/>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Layout w:type="fixed"/>
        <w:tblCellMar>
          <w:top w:w="60" w:type="dxa"/>
          <w:left w:w="60" w:type="dxa"/>
          <w:bottom w:w="60" w:type="dxa"/>
          <w:right w:w="60" w:type="dxa"/>
        </w:tblCellMar>
      </w:tblPr>
      <w:tblGrid>
        <w:gridCol w:w="902"/>
        <w:gridCol w:w="863"/>
        <w:gridCol w:w="935"/>
        <w:gridCol w:w="1110"/>
        <w:gridCol w:w="1050"/>
        <w:gridCol w:w="4124"/>
      </w:tblGrid>
      <w:tr>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1205" w:hRule="atLeast"/>
          <w:jc w:val="center"/>
        </w:trPr>
        <w:tc>
          <w:tcPr>
            <w:tcW w:w="902"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包号</w:t>
            </w:r>
          </w:p>
        </w:tc>
        <w:tc>
          <w:tcPr>
            <w:tcW w:w="863"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是否设置最高限额</w:t>
            </w:r>
          </w:p>
        </w:tc>
        <w:tc>
          <w:tcPr>
            <w:tcW w:w="935"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pPr>
              <w:widowControl/>
              <w:spacing w:line="360"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预算</w:t>
            </w:r>
          </w:p>
          <w:p>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（万元）</w:t>
            </w:r>
          </w:p>
        </w:tc>
        <w:tc>
          <w:tcPr>
            <w:tcW w:w="1110"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最高限额（万元）</w:t>
            </w:r>
          </w:p>
        </w:tc>
        <w:tc>
          <w:tcPr>
            <w:tcW w:w="1050"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采购目录</w:t>
            </w:r>
          </w:p>
        </w:tc>
        <w:tc>
          <w:tcPr>
            <w:tcW w:w="4124" w:type="dxa"/>
            <w:tcBorders>
              <w:top w:val="outset" w:color="AAAAAA" w:sz="6" w:space="0"/>
              <w:left w:val="outset" w:color="AAAAAA" w:sz="6" w:space="0"/>
              <w:bottom w:val="outset" w:color="AAAAAA" w:sz="6" w:space="0"/>
              <w:right w:val="outset" w:color="AAAAAA" w:sz="6" w:space="0"/>
            </w:tcBorders>
            <w:shd w:val="clear" w:color="auto" w:fill="ABCDEF"/>
            <w:noWrap w:val="0"/>
            <w:vAlign w:val="center"/>
          </w:tcPr>
          <w:p>
            <w:pPr>
              <w:widowControl/>
              <w:spacing w:line="360" w:lineRule="auto"/>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简要技术要求</w:t>
            </w:r>
          </w:p>
        </w:tc>
      </w:tr>
      <w:tr>
        <w:tblPrEx>
          <w:tblBorders>
            <w:top w:val="outset" w:color="AAAAAA" w:sz="6" w:space="0"/>
            <w:left w:val="outset" w:color="AAAAAA" w:sz="6" w:space="0"/>
            <w:bottom w:val="outset" w:color="AAAAAA" w:sz="6" w:space="0"/>
            <w:right w:val="outset" w:color="AAAAAA" w:sz="6" w:space="0"/>
            <w:insideH w:val="outset" w:color="AAAAAA" w:sz="6" w:space="0"/>
            <w:insideV w:val="outset" w:color="AAAAAA" w:sz="6" w:space="0"/>
          </w:tblBorders>
          <w:tblCellMar>
            <w:top w:w="60" w:type="dxa"/>
            <w:left w:w="60" w:type="dxa"/>
            <w:bottom w:w="60" w:type="dxa"/>
            <w:right w:w="60" w:type="dxa"/>
          </w:tblCellMar>
        </w:tblPrEx>
        <w:trPr>
          <w:trHeight w:val="1359" w:hRule="atLeast"/>
          <w:jc w:val="center"/>
        </w:trPr>
        <w:tc>
          <w:tcPr>
            <w:tcW w:w="902" w:type="dxa"/>
            <w:tcBorders>
              <w:top w:val="outset" w:color="AAAAAA" w:sz="6" w:space="0"/>
              <w:left w:val="outset" w:color="AAAAAA" w:sz="6" w:space="0"/>
              <w:bottom w:val="outset" w:color="AAAAAA" w:sz="6" w:space="0"/>
              <w:right w:val="outset" w:color="AAAAAA" w:sz="6" w:space="0"/>
            </w:tcBorders>
            <w:noWrap w:val="0"/>
            <w:vAlign w:val="center"/>
          </w:tcPr>
          <w:p>
            <w:pPr>
              <w:widowControl/>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 w:val="24"/>
                <w:szCs w:val="24"/>
                <w:highlight w:val="none"/>
                <w:lang w:val="en-US" w:eastAsia="zh-CN"/>
              </w:rPr>
              <w:t>第1包</w:t>
            </w:r>
          </w:p>
        </w:tc>
        <w:tc>
          <w:tcPr>
            <w:tcW w:w="863" w:type="dxa"/>
            <w:tcBorders>
              <w:top w:val="outset" w:color="AAAAAA" w:sz="6" w:space="0"/>
              <w:left w:val="outset" w:color="AAAAAA" w:sz="6" w:space="0"/>
              <w:bottom w:val="outset" w:color="AAAAAA" w:sz="6" w:space="0"/>
              <w:right w:val="outset" w:color="AAAAAA" w:sz="6" w:space="0"/>
            </w:tcBorders>
            <w:noWrap w:val="0"/>
            <w:vAlign w:val="center"/>
          </w:tcPr>
          <w:p>
            <w:pPr>
              <w:widowControl/>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 w:val="24"/>
                <w:szCs w:val="24"/>
                <w:highlight w:val="none"/>
                <w:lang w:val="en-US" w:eastAsia="zh-CN"/>
              </w:rPr>
              <w:t>是</w:t>
            </w:r>
          </w:p>
        </w:tc>
        <w:tc>
          <w:tcPr>
            <w:tcW w:w="935" w:type="dxa"/>
            <w:tcBorders>
              <w:top w:val="outset" w:color="AAAAAA" w:sz="6" w:space="0"/>
              <w:left w:val="outset" w:color="AAAAAA" w:sz="6" w:space="0"/>
              <w:bottom w:val="outset" w:color="AAAAAA" w:sz="6" w:space="0"/>
              <w:right w:val="outset" w:color="AAAAAA" w:sz="6" w:space="0"/>
            </w:tcBorders>
            <w:noWrap w:val="0"/>
            <w:vAlign w:val="center"/>
          </w:tcPr>
          <w:p>
            <w:pPr>
              <w:widowControl/>
              <w:spacing w:line="360" w:lineRule="auto"/>
              <w:jc w:val="center"/>
              <w:rPr>
                <w:rFonts w:hint="eastAsia" w:ascii="宋体" w:hAnsi="宋体" w:eastAsia="宋体" w:cs="宋体"/>
                <w:kern w:val="0"/>
                <w:sz w:val="21"/>
                <w:szCs w:val="21"/>
                <w:highlight w:val="none"/>
                <w:lang w:val="en-US" w:eastAsia="zh-CN"/>
              </w:rPr>
            </w:pPr>
            <w:r>
              <w:rPr>
                <w:rFonts w:hint="eastAsia" w:ascii="宋体" w:hAnsi="宋体" w:cs="宋体"/>
                <w:sz w:val="24"/>
                <w:szCs w:val="24"/>
                <w:highlight w:val="none"/>
                <w:lang w:val="en-US" w:eastAsia="zh-CN"/>
              </w:rPr>
              <w:t>318.3</w:t>
            </w:r>
          </w:p>
        </w:tc>
        <w:tc>
          <w:tcPr>
            <w:tcW w:w="1110" w:type="dxa"/>
            <w:tcBorders>
              <w:top w:val="outset" w:color="AAAAAA" w:sz="6" w:space="0"/>
              <w:left w:val="outset" w:color="AAAAAA" w:sz="6" w:space="0"/>
              <w:bottom w:val="outset" w:color="AAAAAA" w:sz="6" w:space="0"/>
              <w:right w:val="outset" w:color="AAAAAA" w:sz="6" w:space="0"/>
            </w:tcBorders>
            <w:noWrap w:val="0"/>
            <w:vAlign w:val="center"/>
          </w:tcPr>
          <w:p>
            <w:pPr>
              <w:widowControl/>
              <w:spacing w:line="360" w:lineRule="auto"/>
              <w:jc w:val="center"/>
              <w:rPr>
                <w:rFonts w:hint="default" w:ascii="宋体" w:hAnsi="宋体" w:eastAsia="宋体" w:cs="宋体"/>
                <w:kern w:val="0"/>
                <w:sz w:val="21"/>
                <w:szCs w:val="21"/>
                <w:highlight w:val="none"/>
                <w:lang w:val="en-US" w:eastAsia="zh-CN"/>
              </w:rPr>
            </w:pPr>
            <w:r>
              <w:rPr>
                <w:rFonts w:hint="eastAsia" w:ascii="宋体" w:hAnsi="宋体" w:cs="宋体"/>
                <w:sz w:val="24"/>
                <w:szCs w:val="24"/>
                <w:highlight w:val="none"/>
                <w:lang w:val="en-US" w:eastAsia="zh-CN"/>
              </w:rPr>
              <w:t>318.3</w:t>
            </w:r>
          </w:p>
        </w:tc>
        <w:tc>
          <w:tcPr>
            <w:tcW w:w="1050" w:type="dxa"/>
            <w:tcBorders>
              <w:top w:val="outset" w:color="AAAAAA" w:sz="6" w:space="0"/>
              <w:left w:val="outset" w:color="AAAAAA" w:sz="6" w:space="0"/>
              <w:bottom w:val="outset" w:color="AAAAAA" w:sz="6" w:space="0"/>
              <w:right w:val="outset" w:color="AAAAAA" w:sz="6" w:space="0"/>
            </w:tcBorders>
            <w:noWrap w:val="0"/>
            <w:vAlign w:val="center"/>
          </w:tcPr>
          <w:p>
            <w:pPr>
              <w:widowControl/>
              <w:spacing w:line="360" w:lineRule="auto"/>
              <w:jc w:val="center"/>
              <w:rPr>
                <w:rFonts w:hint="eastAsia" w:ascii="宋体" w:hAnsi="宋体" w:cs="宋体"/>
                <w:kern w:val="0"/>
                <w:sz w:val="21"/>
                <w:szCs w:val="21"/>
                <w:highlight w:val="none"/>
                <w:lang w:val="en-US" w:eastAsia="zh-CN"/>
              </w:rPr>
            </w:pPr>
            <w:r>
              <w:rPr>
                <w:rFonts w:hint="eastAsia" w:ascii="宋体" w:hAnsi="宋体" w:cs="宋体"/>
                <w:sz w:val="24"/>
                <w:szCs w:val="24"/>
                <w:highlight w:val="none"/>
                <w:lang w:val="en-US" w:eastAsia="zh-CN"/>
              </w:rPr>
              <w:t>食品药品安全服务</w:t>
            </w:r>
          </w:p>
        </w:tc>
        <w:tc>
          <w:tcPr>
            <w:tcW w:w="4124" w:type="dxa"/>
            <w:tcBorders>
              <w:top w:val="outset" w:color="AAAAAA" w:sz="6" w:space="0"/>
              <w:left w:val="outset" w:color="AAAAAA" w:sz="6" w:space="0"/>
              <w:bottom w:val="outset" w:color="AAAAAA" w:sz="6" w:space="0"/>
              <w:right w:val="outset" w:color="AAAAAA" w:sz="6" w:space="0"/>
            </w:tcBorders>
            <w:noWrap w:val="0"/>
            <w:vAlign w:val="center"/>
          </w:tcPr>
          <w:p>
            <w:pPr>
              <w:widowControl/>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cs="宋体"/>
                <w:sz w:val="24"/>
                <w:szCs w:val="24"/>
                <w:highlight w:val="none"/>
                <w:lang w:val="en-US" w:eastAsia="zh-CN"/>
              </w:rPr>
              <w:t>对天津市东丽区35个农贸市场开展食用农产品快检室抽检服务</w:t>
            </w:r>
          </w:p>
        </w:tc>
      </w:tr>
    </w:tbl>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宋体" w:hAnsi="宋体" w:eastAsia="宋体" w:cs="宋体"/>
          <w:sz w:val="24"/>
          <w:szCs w:val="24"/>
          <w:highlight w:val="none"/>
          <w:u w:val="single"/>
          <w:lang w:val="en-US" w:eastAsia="zh-CN"/>
        </w:rPr>
      </w:pPr>
      <w:r>
        <w:rPr>
          <w:rFonts w:hint="eastAsia" w:ascii="宋体" w:hAnsi="宋体" w:eastAsia="宋体" w:cs="宋体"/>
          <w:sz w:val="24"/>
          <w:szCs w:val="24"/>
          <w:highlight w:val="none"/>
        </w:rPr>
        <w:t>具体项目数量及规格详见第二部分,本项目不接受进口产品投标。</w:t>
      </w:r>
      <w:r>
        <w:rPr>
          <w:rFonts w:hint="eastAsia" w:ascii="宋体" w:hAnsi="宋体" w:eastAsia="宋体" w:cs="宋体"/>
          <w:sz w:val="24"/>
          <w:szCs w:val="24"/>
          <w:highlight w:val="none"/>
          <w:lang w:val="en-US" w:eastAsia="zh-CN"/>
        </w:rPr>
        <w:t>本项目所属行业</w:t>
      </w:r>
      <w:r>
        <w:rPr>
          <w:rFonts w:hint="eastAsia" w:ascii="宋体" w:hAnsi="宋体" w:cs="宋体"/>
          <w:b/>
          <w:bCs/>
          <w:sz w:val="24"/>
          <w:szCs w:val="24"/>
          <w:highlight w:val="none"/>
          <w:u w:val="single"/>
          <w:lang w:val="en-US" w:eastAsia="zh-CN"/>
        </w:rPr>
        <w:t>其他未列明行业</w:t>
      </w:r>
      <w:bookmarkStart w:id="127" w:name="_GoBack"/>
      <w:bookmarkEnd w:id="127"/>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三、项目预算</w:t>
      </w:r>
    </w:p>
    <w:p>
      <w:pPr>
        <w:pStyle w:val="34"/>
        <w:pageBreakBefore w:val="0"/>
        <w:kinsoku/>
        <w:wordWrap/>
        <w:overflowPunct/>
        <w:topLinePunct w:val="0"/>
        <w:autoSpaceDE/>
        <w:autoSpaceDN/>
        <w:bidi w:val="0"/>
        <w:adjustRightInd/>
        <w:snapToGrid/>
        <w:ind w:firstLine="482" w:firstLineChars="200"/>
        <w:textAlignment w:val="auto"/>
        <w:rPr>
          <w:rFonts w:hint="eastAsia" w:eastAsia="宋体"/>
          <w:b/>
          <w:bCs w:val="0"/>
          <w:color w:val="auto"/>
          <w:highlight w:val="none"/>
          <w:lang w:eastAsia="zh-CN"/>
        </w:rPr>
      </w:pPr>
      <w:r>
        <w:rPr>
          <w:rFonts w:hint="eastAsia" w:asciiTheme="minorEastAsia" w:hAnsiTheme="minorEastAsia" w:eastAsiaTheme="minorEastAsia" w:cstheme="minorEastAsia"/>
          <w:b/>
          <w:bCs w:val="0"/>
          <w:color w:val="auto"/>
          <w:highlight w:val="none"/>
          <w:lang w:val="en-US" w:eastAsia="zh-CN"/>
        </w:rPr>
        <w:t>1.</w:t>
      </w:r>
      <w:r>
        <w:rPr>
          <w:rFonts w:hint="eastAsia" w:asciiTheme="minorEastAsia" w:hAnsiTheme="minorEastAsia" w:eastAsiaTheme="minorEastAsia" w:cstheme="minorEastAsia"/>
          <w:b/>
          <w:bCs w:val="0"/>
          <w:color w:val="auto"/>
          <w:highlight w:val="none"/>
          <w:lang w:val="zh-TW" w:eastAsia="zh-CN"/>
        </w:rPr>
        <w:t>本项目总预算为：</w:t>
      </w:r>
      <w:r>
        <w:rPr>
          <w:rFonts w:hint="default" w:ascii="Arial" w:hAnsi="Arial" w:cs="Arial" w:eastAsiaTheme="minorEastAsia"/>
          <w:b/>
          <w:bCs w:val="0"/>
          <w:color w:val="auto"/>
          <w:highlight w:val="none"/>
          <w:lang w:val="zh-TW" w:eastAsia="zh-CN"/>
        </w:rPr>
        <w:t>¥</w:t>
      </w:r>
      <w:r>
        <w:rPr>
          <w:rFonts w:hint="eastAsia" w:ascii="宋体" w:hAnsi="宋体" w:cs="宋体"/>
          <w:b/>
          <w:bCs w:val="0"/>
          <w:sz w:val="24"/>
          <w:szCs w:val="24"/>
          <w:highlight w:val="none"/>
          <w:u w:val="single"/>
          <w:lang w:val="en-US" w:eastAsia="zh-CN"/>
        </w:rPr>
        <w:t>3183000</w:t>
      </w:r>
      <w:r>
        <w:rPr>
          <w:rFonts w:hint="eastAsia" w:asciiTheme="minorEastAsia" w:hAnsiTheme="minorEastAsia" w:eastAsiaTheme="minorEastAsia" w:cstheme="minorEastAsia"/>
          <w:b/>
          <w:bCs w:val="0"/>
          <w:color w:val="auto"/>
          <w:highlight w:val="none"/>
        </w:rPr>
        <w:t>元（大写人民币</w:t>
      </w:r>
      <w:r>
        <w:rPr>
          <w:rFonts w:hint="eastAsia" w:asciiTheme="minorEastAsia" w:hAnsiTheme="minorEastAsia" w:eastAsiaTheme="minorEastAsia" w:cstheme="minorEastAsia"/>
          <w:b/>
          <w:bCs w:val="0"/>
          <w:color w:val="auto"/>
          <w:highlight w:val="none"/>
          <w:lang w:val="en-US" w:eastAsia="zh-CN"/>
        </w:rPr>
        <w:t>叁佰壹拾捌万叁仟元整</w:t>
      </w:r>
      <w:r>
        <w:rPr>
          <w:rFonts w:hint="eastAsia" w:eastAsia="宋体"/>
          <w:b/>
          <w:bCs w:val="0"/>
          <w:color w:val="auto"/>
          <w:highlight w:val="none"/>
        </w:rPr>
        <w:t>）</w:t>
      </w:r>
      <w:r>
        <w:rPr>
          <w:rFonts w:hint="eastAsia" w:eastAsia="宋体"/>
          <w:b/>
          <w:bCs w:val="0"/>
          <w:color w:val="auto"/>
          <w:highlight w:val="none"/>
          <w:lang w:eastAsia="zh-CN"/>
        </w:rPr>
        <w:t>。</w:t>
      </w:r>
    </w:p>
    <w:p>
      <w:pPr>
        <w:pStyle w:val="34"/>
        <w:pageBreakBefore w:val="0"/>
        <w:kinsoku/>
        <w:wordWrap/>
        <w:overflowPunct/>
        <w:topLinePunct w:val="0"/>
        <w:autoSpaceDE/>
        <w:autoSpaceDN/>
        <w:bidi w:val="0"/>
        <w:adjustRightInd/>
        <w:snapToGrid/>
        <w:ind w:firstLine="482" w:firstLineChars="200"/>
        <w:textAlignment w:val="auto"/>
        <w:rPr>
          <w:rFonts w:hint="eastAsia" w:eastAsia="宋体"/>
          <w:b/>
          <w:bCs w:val="0"/>
          <w:color w:val="auto"/>
          <w:highlight w:val="none"/>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四、项目需要落实的政府采购政策</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按照《财政部关于在政府采购活动中查询及使用信用记录有关问题的通知》（财库〔2016〕125号）的要求，根据</w:t>
      </w:r>
      <w:r>
        <w:rPr>
          <w:rFonts w:hint="eastAsia" w:ascii="宋体" w:hAnsi="宋体" w:cs="宋体"/>
          <w:color w:val="000000"/>
          <w:kern w:val="0"/>
          <w:sz w:val="24"/>
          <w:szCs w:val="24"/>
          <w:highlight w:val="none"/>
          <w:lang w:val="en-US" w:eastAsia="zh-CN"/>
        </w:rPr>
        <w:t>投标</w:t>
      </w:r>
      <w:r>
        <w:rPr>
          <w:rFonts w:hint="eastAsia" w:ascii="宋体" w:hAnsi="宋体" w:eastAsia="宋体" w:cs="宋体"/>
          <w:color w:val="000000"/>
          <w:kern w:val="0"/>
          <w:sz w:val="24"/>
          <w:szCs w:val="24"/>
          <w:highlight w:val="none"/>
        </w:rPr>
        <w:t>文件开启当日</w:t>
      </w:r>
      <w:r>
        <w:rPr>
          <w:rFonts w:hint="eastAsia" w:ascii="宋体" w:hAnsi="宋体" w:cs="宋体"/>
          <w:color w:val="000000"/>
          <w:kern w:val="0"/>
          <w:sz w:val="24"/>
          <w:szCs w:val="24"/>
          <w:highlight w:val="none"/>
          <w:lang w:val="en-US" w:eastAsia="zh-CN"/>
        </w:rPr>
        <w:t>投标</w:t>
      </w:r>
      <w:r>
        <w:rPr>
          <w:rFonts w:hint="eastAsia" w:ascii="宋体" w:hAnsi="宋体" w:eastAsia="宋体" w:cs="宋体"/>
          <w:color w:val="000000"/>
          <w:kern w:val="0"/>
          <w:sz w:val="24"/>
          <w:szCs w:val="24"/>
          <w:highlight w:val="none"/>
        </w:rPr>
        <w:t>文件开启时间之前“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按照财政部、工业和信息化部关于《政府采购促进中小企业发展管理办法》的通知（财库〔2020〕46号）及财政部《关于进一步加大政府采购支持中小企业力度的通知》（财库〔2022〕19号）的规定，本项目对小型和微型企业的价格给予20%的扣除。</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根据财政部发布的《关于政府采购支持监狱企业发展有关问题的通知》规定，本项目对监狱企业的价格给予20%的扣除。</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根据财政部、民政部、中国残疾人联合会发布的《关于促进残疾人就业政府采购政策的通知》规定，本项目对残疾人福利性单位的价格给予20%的扣除。</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rPr>
        <w:t>注：小微企业以投标人填写的《中小企业声明函》为判定标准，监狱企业须投标人提供由省级以上监狱管理局、戒毒管理局(含新疆生产建设兵团)出具的属于监狱企业的证明文件，残疾人福利性单位以投标人填写的《残疾人福利性单位声明函》为判定标准，否则不予认定。以上政策不重复享受</w:t>
      </w:r>
      <w:r>
        <w:rPr>
          <w:rFonts w:hint="eastAsia" w:ascii="宋体" w:hAnsi="宋体" w:eastAsia="宋体" w:cs="宋体"/>
          <w:color w:val="000000"/>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五、供应商资格要求 (实质性要求)</w:t>
      </w:r>
    </w:p>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投标人应具备《中华人民共和国政府采购法》第二十二条第一款规定的条件，提供以下材料(下列资质需在有效期内）：</w:t>
      </w:r>
    </w:p>
    <w:p>
      <w:pPr>
        <w:pStyle w:val="34"/>
        <w:keepNext w:val="0"/>
        <w:keepLines w:val="0"/>
        <w:pageBreakBefore w:val="0"/>
        <w:widowControl w:val="0"/>
        <w:numPr>
          <w:ilvl w:val="0"/>
          <w:numId w:val="2"/>
        </w:numPr>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供应商须具备营业执照或事业单位法人证书或民办非企业单位登记证书或社会团体法人登记证书或基金会法人登记证书，提供营业执照或证书原件或复印件加盖公章。</w:t>
      </w:r>
    </w:p>
    <w:p>
      <w:pPr>
        <w:pStyle w:val="34"/>
        <w:keepNext w:val="0"/>
        <w:keepLines w:val="0"/>
        <w:pageBreakBefore w:val="0"/>
        <w:widowControl w:val="0"/>
        <w:numPr>
          <w:ilvl w:val="0"/>
          <w:numId w:val="2"/>
        </w:numPr>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有依法纳税的良好记录，须提供202</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lang w:val="en-US" w:eastAsia="zh-CN"/>
          <w14:textFill>
            <w14:solidFill>
              <w14:schemeClr w14:val="tx1"/>
            </w14:solidFill>
          </w14:textFill>
        </w:rPr>
        <w:t>6月</w:t>
      </w:r>
      <w:r>
        <w:rPr>
          <w:rFonts w:hint="eastAsia" w:ascii="宋体" w:hAnsi="宋体" w:eastAsia="宋体" w:cs="宋体"/>
          <w:color w:val="000000" w:themeColor="text1"/>
          <w:highlight w:val="none"/>
          <w14:textFill>
            <w14:solidFill>
              <w14:schemeClr w14:val="tx1"/>
            </w14:solidFill>
          </w14:textFill>
        </w:rPr>
        <w:t>至今至少1个月的依法纳税的相关证明材料</w:t>
      </w:r>
      <w:r>
        <w:rPr>
          <w:rFonts w:hint="eastAsia" w:ascii="宋体" w:hAnsi="宋体" w:eastAsia="宋体" w:cs="宋体"/>
          <w:color w:val="000000" w:themeColor="text1"/>
          <w:highlight w:val="none"/>
          <w:lang w:eastAsia="zh-CN"/>
          <w14:textFill>
            <w14:solidFill>
              <w14:schemeClr w14:val="tx1"/>
            </w14:solidFill>
          </w14:textFill>
        </w:rPr>
        <w:t>复印件加盖公章</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highlight w:val="none"/>
        </w:rPr>
        <w:t>（依法免税或者零申报的提供相应文件说明，新成立的供应商可按实际的缴纳情况</w:t>
      </w:r>
      <w:r>
        <w:rPr>
          <w:rFonts w:hint="eastAsia" w:ascii="宋体" w:hAnsi="宋体" w:cs="宋体"/>
          <w:color w:val="000000"/>
          <w:highlight w:val="none"/>
          <w:lang w:eastAsia="zh-CN"/>
        </w:rPr>
        <w:t>提供</w:t>
      </w:r>
      <w:r>
        <w:rPr>
          <w:rFonts w:hint="eastAsia" w:ascii="宋体" w:hAnsi="宋体" w:cs="宋体"/>
          <w:color w:val="000000"/>
          <w:highlight w:val="none"/>
        </w:rPr>
        <w:t>证明材料，税务管理部门出具）</w:t>
      </w:r>
      <w:r>
        <w:rPr>
          <w:rFonts w:hint="eastAsia" w:ascii="宋体" w:hAnsi="宋体" w:cs="宋体"/>
          <w:color w:val="000000"/>
          <w:highlight w:val="none"/>
          <w:lang w:eastAsia="zh-CN"/>
        </w:rPr>
        <w:t>；</w:t>
      </w:r>
    </w:p>
    <w:p>
      <w:pPr>
        <w:pStyle w:val="34"/>
        <w:keepNext w:val="0"/>
        <w:keepLines w:val="0"/>
        <w:pageBreakBefore w:val="0"/>
        <w:widowControl w:val="0"/>
        <w:numPr>
          <w:ilvl w:val="0"/>
          <w:numId w:val="2"/>
        </w:numPr>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有依法缴纳社会保障资金的良好记录，须提供202</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年</w:t>
      </w:r>
      <w:r>
        <w:rPr>
          <w:rFonts w:hint="eastAsia" w:ascii="宋体" w:hAnsi="宋体" w:eastAsia="宋体" w:cs="宋体"/>
          <w:color w:val="000000" w:themeColor="text1"/>
          <w:highlight w:val="none"/>
          <w:lang w:val="en-US" w:eastAsia="zh-CN"/>
          <w14:textFill>
            <w14:solidFill>
              <w14:schemeClr w14:val="tx1"/>
            </w14:solidFill>
          </w14:textFill>
        </w:rPr>
        <w:t>6月</w:t>
      </w:r>
      <w:r>
        <w:rPr>
          <w:rFonts w:hint="eastAsia" w:ascii="宋体" w:hAnsi="宋体" w:eastAsia="宋体" w:cs="宋体"/>
          <w:color w:val="000000" w:themeColor="text1"/>
          <w:highlight w:val="none"/>
          <w14:textFill>
            <w14:solidFill>
              <w14:schemeClr w14:val="tx1"/>
            </w14:solidFill>
          </w14:textFill>
        </w:rPr>
        <w:t>至今至少1个月的依法缴纳社会保险费的相关证明材料</w:t>
      </w:r>
      <w:r>
        <w:rPr>
          <w:rFonts w:hint="eastAsia" w:ascii="宋体" w:hAnsi="宋体" w:eastAsia="宋体" w:cs="宋体"/>
          <w:color w:val="000000" w:themeColor="text1"/>
          <w:highlight w:val="none"/>
          <w:lang w:eastAsia="zh-CN"/>
          <w14:textFill>
            <w14:solidFill>
              <w14:schemeClr w14:val="tx1"/>
            </w14:solidFill>
          </w14:textFill>
        </w:rPr>
        <w:t>复印件加盖公章</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highlight w:val="none"/>
        </w:rPr>
        <w:t>（依法不需要缴纳社会保障资金的提供相应文件说明，社会保险基金管理部门出具）</w:t>
      </w:r>
      <w:r>
        <w:rPr>
          <w:rFonts w:hint="eastAsia" w:ascii="宋体" w:hAnsi="宋体" w:cs="宋体"/>
          <w:color w:val="000000"/>
          <w:highlight w:val="none"/>
          <w:lang w:eastAsia="zh-CN"/>
        </w:rPr>
        <w:t>；</w:t>
      </w:r>
    </w:p>
    <w:p>
      <w:pPr>
        <w:pStyle w:val="34"/>
        <w:keepNext w:val="0"/>
        <w:keepLines w:val="0"/>
        <w:pageBreakBefore w:val="0"/>
        <w:widowControl w:val="0"/>
        <w:numPr>
          <w:ilvl w:val="0"/>
          <w:numId w:val="2"/>
        </w:numPr>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具有良好的商业信誉和健全的财务会计制度，须提供202</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年度</w:t>
      </w:r>
      <w:r>
        <w:rPr>
          <w:rFonts w:hint="eastAsia" w:ascii="宋体" w:hAnsi="宋体" w:eastAsia="宋体" w:cs="宋体"/>
          <w:color w:val="000000" w:themeColor="text1"/>
          <w:highlight w:val="none"/>
          <w:lang w:val="en-US" w:eastAsia="zh-CN"/>
          <w14:textFill>
            <w14:solidFill>
              <w14:schemeClr w14:val="tx1"/>
            </w14:solidFill>
          </w14:textFill>
        </w:rPr>
        <w:t>或2022年度</w:t>
      </w:r>
      <w:r>
        <w:rPr>
          <w:rFonts w:hint="eastAsia" w:ascii="宋体" w:hAnsi="宋体" w:eastAsia="宋体" w:cs="宋体"/>
          <w:color w:val="000000" w:themeColor="text1"/>
          <w:highlight w:val="none"/>
          <w14:textFill>
            <w14:solidFill>
              <w14:schemeClr w14:val="tx1"/>
            </w14:solidFill>
          </w14:textFill>
        </w:rPr>
        <w:t>经第三方会计师事务所审计的完整的企业财务报告</w:t>
      </w:r>
      <w:r>
        <w:rPr>
          <w:rFonts w:hint="eastAsia" w:ascii="宋体" w:hAnsi="宋体" w:eastAsia="宋体" w:cs="宋体"/>
          <w:color w:val="000000" w:themeColor="text1"/>
          <w:highlight w:val="none"/>
          <w:lang w:eastAsia="zh-CN"/>
          <w14:textFill>
            <w14:solidFill>
              <w14:schemeClr w14:val="tx1"/>
            </w14:solidFill>
          </w14:textFill>
        </w:rPr>
        <w:t>复印件加盖公章</w:t>
      </w:r>
      <w:r>
        <w:rPr>
          <w:rFonts w:hint="eastAsia" w:ascii="宋体" w:hAnsi="宋体" w:eastAsia="宋体" w:cs="宋体"/>
          <w:color w:val="000000" w:themeColor="text1"/>
          <w:highlight w:val="none"/>
          <w14:textFill>
            <w14:solidFill>
              <w14:schemeClr w14:val="tx1"/>
            </w14:solidFill>
          </w14:textFill>
        </w:rPr>
        <w:t>或</w:t>
      </w:r>
      <w:r>
        <w:rPr>
          <w:rFonts w:hint="eastAsia" w:ascii="宋体" w:hAnsi="宋体" w:eastAsia="宋体" w:cs="宋体"/>
          <w:color w:val="000000" w:themeColor="text1"/>
          <w:highlight w:val="none"/>
          <w:lang w:eastAsia="zh-CN"/>
          <w14:textFill>
            <w14:solidFill>
              <w14:schemeClr w14:val="tx1"/>
            </w14:solidFill>
          </w14:textFill>
        </w:rPr>
        <w:t>开标前</w:t>
      </w:r>
      <w:r>
        <w:rPr>
          <w:rFonts w:hint="eastAsia" w:ascii="宋体" w:hAnsi="宋体" w:eastAsia="宋体" w:cs="宋体"/>
          <w:color w:val="000000" w:themeColor="text1"/>
          <w:highlight w:val="none"/>
          <w:lang w:val="en-US" w:eastAsia="zh-CN"/>
          <w14:textFill>
            <w14:solidFill>
              <w14:schemeClr w14:val="tx1"/>
            </w14:solidFill>
          </w14:textFill>
        </w:rPr>
        <w:t>3个月以内</w:t>
      </w:r>
      <w:r>
        <w:rPr>
          <w:rFonts w:hint="eastAsia" w:ascii="宋体" w:hAnsi="宋体" w:eastAsia="宋体" w:cs="宋体"/>
          <w:color w:val="000000" w:themeColor="text1"/>
          <w:highlight w:val="none"/>
          <w14:textFill>
            <w14:solidFill>
              <w14:schemeClr w14:val="tx1"/>
            </w14:solidFill>
          </w14:textFill>
        </w:rPr>
        <w:t>银行出具的资信证明</w:t>
      </w:r>
      <w:r>
        <w:rPr>
          <w:rFonts w:hint="eastAsia" w:ascii="宋体" w:hAnsi="宋体" w:eastAsia="宋体" w:cs="宋体"/>
          <w:color w:val="000000" w:themeColor="text1"/>
          <w:highlight w:val="none"/>
          <w:lang w:eastAsia="zh-CN"/>
          <w14:textFill>
            <w14:solidFill>
              <w14:schemeClr w14:val="tx1"/>
            </w14:solidFill>
          </w14:textFill>
        </w:rPr>
        <w:t>复印件加盖公章</w:t>
      </w:r>
      <w:r>
        <w:rPr>
          <w:rFonts w:hint="eastAsia" w:ascii="宋体" w:hAnsi="宋体" w:eastAsia="宋体" w:cs="宋体"/>
          <w:color w:val="000000" w:themeColor="text1"/>
          <w:highlight w:val="none"/>
          <w14:textFill>
            <w14:solidFill>
              <w14:schemeClr w14:val="tx1"/>
            </w14:solidFill>
          </w14:textFill>
        </w:rPr>
        <w:t>；</w:t>
      </w:r>
    </w:p>
    <w:p>
      <w:pPr>
        <w:pStyle w:val="34"/>
        <w:keepNext w:val="0"/>
        <w:keepLines w:val="0"/>
        <w:pageBreakBefore w:val="0"/>
        <w:widowControl w:val="0"/>
        <w:numPr>
          <w:ilvl w:val="0"/>
          <w:numId w:val="2"/>
        </w:numPr>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kern w:val="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投标截止日前三年参加政府采购活动，在经营活动中没有重大违法记录。提供书面声明函；（截至开标日成立不足3年的供应商可提供自成立以来无重大违法记录的书面声明）</w:t>
      </w:r>
    </w:p>
    <w:p>
      <w:pPr>
        <w:pStyle w:val="34"/>
        <w:keepNext w:val="0"/>
        <w:keepLines w:val="0"/>
        <w:pageBreakBefore w:val="0"/>
        <w:widowControl w:val="0"/>
        <w:numPr>
          <w:ilvl w:val="0"/>
          <w:numId w:val="2"/>
        </w:numPr>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kern w:val="1"/>
          <w:highlight w:val="none"/>
          <w14:textFill>
            <w14:solidFill>
              <w14:schemeClr w14:val="tx1"/>
            </w14:solidFill>
          </w14:textFill>
        </w:rPr>
      </w:pPr>
      <w:r>
        <w:rPr>
          <w:rFonts w:hint="eastAsia" w:ascii="宋体" w:hAnsi="宋体" w:eastAsia="宋体" w:cs="宋体"/>
          <w:color w:val="000000"/>
          <w:kern w:val="1"/>
          <w:sz w:val="24"/>
          <w:szCs w:val="24"/>
          <w:highlight w:val="none"/>
          <w:lang w:eastAsia="zh-CN"/>
        </w:rPr>
        <w:t>投标人</w:t>
      </w:r>
      <w:r>
        <w:rPr>
          <w:rFonts w:hint="eastAsia" w:ascii="宋体" w:hAnsi="宋体" w:eastAsia="宋体" w:cs="宋体"/>
          <w:color w:val="000000"/>
          <w:kern w:val="1"/>
          <w:sz w:val="24"/>
          <w:szCs w:val="24"/>
          <w:highlight w:val="none"/>
        </w:rPr>
        <w:t>须由法定代表人或其授权的委托代理人参加</w:t>
      </w:r>
      <w:r>
        <w:rPr>
          <w:rFonts w:hint="eastAsia" w:ascii="宋体" w:hAnsi="宋体" w:eastAsia="宋体" w:cs="宋体"/>
          <w:color w:val="000000"/>
          <w:kern w:val="1"/>
          <w:sz w:val="24"/>
          <w:szCs w:val="24"/>
          <w:highlight w:val="none"/>
          <w:lang w:eastAsia="zh-CN"/>
        </w:rPr>
        <w:t>投标</w:t>
      </w:r>
      <w:r>
        <w:rPr>
          <w:rFonts w:hint="eastAsia" w:ascii="宋体" w:hAnsi="宋体" w:eastAsia="宋体" w:cs="宋体"/>
          <w:color w:val="000000"/>
          <w:kern w:val="1"/>
          <w:sz w:val="24"/>
          <w:szCs w:val="24"/>
          <w:highlight w:val="none"/>
        </w:rPr>
        <w:t>。</w:t>
      </w:r>
      <w:r>
        <w:rPr>
          <w:rFonts w:hint="eastAsia" w:ascii="宋体" w:hAnsi="宋体" w:eastAsia="宋体" w:cs="宋体"/>
          <w:color w:val="000000"/>
          <w:kern w:val="1"/>
          <w:sz w:val="24"/>
          <w:szCs w:val="24"/>
          <w:highlight w:val="none"/>
          <w:lang w:eastAsia="zh-CN"/>
        </w:rPr>
        <w:t>投标人</w:t>
      </w:r>
      <w:r>
        <w:rPr>
          <w:rFonts w:hint="eastAsia" w:ascii="宋体" w:hAnsi="宋体" w:eastAsia="宋体" w:cs="宋体"/>
          <w:color w:val="000000"/>
          <w:kern w:val="1"/>
          <w:sz w:val="24"/>
          <w:szCs w:val="24"/>
          <w:highlight w:val="none"/>
        </w:rPr>
        <w:t>若为法定代表人</w:t>
      </w:r>
      <w:r>
        <w:rPr>
          <w:rFonts w:hint="eastAsia" w:ascii="宋体" w:hAnsi="宋体" w:eastAsia="宋体" w:cs="宋体"/>
          <w:color w:val="000000"/>
          <w:kern w:val="1"/>
          <w:sz w:val="24"/>
          <w:szCs w:val="24"/>
          <w:highlight w:val="none"/>
          <w:lang w:eastAsia="zh-CN"/>
        </w:rPr>
        <w:t>参加投标</w:t>
      </w:r>
      <w:r>
        <w:rPr>
          <w:rFonts w:hint="eastAsia" w:ascii="宋体" w:hAnsi="宋体" w:eastAsia="宋体" w:cs="宋体"/>
          <w:color w:val="000000"/>
          <w:kern w:val="1"/>
          <w:sz w:val="24"/>
          <w:szCs w:val="24"/>
          <w:highlight w:val="none"/>
        </w:rPr>
        <w:t>，需提供法定代表人资格证明书</w:t>
      </w:r>
      <w:r>
        <w:rPr>
          <w:rFonts w:hint="eastAsia" w:ascii="宋体" w:hAnsi="宋体" w:eastAsia="宋体" w:cs="宋体"/>
          <w:color w:val="000000"/>
          <w:kern w:val="1"/>
          <w:sz w:val="24"/>
          <w:szCs w:val="24"/>
          <w:highlight w:val="none"/>
          <w:lang w:eastAsia="zh-CN"/>
        </w:rPr>
        <w:t>及</w:t>
      </w:r>
      <w:r>
        <w:rPr>
          <w:rFonts w:hint="eastAsia" w:ascii="宋体" w:hAnsi="宋体" w:eastAsia="宋体" w:cs="宋体"/>
          <w:color w:val="000000"/>
          <w:kern w:val="1"/>
          <w:sz w:val="24"/>
          <w:szCs w:val="24"/>
          <w:highlight w:val="none"/>
        </w:rPr>
        <w:t>身份证原件；</w:t>
      </w:r>
      <w:r>
        <w:rPr>
          <w:rFonts w:hint="eastAsia" w:ascii="宋体" w:hAnsi="宋体" w:eastAsia="宋体" w:cs="宋体"/>
          <w:color w:val="000000"/>
          <w:kern w:val="1"/>
          <w:sz w:val="24"/>
          <w:szCs w:val="24"/>
          <w:highlight w:val="none"/>
          <w:lang w:eastAsia="zh-CN"/>
        </w:rPr>
        <w:t>投标人</w:t>
      </w:r>
      <w:r>
        <w:rPr>
          <w:rFonts w:hint="eastAsia" w:ascii="宋体" w:hAnsi="宋体" w:eastAsia="宋体" w:cs="宋体"/>
          <w:color w:val="000000"/>
          <w:kern w:val="1"/>
          <w:sz w:val="24"/>
          <w:szCs w:val="24"/>
          <w:highlight w:val="none"/>
        </w:rPr>
        <w:t>若为</w:t>
      </w:r>
      <w:r>
        <w:rPr>
          <w:rFonts w:hint="eastAsia" w:ascii="宋体" w:hAnsi="宋体" w:eastAsia="宋体" w:cs="宋体"/>
          <w:color w:val="000000"/>
          <w:kern w:val="1"/>
          <w:sz w:val="24"/>
          <w:szCs w:val="24"/>
          <w:highlight w:val="none"/>
          <w:lang w:eastAsia="zh-CN"/>
        </w:rPr>
        <w:t>被授权的委托代理人参加投标</w:t>
      </w:r>
      <w:r>
        <w:rPr>
          <w:rFonts w:hint="eastAsia" w:ascii="宋体" w:hAnsi="宋体" w:eastAsia="宋体" w:cs="宋体"/>
          <w:color w:val="000000"/>
          <w:kern w:val="1"/>
          <w:sz w:val="24"/>
          <w:szCs w:val="24"/>
          <w:highlight w:val="none"/>
        </w:rPr>
        <w:t>，须提供法定代表人</w:t>
      </w:r>
      <w:r>
        <w:rPr>
          <w:rFonts w:hint="eastAsia" w:ascii="宋体" w:hAnsi="宋体" w:eastAsia="宋体" w:cs="宋体"/>
          <w:color w:val="000000"/>
          <w:kern w:val="1"/>
          <w:sz w:val="24"/>
          <w:szCs w:val="24"/>
          <w:highlight w:val="none"/>
          <w:lang w:eastAsia="zh-CN"/>
        </w:rPr>
        <w:t>资格证明书、法人授权委托书（须由法定代表人签字或扣章）和被授权人身份证原件；</w:t>
      </w:r>
    </w:p>
    <w:p>
      <w:pPr>
        <w:pStyle w:val="34"/>
        <w:keepNext w:val="0"/>
        <w:keepLines w:val="0"/>
        <w:pageBreakBefore w:val="0"/>
        <w:widowControl w:val="0"/>
        <w:numPr>
          <w:ilvl w:val="0"/>
          <w:numId w:val="2"/>
        </w:numPr>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kern w:val="1"/>
          <w:highlight w:val="none"/>
          <w14:textFill>
            <w14:solidFill>
              <w14:schemeClr w14:val="tx1"/>
            </w14:solidFill>
          </w14:textFill>
        </w:rPr>
      </w:pPr>
      <w:r>
        <w:rPr>
          <w:rFonts w:hint="eastAsia" w:ascii="宋体" w:hAnsi="宋体" w:eastAsia="宋体" w:cs="宋体"/>
          <w:color w:val="000000" w:themeColor="text1"/>
          <w:kern w:val="1"/>
          <w:highlight w:val="none"/>
          <w14:textFill>
            <w14:solidFill>
              <w14:schemeClr w14:val="tx1"/>
            </w14:solidFill>
          </w14:textFill>
        </w:rPr>
        <w:t>投标人应在《天津市政府采购网》完成注册并通过审核成为合格供应商。（天津市政府采购网显示“有效”字样，提供该网页截屏作为证明材料并加盖公章）</w:t>
      </w:r>
    </w:p>
    <w:p>
      <w:pPr>
        <w:pStyle w:val="34"/>
        <w:keepNext w:val="0"/>
        <w:keepLines w:val="0"/>
        <w:pageBreakBefore w:val="0"/>
        <w:widowControl w:val="0"/>
        <w:numPr>
          <w:ilvl w:val="0"/>
          <w:numId w:val="2"/>
        </w:numPr>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kern w:val="1"/>
          <w:highlight w:val="none"/>
          <w14:textFill>
            <w14:solidFill>
              <w14:schemeClr w14:val="tx1"/>
            </w14:solidFill>
          </w14:textFill>
        </w:rPr>
      </w:pPr>
      <w:r>
        <w:rPr>
          <w:rFonts w:hint="eastAsia" w:ascii="宋体" w:hAnsi="宋体" w:eastAsia="宋体" w:cs="宋体"/>
          <w:color w:val="000000" w:themeColor="text1"/>
          <w:kern w:val="1"/>
          <w:highlight w:val="none"/>
          <w14:textFill>
            <w14:solidFill>
              <w14:schemeClr w14:val="tx1"/>
            </w14:solidFill>
          </w14:textFill>
        </w:rPr>
        <w:t>本项目不接受联合体投标</w:t>
      </w:r>
      <w:r>
        <w:rPr>
          <w:rFonts w:hint="eastAsia" w:ascii="宋体" w:hAnsi="宋体" w:eastAsia="宋体" w:cs="宋体"/>
          <w:color w:val="000000" w:themeColor="text1"/>
          <w:kern w:val="1"/>
          <w:highlight w:val="none"/>
          <w:lang w:eastAsia="zh-CN"/>
          <w14:textFill>
            <w14:solidFill>
              <w14:schemeClr w14:val="tx1"/>
            </w14:solidFill>
          </w14:textFill>
        </w:rPr>
        <w:t>，</w:t>
      </w:r>
      <w:r>
        <w:rPr>
          <w:rFonts w:hint="eastAsia" w:ascii="宋体" w:hAnsi="宋体" w:eastAsia="宋体" w:cs="宋体"/>
          <w:color w:val="000000" w:themeColor="text1"/>
          <w:kern w:val="1"/>
          <w:highlight w:val="none"/>
          <w14:textFill>
            <w14:solidFill>
              <w14:schemeClr w14:val="tx1"/>
            </w14:solidFill>
          </w14:textFill>
        </w:rPr>
        <w:t>投标人须提供《非联合体投标声明函》。</w:t>
      </w:r>
    </w:p>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六、报名及</w:t>
      </w:r>
      <w:r>
        <w:rPr>
          <w:rFonts w:hint="eastAsia" w:ascii="宋体" w:hAnsi="宋体" w:eastAsia="宋体" w:cs="宋体"/>
          <w:color w:val="000000" w:themeColor="text1"/>
          <w:sz w:val="24"/>
          <w:szCs w:val="24"/>
          <w:highlight w:val="none"/>
          <w:lang w:val="en-US" w:eastAsia="zh-CN"/>
          <w14:textFill>
            <w14:solidFill>
              <w14:schemeClr w14:val="tx1"/>
            </w14:solidFill>
          </w14:textFill>
        </w:rPr>
        <w:t>获取</w:t>
      </w:r>
      <w:r>
        <w:rPr>
          <w:rFonts w:hint="eastAsia" w:ascii="宋体" w:hAnsi="宋体" w:eastAsia="宋体" w:cs="宋体"/>
          <w:color w:val="000000" w:themeColor="text1"/>
          <w:sz w:val="24"/>
          <w:szCs w:val="24"/>
          <w:highlight w:val="none"/>
          <w14:textFill>
            <w14:solidFill>
              <w14:schemeClr w14:val="tx1"/>
            </w14:solidFill>
          </w14:textFill>
        </w:rPr>
        <w:t>招标文件时间和方式</w:t>
      </w:r>
    </w:p>
    <w:p>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1.获取</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文件的时间：</w:t>
      </w:r>
      <w:r>
        <w:rPr>
          <w:rFonts w:hint="eastAsia" w:ascii="宋体" w:hAnsi="宋体" w:cs="宋体"/>
          <w:color w:val="000000" w:themeColor="text1"/>
          <w:sz w:val="24"/>
          <w:szCs w:val="24"/>
          <w:highlight w:val="none"/>
          <w:lang w:val="en-US" w:eastAsia="zh-CN"/>
          <w14:textFill>
            <w14:solidFill>
              <w14:schemeClr w14:val="tx1"/>
            </w14:solidFill>
          </w14:textFill>
        </w:rPr>
        <w:t>2023</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03</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16</w:t>
      </w:r>
      <w:r>
        <w:rPr>
          <w:rFonts w:hint="eastAsia" w:ascii="宋体" w:hAnsi="宋体" w:eastAsia="宋体" w:cs="宋体"/>
          <w:color w:val="000000" w:themeColor="text1"/>
          <w:sz w:val="24"/>
          <w:szCs w:val="24"/>
          <w:highlight w:val="none"/>
          <w14:textFill>
            <w14:solidFill>
              <w14:schemeClr w14:val="tx1"/>
            </w14:solidFill>
          </w14:textFill>
        </w:rPr>
        <w:t>日至</w:t>
      </w:r>
      <w:r>
        <w:rPr>
          <w:rFonts w:hint="eastAsia" w:ascii="宋体" w:hAnsi="宋体" w:cs="宋体"/>
          <w:color w:val="000000" w:themeColor="text1"/>
          <w:sz w:val="24"/>
          <w:szCs w:val="24"/>
          <w:highlight w:val="none"/>
          <w:lang w:val="en-US" w:eastAsia="zh-CN"/>
          <w14:textFill>
            <w14:solidFill>
              <w14:schemeClr w14:val="tx1"/>
            </w14:solidFill>
          </w14:textFill>
        </w:rPr>
        <w:t>2023</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03</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22</w:t>
      </w:r>
      <w:r>
        <w:rPr>
          <w:rFonts w:hint="eastAsia" w:ascii="宋体" w:hAnsi="宋体" w:eastAsia="宋体" w:cs="宋体"/>
          <w:color w:val="000000" w:themeColor="text1"/>
          <w:sz w:val="24"/>
          <w:szCs w:val="24"/>
          <w:highlight w:val="none"/>
          <w14:textFill>
            <w14:solidFill>
              <w14:schemeClr w14:val="tx1"/>
            </w14:solidFill>
          </w14:textFill>
        </w:rPr>
        <w:t>日报名并出售标书，每日9:00-12:00，13:30-16:00（法定节假日除外）</w:t>
      </w:r>
    </w:p>
    <w:p>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2.获取</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文件的地点：中易（天津）工程咨询有限公司（</w:t>
      </w:r>
      <w:r>
        <w:rPr>
          <w:rFonts w:hint="eastAsia" w:ascii="宋体" w:hAnsi="宋体" w:eastAsia="宋体" w:cs="宋体"/>
          <w:color w:val="000000" w:themeColor="text1"/>
          <w:kern w:val="0"/>
          <w:sz w:val="24"/>
          <w:szCs w:val="24"/>
          <w:highlight w:val="none"/>
          <w14:textFill>
            <w14:solidFill>
              <w14:schemeClr w14:val="tx1"/>
            </w14:solidFill>
          </w14:textFill>
        </w:rPr>
        <w:t>天津市东丽区雪莲南路98-18号二楼（博士元幼儿园南侧）</w:t>
      </w:r>
      <w:r>
        <w:rPr>
          <w:rFonts w:hint="eastAsia" w:ascii="宋体" w:hAnsi="宋体" w:eastAsia="宋体" w:cs="宋体"/>
          <w:color w:val="000000" w:themeColor="text1"/>
          <w:sz w:val="24"/>
          <w:szCs w:val="24"/>
          <w:highlight w:val="none"/>
          <w14:textFill>
            <w14:solidFill>
              <w14:schemeClr w14:val="tx1"/>
            </w14:solidFill>
          </w14:textFill>
        </w:rPr>
        <w:t>）</w:t>
      </w:r>
    </w:p>
    <w:p>
      <w:pPr>
        <w:widowControl/>
        <w:shd w:val="clear"/>
        <w:snapToGrid w:val="0"/>
        <w:spacing w:line="360" w:lineRule="auto"/>
        <w:ind w:firstLine="480" w:firstLineChars="20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sz w:val="24"/>
          <w:szCs w:val="24"/>
          <w:highlight w:val="none"/>
          <w:lang w:eastAsia="zh-CN"/>
        </w:rPr>
        <w:t>获取招标文件的方式：</w:t>
      </w:r>
    </w:p>
    <w:p>
      <w:pPr>
        <w:widowControl/>
        <w:shd w:val="clear"/>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网上获取/现场获取</w:t>
      </w:r>
    </w:p>
    <w:p>
      <w:pPr>
        <w:widowControl/>
        <w:shd w:val="clear"/>
        <w:snapToGrid w:val="0"/>
        <w:spacing w:line="360" w:lineRule="auto"/>
        <w:ind w:firstLine="480" w:firstLineChars="200"/>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投标人若采取发送电子邮件方式递交以下报名资料，邮件主题：项目名称+</w:t>
      </w:r>
    </w:p>
    <w:p>
      <w:pPr>
        <w:widowControl/>
        <w:shd w:val="clear"/>
        <w:snapToGrid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公司名称；邮件内容：列明公司名称、法定代表人或授权代表人姓名及联系方式；</w:t>
      </w:r>
    </w:p>
    <w:p>
      <w:pPr>
        <w:widowControl/>
        <w:shd w:val="clear"/>
        <w:snapToGrid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邮件附件：需采用A4纸幅面，按以下文件顺序制作成1个PDF格式文件。报名材料审核通过后，招标代理机构向</w:t>
      </w:r>
      <w:r>
        <w:rPr>
          <w:rFonts w:hint="eastAsia" w:ascii="宋体" w:hAnsi="宋体" w:cs="宋体"/>
          <w:kern w:val="0"/>
          <w:sz w:val="24"/>
          <w:szCs w:val="24"/>
          <w:highlight w:val="none"/>
          <w:lang w:eastAsia="zh-CN"/>
        </w:rPr>
        <w:t>投标人</w:t>
      </w:r>
      <w:r>
        <w:rPr>
          <w:rFonts w:hint="eastAsia" w:ascii="宋体" w:hAnsi="宋体" w:eastAsia="宋体" w:cs="宋体"/>
          <w:kern w:val="0"/>
          <w:sz w:val="24"/>
          <w:szCs w:val="24"/>
          <w:highlight w:val="none"/>
        </w:rPr>
        <w:t>邮箱发送费用缴纳账户及文件领取表</w:t>
      </w:r>
    </w:p>
    <w:p>
      <w:pPr>
        <w:widowControl/>
        <w:shd w:val="clear"/>
        <w:snapToGrid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等，</w:t>
      </w:r>
      <w:r>
        <w:rPr>
          <w:rFonts w:hint="eastAsia" w:ascii="宋体" w:hAnsi="宋体" w:cs="宋体"/>
          <w:kern w:val="0"/>
          <w:sz w:val="24"/>
          <w:szCs w:val="24"/>
          <w:highlight w:val="none"/>
          <w:lang w:eastAsia="zh-CN"/>
        </w:rPr>
        <w:t>投标人</w:t>
      </w:r>
      <w:r>
        <w:rPr>
          <w:rFonts w:hint="eastAsia" w:ascii="宋体" w:hAnsi="宋体" w:eastAsia="宋体" w:cs="宋体"/>
          <w:kern w:val="0"/>
          <w:sz w:val="24"/>
          <w:szCs w:val="24"/>
          <w:highlight w:val="none"/>
        </w:rPr>
        <w:t>缴费并填写完整后回执至邮箱中，招标代理机构发送</w:t>
      </w:r>
      <w:r>
        <w:rPr>
          <w:rFonts w:hint="eastAsia" w:ascii="宋体" w:hAnsi="宋体" w:cs="宋体"/>
          <w:kern w:val="0"/>
          <w:sz w:val="24"/>
          <w:szCs w:val="24"/>
          <w:highlight w:val="none"/>
          <w:lang w:eastAsia="zh-CN"/>
        </w:rPr>
        <w:t>招标文件</w:t>
      </w:r>
      <w:r>
        <w:rPr>
          <w:rFonts w:hint="eastAsia" w:ascii="宋体" w:hAnsi="宋体" w:eastAsia="宋体" w:cs="宋体"/>
          <w:kern w:val="0"/>
          <w:sz w:val="24"/>
          <w:szCs w:val="24"/>
          <w:highlight w:val="none"/>
        </w:rPr>
        <w:t>电子版；</w:t>
      </w:r>
    </w:p>
    <w:p>
      <w:pPr>
        <w:widowControl/>
        <w:shd w:val="clear"/>
        <w:snapToGrid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审核未通过的，招标代理机构以邮件形式回复审核情况，</w:t>
      </w:r>
      <w:r>
        <w:rPr>
          <w:rFonts w:hint="eastAsia" w:ascii="宋体" w:hAnsi="宋体" w:cs="宋体"/>
          <w:kern w:val="0"/>
          <w:sz w:val="24"/>
          <w:szCs w:val="24"/>
          <w:highlight w:val="none"/>
          <w:lang w:eastAsia="zh-CN"/>
        </w:rPr>
        <w:t>投标人</w:t>
      </w:r>
      <w:r>
        <w:rPr>
          <w:rFonts w:hint="eastAsia" w:ascii="宋体" w:hAnsi="宋体" w:eastAsia="宋体" w:cs="宋体"/>
          <w:kern w:val="0"/>
          <w:sz w:val="24"/>
          <w:szCs w:val="24"/>
          <w:highlight w:val="none"/>
        </w:rPr>
        <w:t>可在</w:t>
      </w:r>
      <w:r>
        <w:rPr>
          <w:rFonts w:hint="eastAsia" w:ascii="宋体" w:hAnsi="宋体" w:cs="宋体"/>
          <w:kern w:val="0"/>
          <w:sz w:val="24"/>
          <w:szCs w:val="24"/>
          <w:highlight w:val="none"/>
          <w:lang w:eastAsia="zh-CN"/>
        </w:rPr>
        <w:t>招标文件</w:t>
      </w:r>
      <w:r>
        <w:rPr>
          <w:rFonts w:hint="eastAsia" w:ascii="宋体" w:hAnsi="宋体" w:eastAsia="宋体" w:cs="宋体"/>
          <w:kern w:val="0"/>
          <w:sz w:val="24"/>
          <w:szCs w:val="24"/>
          <w:highlight w:val="none"/>
        </w:rPr>
        <w:t>申</w:t>
      </w:r>
    </w:p>
    <w:p>
      <w:pPr>
        <w:widowControl/>
        <w:shd w:val="clear"/>
        <w:snapToGrid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领时间内重新提交材料。招标代理机构联系人：曹工18698080976，邮箱：</w:t>
      </w:r>
    </w:p>
    <w:p>
      <w:pPr>
        <w:widowControl/>
        <w:shd w:val="clear"/>
        <w:snapToGrid w:val="0"/>
        <w:spacing w:line="360" w:lineRule="auto"/>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kern w:val="0"/>
          <w:sz w:val="24"/>
          <w:szCs w:val="24"/>
          <w:highlight w:val="none"/>
          <w:u w:val="none"/>
        </w:rPr>
        <w:fldChar w:fldCharType="begin"/>
      </w:r>
      <w:r>
        <w:rPr>
          <w:rFonts w:hint="eastAsia" w:ascii="宋体" w:hAnsi="宋体" w:eastAsia="宋体" w:cs="宋体"/>
          <w:color w:val="auto"/>
          <w:kern w:val="0"/>
          <w:sz w:val="24"/>
          <w:szCs w:val="24"/>
          <w:highlight w:val="none"/>
          <w:u w:val="none"/>
        </w:rPr>
        <w:instrText xml:space="preserve"> HYPERLINK "mailto:tjzygczx@126.com。" </w:instrText>
      </w:r>
      <w:r>
        <w:rPr>
          <w:rFonts w:hint="eastAsia" w:ascii="宋体" w:hAnsi="宋体" w:eastAsia="宋体" w:cs="宋体"/>
          <w:color w:val="auto"/>
          <w:kern w:val="0"/>
          <w:sz w:val="24"/>
          <w:szCs w:val="24"/>
          <w:highlight w:val="none"/>
          <w:u w:val="none"/>
        </w:rPr>
        <w:fldChar w:fldCharType="separate"/>
      </w:r>
      <w:r>
        <w:rPr>
          <w:rStyle w:val="29"/>
          <w:rFonts w:hint="eastAsia" w:ascii="宋体" w:hAnsi="宋体" w:eastAsia="宋体" w:cs="宋体"/>
          <w:color w:val="auto"/>
          <w:kern w:val="0"/>
          <w:sz w:val="24"/>
          <w:szCs w:val="24"/>
          <w:highlight w:val="none"/>
          <w:u w:val="none"/>
        </w:rPr>
        <w:t>tjzygczx@126.com。</w:t>
      </w:r>
      <w:r>
        <w:rPr>
          <w:rFonts w:hint="eastAsia" w:ascii="宋体" w:hAnsi="宋体" w:eastAsia="宋体" w:cs="宋体"/>
          <w:color w:val="auto"/>
          <w:kern w:val="0"/>
          <w:sz w:val="24"/>
          <w:szCs w:val="24"/>
          <w:highlight w:val="none"/>
          <w:u w:val="none"/>
        </w:rPr>
        <w:fldChar w:fldCharType="end"/>
      </w:r>
    </w:p>
    <w:p>
      <w:pPr>
        <w:pStyle w:val="9"/>
        <w:keepNext w:val="0"/>
        <w:keepLines w:val="0"/>
        <w:pageBreakBefore w:val="0"/>
        <w:kinsoku/>
        <w:wordWrap/>
        <w:overflowPunct/>
        <w:topLinePunct w:val="0"/>
        <w:bidi w:val="0"/>
        <w:adjustRightInd w:val="0"/>
        <w:spacing w:line="360" w:lineRule="auto"/>
        <w:jc w:val="left"/>
        <w:textAlignment w:val="baseline"/>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采购代理机构开户信息如下:</w:t>
      </w:r>
    </w:p>
    <w:p>
      <w:pPr>
        <w:keepNext w:val="0"/>
        <w:keepLines w:val="0"/>
        <w:pageBreakBefore w:val="0"/>
        <w:widowControl/>
        <w:suppressLineNumbers w:val="0"/>
        <w:kinsoku/>
        <w:wordWrap/>
        <w:overflowPunct/>
        <w:topLinePunct w:val="0"/>
        <w:bidi w:val="0"/>
        <w:adjustRightInd w:val="0"/>
        <w:spacing w:line="360" w:lineRule="auto"/>
        <w:ind w:firstLine="480" w:firstLineChars="200"/>
        <w:jc w:val="left"/>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户名：中易（天津）工程咨询有限公司</w:t>
      </w:r>
    </w:p>
    <w:p>
      <w:pPr>
        <w:keepNext w:val="0"/>
        <w:keepLines w:val="0"/>
        <w:pageBreakBefore w:val="0"/>
        <w:widowControl/>
        <w:suppressLineNumbers w:val="0"/>
        <w:kinsoku/>
        <w:wordWrap/>
        <w:overflowPunct/>
        <w:topLinePunct w:val="0"/>
        <w:bidi w:val="0"/>
        <w:adjustRightInd w:val="0"/>
        <w:spacing w:line="360" w:lineRule="auto"/>
        <w:ind w:firstLine="480" w:firstLineChars="200"/>
        <w:jc w:val="left"/>
        <w:textAlignment w:val="baseline"/>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开户行：中国工商银行股份有限公司天津张贵庄支行</w:t>
      </w:r>
    </w:p>
    <w:p>
      <w:pPr>
        <w:keepNext w:val="0"/>
        <w:keepLines w:val="0"/>
        <w:widowControl/>
        <w:suppressLineNumbers w:val="0"/>
        <w:ind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账 号：0302 0147 0930 0051 032 </w:t>
      </w:r>
    </w:p>
    <w:p>
      <w:pPr>
        <w:pStyle w:val="9"/>
        <w:jc w:val="left"/>
        <w:rPr>
          <w:rFonts w:hint="eastAsia" w:ascii="宋体" w:hAnsi="宋体" w:eastAsia="宋体" w:cs="宋体"/>
          <w:color w:val="000000"/>
          <w:kern w:val="2"/>
          <w:sz w:val="24"/>
          <w:szCs w:val="24"/>
          <w:highlight w:val="none"/>
          <w:lang w:val="en-US" w:eastAsia="zh-CN" w:bidi="ar-SA"/>
        </w:rPr>
      </w:pPr>
      <w:r>
        <w:rPr>
          <w:rFonts w:hint="eastAsia" w:ascii="宋体" w:hAnsi="宋体" w:cs="宋体"/>
          <w:b/>
          <w:bCs/>
          <w:color w:val="000000"/>
          <w:sz w:val="24"/>
          <w:szCs w:val="24"/>
          <w:highlight w:val="none"/>
          <w:lang w:val="en-US" w:eastAsia="zh-CN"/>
        </w:rPr>
        <w:t>注：</w:t>
      </w:r>
      <w:r>
        <w:rPr>
          <w:rFonts w:hint="eastAsia" w:ascii="宋体" w:hAnsi="宋体" w:eastAsia="宋体" w:cs="宋体"/>
          <w:b/>
          <w:bCs/>
          <w:color w:val="000000"/>
          <w:kern w:val="2"/>
          <w:sz w:val="24"/>
          <w:szCs w:val="24"/>
          <w:highlight w:val="none"/>
          <w:lang w:val="en-US" w:eastAsia="zh-CN" w:bidi="ar-SA"/>
        </w:rPr>
        <w:t>请在汇款备注中标明“ZYZXZC-2023-001标书款”</w:t>
      </w:r>
    </w:p>
    <w:p>
      <w:pPr>
        <w:widowControl/>
        <w:shd w:val="clear"/>
        <w:snapToGrid w:val="0"/>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获取文件须提交的资料：（1）持有效期内营业执照或事业单位法人证书或民办非企业单位登记证书或社会团体法人登记证书或基金会法人登记证书等复印件加盖公章；（2）基本开户许可证或基本存款账户信息复印件加盖公章（3）如法定代表人获取文件，须提供法定代表人资格证明书（须加盖投标单位公章）和法定代表人身份证复印件或原件；如被授权的委托代理人前来获取文件，须提供法定代表人资格证明书（附法定代表人身份证有效复印件）和法定代表人授权书（须由法定代表人签字或盖章）和被授权人身份证原件或复印件；</w:t>
      </w:r>
    </w:p>
    <w:p>
      <w:pPr>
        <w:widowControl/>
        <w:shd w:val="clear"/>
        <w:snapToGrid w:val="0"/>
        <w:spacing w:line="360" w:lineRule="auto"/>
        <w:jc w:val="left"/>
        <w:rPr>
          <w:rFonts w:hint="eastAsia" w:ascii="宋体" w:hAnsi="宋体" w:eastAsia="宋体" w:cs="宋体"/>
          <w:b/>
          <w:bCs/>
          <w:color w:val="auto"/>
          <w:kern w:val="0"/>
          <w:sz w:val="24"/>
          <w:szCs w:val="24"/>
          <w:highlight w:val="none"/>
        </w:rPr>
      </w:pPr>
      <w:r>
        <w:rPr>
          <w:rFonts w:hint="eastAsia" w:ascii="宋体" w:hAnsi="宋体" w:eastAsia="宋体" w:cs="宋体"/>
          <w:b/>
          <w:bCs/>
          <w:kern w:val="0"/>
          <w:sz w:val="24"/>
          <w:szCs w:val="24"/>
          <w:highlight w:val="none"/>
        </w:rPr>
        <w:t>注：同一</w:t>
      </w:r>
      <w:r>
        <w:rPr>
          <w:rFonts w:hint="eastAsia" w:ascii="宋体" w:hAnsi="宋体" w:cs="宋体"/>
          <w:b/>
          <w:bCs/>
          <w:kern w:val="0"/>
          <w:sz w:val="24"/>
          <w:szCs w:val="24"/>
          <w:highlight w:val="none"/>
          <w:lang w:eastAsia="zh-CN"/>
        </w:rPr>
        <w:t>投标人</w:t>
      </w:r>
      <w:r>
        <w:rPr>
          <w:rFonts w:hint="eastAsia" w:ascii="宋体" w:hAnsi="宋体" w:eastAsia="宋体" w:cs="宋体"/>
          <w:b/>
          <w:bCs/>
          <w:kern w:val="0"/>
          <w:sz w:val="24"/>
          <w:szCs w:val="24"/>
          <w:highlight w:val="none"/>
        </w:rPr>
        <w:t>每次提交资料邮箱须为同一邮箱号。</w:t>
      </w:r>
    </w:p>
    <w:p>
      <w:pPr>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招标文件</w:t>
      </w:r>
      <w:r>
        <w:rPr>
          <w:rFonts w:hint="eastAsia" w:ascii="宋体" w:hAnsi="宋体" w:eastAsia="宋体" w:cs="宋体"/>
          <w:sz w:val="24"/>
          <w:szCs w:val="24"/>
          <w:highlight w:val="none"/>
        </w:rPr>
        <w:t>的售价：</w:t>
      </w:r>
      <w:r>
        <w:rPr>
          <w:rFonts w:hint="eastAsia" w:ascii="宋体" w:hAnsi="宋体" w:cs="宋体"/>
          <w:sz w:val="24"/>
          <w:szCs w:val="24"/>
          <w:highlight w:val="none"/>
          <w:lang w:val="en-US" w:eastAsia="zh-CN"/>
        </w:rPr>
        <w:t>招标文件</w:t>
      </w:r>
      <w:r>
        <w:rPr>
          <w:rFonts w:hint="eastAsia" w:ascii="宋体" w:hAnsi="宋体" w:eastAsia="宋体" w:cs="宋体"/>
          <w:sz w:val="24"/>
          <w:szCs w:val="24"/>
          <w:highlight w:val="none"/>
        </w:rPr>
        <w:t>售价为500元。</w:t>
      </w:r>
      <w:r>
        <w:rPr>
          <w:rFonts w:hint="eastAsia" w:ascii="宋体" w:hAnsi="宋体" w:cs="宋体"/>
          <w:sz w:val="24"/>
          <w:szCs w:val="24"/>
          <w:highlight w:val="none"/>
          <w:lang w:eastAsia="zh-CN"/>
        </w:rPr>
        <w:t>（</w:t>
      </w:r>
      <w:r>
        <w:rPr>
          <w:rFonts w:hint="eastAsia" w:ascii="宋体" w:hAnsi="宋体" w:eastAsia="宋体" w:cs="宋体"/>
          <w:kern w:val="0"/>
          <w:sz w:val="24"/>
          <w:szCs w:val="24"/>
          <w:highlight w:val="none"/>
        </w:rPr>
        <w:t>未在规定时间交费的</w:t>
      </w:r>
      <w:r>
        <w:rPr>
          <w:rFonts w:hint="eastAsia" w:ascii="宋体" w:hAnsi="宋体" w:cs="宋体"/>
          <w:kern w:val="0"/>
          <w:sz w:val="24"/>
          <w:szCs w:val="24"/>
          <w:highlight w:val="none"/>
          <w:lang w:eastAsia="zh-CN"/>
        </w:rPr>
        <w:t>投标人</w:t>
      </w:r>
      <w:r>
        <w:rPr>
          <w:rFonts w:hint="eastAsia" w:ascii="宋体" w:hAnsi="宋体" w:eastAsia="宋体" w:cs="宋体"/>
          <w:kern w:val="0"/>
          <w:sz w:val="24"/>
          <w:szCs w:val="24"/>
          <w:highlight w:val="none"/>
        </w:rPr>
        <w:t>不具备投标资格，标书一经售出，概不退</w:t>
      </w:r>
      <w:r>
        <w:rPr>
          <w:rFonts w:hint="eastAsia" w:ascii="宋体" w:hAnsi="宋体" w:cs="宋体"/>
          <w:kern w:val="0"/>
          <w:sz w:val="24"/>
          <w:szCs w:val="24"/>
          <w:highlight w:val="none"/>
          <w:lang w:eastAsia="zh-CN"/>
        </w:rPr>
        <w:t>还</w:t>
      </w:r>
      <w:r>
        <w:rPr>
          <w:rFonts w:hint="eastAsia" w:ascii="宋体" w:hAnsi="宋体" w:eastAsia="宋体" w:cs="宋体"/>
          <w:kern w:val="0"/>
          <w:sz w:val="24"/>
          <w:szCs w:val="24"/>
          <w:highlight w:val="none"/>
        </w:rPr>
        <w:t>。</w:t>
      </w:r>
      <w:r>
        <w:rPr>
          <w:rFonts w:hint="eastAsia" w:ascii="宋体" w:hAnsi="宋体" w:cs="宋体"/>
          <w:sz w:val="24"/>
          <w:szCs w:val="24"/>
          <w:highlight w:val="none"/>
          <w:lang w:eastAsia="zh-CN"/>
        </w:rPr>
        <w:t>）</w:t>
      </w:r>
    </w:p>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七、投标截止时间及地点、开标时间及地点</w:t>
      </w:r>
    </w:p>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1．投标截止时间：202</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04</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07</w:t>
      </w:r>
      <w:r>
        <w:rPr>
          <w:rFonts w:hint="eastAsia" w:ascii="宋体" w:hAnsi="宋体" w:eastAsia="宋体" w:cs="宋体"/>
          <w:color w:val="000000" w:themeColor="text1"/>
          <w:sz w:val="24"/>
          <w:szCs w:val="24"/>
          <w:highlight w:val="none"/>
          <w14:textFill>
            <w14:solidFill>
              <w14:schemeClr w14:val="tx1"/>
            </w14:solidFill>
          </w14:textFill>
        </w:rPr>
        <w:t>日上午9:30前提交纸质投标文件并签到。</w:t>
      </w:r>
    </w:p>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2．开标时间：202</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04</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07</w:t>
      </w:r>
      <w:r>
        <w:rPr>
          <w:rFonts w:hint="eastAsia" w:ascii="宋体" w:hAnsi="宋体" w:eastAsia="宋体" w:cs="宋体"/>
          <w:color w:val="000000" w:themeColor="text1"/>
          <w:sz w:val="24"/>
          <w:szCs w:val="24"/>
          <w:highlight w:val="none"/>
          <w14:textFill>
            <w14:solidFill>
              <w14:schemeClr w14:val="tx1"/>
            </w14:solidFill>
          </w14:textFill>
        </w:rPr>
        <w:t>日上午9:30。</w:t>
      </w:r>
    </w:p>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3．开标地点：</w:t>
      </w:r>
      <w:r>
        <w:rPr>
          <w:rFonts w:hint="eastAsia" w:ascii="宋体" w:hAnsi="宋体" w:eastAsia="宋体" w:cs="宋体"/>
          <w:color w:val="000000" w:themeColor="text1"/>
          <w:kern w:val="0"/>
          <w:sz w:val="24"/>
          <w:szCs w:val="24"/>
          <w:highlight w:val="none"/>
          <w14:textFill>
            <w14:solidFill>
              <w14:schemeClr w14:val="tx1"/>
            </w14:solidFill>
          </w14:textFill>
        </w:rPr>
        <w:t>天津市东丽区雪莲南路98-18号二楼（博士元幼儿园南侧）</w:t>
      </w:r>
    </w:p>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八、项目联系人及联系方式</w:t>
      </w:r>
    </w:p>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1．联系人：</w:t>
      </w:r>
      <w:r>
        <w:rPr>
          <w:rFonts w:hint="eastAsia" w:ascii="宋体" w:hAnsi="宋体" w:cs="宋体"/>
          <w:sz w:val="24"/>
          <w:szCs w:val="24"/>
          <w:highlight w:val="none"/>
          <w:lang w:val="en-US" w:eastAsia="zh-CN"/>
        </w:rPr>
        <w:t>曹</w:t>
      </w:r>
      <w:r>
        <w:rPr>
          <w:rFonts w:hint="eastAsia" w:ascii="宋体" w:hAnsi="宋体" w:eastAsia="宋体" w:cs="宋体"/>
          <w:sz w:val="24"/>
          <w:szCs w:val="24"/>
          <w:highlight w:val="none"/>
          <w:lang w:val="en-US" w:eastAsia="zh-CN"/>
        </w:rPr>
        <w:t>工</w:t>
      </w:r>
    </w:p>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2．联系方式：</w:t>
      </w:r>
      <w:r>
        <w:rPr>
          <w:rFonts w:hint="eastAsia" w:ascii="宋体" w:hAnsi="宋体" w:eastAsia="宋体" w:cs="宋体"/>
          <w:sz w:val="24"/>
          <w:szCs w:val="24"/>
          <w:highlight w:val="none"/>
          <w:lang w:val="en-US" w:eastAsia="zh-CN"/>
        </w:rPr>
        <w:t>18698080976</w:t>
      </w:r>
    </w:p>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九、采购人的名称、地址和联系方式</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1．采购人名称：</w:t>
      </w:r>
      <w:r>
        <w:rPr>
          <w:rFonts w:hint="eastAsia" w:ascii="宋体" w:hAnsi="宋体" w:cs="宋体"/>
          <w:color w:val="000000" w:themeColor="text1"/>
          <w:sz w:val="24"/>
          <w:szCs w:val="24"/>
          <w:highlight w:val="none"/>
          <w:lang w:eastAsia="zh-CN"/>
          <w14:textFill>
            <w14:solidFill>
              <w14:schemeClr w14:val="tx1"/>
            </w14:solidFill>
          </w14:textFill>
        </w:rPr>
        <w:t>天津市东丽区市场监督管理局</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2．采购人地址：</w:t>
      </w:r>
      <w:r>
        <w:rPr>
          <w:rFonts w:ascii="宋体" w:hAnsi="宋体" w:eastAsia="宋体" w:cs="宋体"/>
          <w:spacing w:val="-7"/>
          <w:sz w:val="24"/>
          <w:szCs w:val="24"/>
          <w:highlight w:val="none"/>
        </w:rPr>
        <w:t>天津市东丽区先锋路</w:t>
      </w:r>
      <w:r>
        <w:rPr>
          <w:rFonts w:ascii="宋体" w:hAnsi="宋体" w:eastAsia="宋体" w:cs="宋体"/>
          <w:spacing w:val="-4"/>
          <w:sz w:val="24"/>
          <w:szCs w:val="24"/>
          <w:highlight w:val="none"/>
        </w:rPr>
        <w:t xml:space="preserve"> 14 </w:t>
      </w:r>
      <w:r>
        <w:rPr>
          <w:rFonts w:ascii="宋体" w:hAnsi="宋体" w:eastAsia="宋体" w:cs="宋体"/>
          <w:spacing w:val="-7"/>
          <w:sz w:val="24"/>
          <w:szCs w:val="24"/>
          <w:highlight w:val="none"/>
        </w:rPr>
        <w:t>号</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3．采购人联系人：</w:t>
      </w:r>
      <w:r>
        <w:rPr>
          <w:rFonts w:hint="eastAsia" w:ascii="宋体" w:hAnsi="宋体" w:cs="宋体"/>
          <w:color w:val="000000" w:themeColor="text1"/>
          <w:sz w:val="24"/>
          <w:szCs w:val="24"/>
          <w:highlight w:val="none"/>
          <w:lang w:val="en-US" w:eastAsia="zh-CN"/>
          <w14:textFill>
            <w14:solidFill>
              <w14:schemeClr w14:val="tx1"/>
            </w14:solidFill>
          </w14:textFill>
        </w:rPr>
        <w:t>刘老师</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采购人联系电话：022-</w:t>
      </w:r>
      <w:r>
        <w:rPr>
          <w:rFonts w:hint="eastAsia" w:ascii="宋体" w:hAnsi="宋体" w:eastAsia="宋体" w:cs="宋体"/>
          <w:color w:val="000000" w:themeColor="text1"/>
          <w:sz w:val="24"/>
          <w:szCs w:val="24"/>
          <w:highlight w:val="none"/>
          <w:lang w:val="zh-TW" w:eastAsia="zh-CN"/>
          <w14:textFill>
            <w14:solidFill>
              <w14:schemeClr w14:val="tx1"/>
            </w14:solidFill>
          </w14:textFill>
        </w:rPr>
        <w:t>84375926</w:t>
      </w:r>
    </w:p>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的名称、地址和联系方式</w:t>
      </w:r>
    </w:p>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名称：</w:t>
      </w:r>
      <w:r>
        <w:rPr>
          <w:rFonts w:hint="eastAsia" w:ascii="宋体" w:hAnsi="宋体" w:eastAsia="宋体" w:cs="宋体"/>
          <w:color w:val="000000" w:themeColor="text1"/>
          <w:sz w:val="24"/>
          <w:szCs w:val="24"/>
          <w:highlight w:val="none"/>
          <w:lang w:eastAsia="zh-CN"/>
          <w14:textFill>
            <w14:solidFill>
              <w14:schemeClr w14:val="tx1"/>
            </w14:solidFill>
          </w14:textFill>
        </w:rPr>
        <w:t>中易（天津）工程咨询有限公司</w:t>
      </w:r>
    </w:p>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地址：</w:t>
      </w:r>
      <w:r>
        <w:rPr>
          <w:rFonts w:hint="eastAsia" w:ascii="宋体" w:hAnsi="宋体" w:eastAsia="宋体" w:cs="宋体"/>
          <w:color w:val="000000" w:themeColor="text1"/>
          <w:kern w:val="0"/>
          <w:sz w:val="24"/>
          <w:szCs w:val="24"/>
          <w:highlight w:val="none"/>
          <w14:textFill>
            <w14:solidFill>
              <w14:schemeClr w14:val="tx1"/>
            </w14:solidFill>
          </w14:textFill>
        </w:rPr>
        <w:t>天津市东丽区雪莲南路98-18号二楼（博士元幼儿园南侧）</w:t>
      </w:r>
    </w:p>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联系电话：</w:t>
      </w:r>
      <w:r>
        <w:rPr>
          <w:rFonts w:hint="eastAsia" w:ascii="宋体" w:hAnsi="宋体" w:eastAsia="宋体" w:cs="宋体"/>
          <w:color w:val="000000" w:themeColor="text1"/>
          <w:sz w:val="24"/>
          <w:szCs w:val="24"/>
          <w:highlight w:val="none"/>
          <w:lang w:val="en-US" w:eastAsia="zh-CN"/>
          <w14:textFill>
            <w14:solidFill>
              <w14:schemeClr w14:val="tx1"/>
            </w14:solidFill>
          </w14:textFill>
        </w:rPr>
        <w:t>18698080976</w:t>
      </w:r>
    </w:p>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邮政编码：300300</w:t>
      </w:r>
    </w:p>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十一、质疑、投诉方式</w:t>
      </w:r>
    </w:p>
    <w:p>
      <w:pPr>
        <w:keepNext w:val="0"/>
        <w:keepLines w:val="0"/>
        <w:pageBreakBefore w:val="0"/>
        <w:widowControl w:val="0"/>
        <w:kinsoku/>
        <w:wordWrap/>
        <w:overflowPunct/>
        <w:topLinePunct w:val="0"/>
        <w:bidi w:val="0"/>
        <w:snapToGrid w:val="0"/>
        <w:spacing w:line="360" w:lineRule="auto"/>
        <w:ind w:firstLine="360" w:firstLineChars="15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 供应商认为招标文件或招标公告使自己的合法权益受到损害的，可以在获取招标文件之日或招标公告期限届满之日起7个工作日内，以书面形式同时向采购人和</w:t>
      </w:r>
      <w:r>
        <w:rPr>
          <w:rFonts w:hint="eastAsia" w:ascii="宋体" w:hAnsi="宋体" w:eastAsia="宋体" w:cs="宋体"/>
          <w:color w:val="000000" w:themeColor="text1"/>
          <w:sz w:val="24"/>
          <w:szCs w:val="24"/>
          <w:highlight w:val="none"/>
          <w:lang w:eastAsia="zh-CN"/>
          <w14:textFill>
            <w14:solidFill>
              <w14:schemeClr w14:val="tx1"/>
            </w14:solidFill>
          </w14:textFill>
        </w:rPr>
        <w:t>中易（天津）工程咨询有限公司</w:t>
      </w:r>
      <w:r>
        <w:rPr>
          <w:rFonts w:hint="eastAsia" w:ascii="宋体" w:hAnsi="宋体" w:eastAsia="宋体" w:cs="宋体"/>
          <w:color w:val="000000" w:themeColor="text1"/>
          <w:sz w:val="24"/>
          <w:szCs w:val="24"/>
          <w:highlight w:val="none"/>
          <w14:textFill>
            <w14:solidFill>
              <w14:schemeClr w14:val="tx1"/>
            </w14:solidFill>
          </w14:textFill>
        </w:rPr>
        <w:t>提出质疑，逾期不予受理。具体要求详见本项目招标文件第三部分《投标须知》“8询问与质疑”，以书面原件形式针对同一采购程序环节一次性提出质疑，否则不予受理。</w:t>
      </w:r>
    </w:p>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采购人质疑受理：</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1.联 系 人：</w:t>
      </w:r>
      <w:r>
        <w:rPr>
          <w:rFonts w:hint="eastAsia" w:ascii="宋体" w:hAnsi="宋体" w:cs="宋体"/>
          <w:color w:val="000000" w:themeColor="text1"/>
          <w:sz w:val="24"/>
          <w:szCs w:val="24"/>
          <w:highlight w:val="none"/>
          <w:lang w:val="en-US" w:eastAsia="zh-CN"/>
          <w14:textFill>
            <w14:solidFill>
              <w14:schemeClr w14:val="tx1"/>
            </w14:solidFill>
          </w14:textFill>
        </w:rPr>
        <w:t>刘老师</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2.联系地址：</w:t>
      </w:r>
      <w:r>
        <w:rPr>
          <w:rFonts w:ascii="宋体" w:hAnsi="宋体" w:eastAsia="宋体" w:cs="宋体"/>
          <w:spacing w:val="-7"/>
          <w:sz w:val="24"/>
          <w:szCs w:val="24"/>
          <w:highlight w:val="none"/>
        </w:rPr>
        <w:t>天津市东丽区先锋路</w:t>
      </w:r>
      <w:r>
        <w:rPr>
          <w:rFonts w:ascii="宋体" w:hAnsi="宋体" w:eastAsia="宋体" w:cs="宋体"/>
          <w:spacing w:val="-4"/>
          <w:sz w:val="24"/>
          <w:szCs w:val="24"/>
          <w:highlight w:val="none"/>
        </w:rPr>
        <w:t xml:space="preserve"> 14 </w:t>
      </w:r>
      <w:r>
        <w:rPr>
          <w:rFonts w:ascii="宋体" w:hAnsi="宋体" w:eastAsia="宋体" w:cs="宋体"/>
          <w:spacing w:val="-7"/>
          <w:sz w:val="24"/>
          <w:szCs w:val="24"/>
          <w:highlight w:val="none"/>
        </w:rPr>
        <w:t>号</w:t>
      </w:r>
    </w:p>
    <w:p>
      <w:pPr>
        <w:keepNext w:val="0"/>
        <w:keepLines w:val="0"/>
        <w:pageBreakBefore w:val="0"/>
        <w:widowControl w:val="0"/>
        <w:kinsoku/>
        <w:wordWrap/>
        <w:overflowPunct/>
        <w:topLinePunct w:val="0"/>
        <w:bidi w:val="0"/>
        <w:snapToGrid w:val="0"/>
        <w:spacing w:line="360" w:lineRule="auto"/>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3.联系方式：022-</w:t>
      </w:r>
      <w:r>
        <w:rPr>
          <w:rFonts w:hint="eastAsia" w:ascii="宋体" w:hAnsi="宋体" w:eastAsia="宋体" w:cs="宋体"/>
          <w:color w:val="000000" w:themeColor="text1"/>
          <w:sz w:val="24"/>
          <w:szCs w:val="24"/>
          <w:highlight w:val="none"/>
          <w:lang w:val="zh-TW" w:eastAsia="zh-CN"/>
          <w14:textFill>
            <w14:solidFill>
              <w14:schemeClr w14:val="tx1"/>
            </w14:solidFill>
          </w14:textFill>
        </w:rPr>
        <w:t>84375926</w:t>
      </w:r>
    </w:p>
    <w:p>
      <w:pPr>
        <w:keepNext w:val="0"/>
        <w:keepLines w:val="0"/>
        <w:pageBreakBefore w:val="0"/>
        <w:widowControl w:val="0"/>
        <w:kinsoku/>
        <w:wordWrap/>
        <w:overflowPunct/>
        <w:topLinePunct w:val="0"/>
        <w:bidi w:val="0"/>
        <w:snapToGrid w:val="0"/>
        <w:spacing w:line="360" w:lineRule="auto"/>
        <w:ind w:firstLine="360" w:firstLineChars="150"/>
        <w:jc w:val="left"/>
        <w:textAlignment w:val="auto"/>
        <w:rPr>
          <w:rFonts w:hint="eastAsia" w:ascii="宋体" w:hAnsi="宋体" w:eastAsia="宋体" w:cs="宋体"/>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（二）供应商对质疑答复不满</w:t>
      </w:r>
      <w:r>
        <w:rPr>
          <w:rFonts w:hint="eastAsia" w:ascii="宋体" w:hAnsi="宋体" w:eastAsia="宋体" w:cs="宋体"/>
          <w:sz w:val="24"/>
          <w:szCs w:val="24"/>
          <w:highlight w:val="none"/>
        </w:rPr>
        <w:t>意的，或者采购人、</w:t>
      </w:r>
      <w:r>
        <w:rPr>
          <w:rFonts w:hint="eastAsia" w:ascii="宋体" w:hAnsi="宋体" w:eastAsia="宋体" w:cs="宋体"/>
          <w:sz w:val="24"/>
          <w:szCs w:val="24"/>
          <w:highlight w:val="none"/>
          <w:lang w:eastAsia="zh-CN"/>
        </w:rPr>
        <w:t>中易（天津）工程咨询有限公司</w:t>
      </w:r>
      <w:r>
        <w:rPr>
          <w:rFonts w:hint="eastAsia" w:ascii="宋体" w:hAnsi="宋体" w:eastAsia="宋体" w:cs="宋体"/>
          <w:sz w:val="24"/>
          <w:szCs w:val="24"/>
          <w:highlight w:val="none"/>
        </w:rPr>
        <w:t>未在规定期限内作出答复的，供应商可以在质疑答复期满后15个工作日内，向天津市东丽区财政局政府采购办提出投诉，逾期不予受理。</w:t>
      </w:r>
    </w:p>
    <w:p>
      <w:pPr>
        <w:keepNext w:val="0"/>
        <w:keepLines w:val="0"/>
        <w:pageBreakBefore w:val="0"/>
        <w:widowControl w:val="0"/>
        <w:kinsoku/>
        <w:wordWrap/>
        <w:overflowPunct/>
        <w:topLinePunct w:val="0"/>
        <w:bidi w:val="0"/>
        <w:snapToGrid w:val="0"/>
        <w:spacing w:line="360" w:lineRule="auto"/>
        <w:ind w:firstLine="5760" w:firstLineChars="2400"/>
        <w:jc w:val="right"/>
        <w:textAlignment w:val="auto"/>
        <w:rPr>
          <w:rFonts w:hint="eastAsia" w:ascii="宋体" w:hAnsi="宋体" w:eastAsia="宋体" w:cs="宋体"/>
          <w:sz w:val="28"/>
          <w:szCs w:val="28"/>
          <w:highlight w:val="none"/>
        </w:rPr>
      </w:pPr>
      <w:r>
        <w:rPr>
          <w:rFonts w:hint="eastAsia" w:ascii="宋体" w:hAnsi="宋体" w:eastAsia="宋体" w:cs="宋体"/>
          <w:sz w:val="24"/>
          <w:szCs w:val="24"/>
          <w:highlight w:val="none"/>
        </w:rPr>
        <w:t>202</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年</w:t>
      </w:r>
      <w:r>
        <w:rPr>
          <w:rFonts w:hint="eastAsia" w:ascii="宋体" w:hAnsi="宋体" w:cs="宋体"/>
          <w:sz w:val="24"/>
          <w:szCs w:val="24"/>
          <w:highlight w:val="none"/>
          <w:lang w:val="en-US" w:eastAsia="zh-CN"/>
        </w:rPr>
        <w:t>03</w:t>
      </w:r>
      <w:r>
        <w:rPr>
          <w:rFonts w:hint="eastAsia" w:ascii="宋体" w:hAnsi="宋体" w:eastAsia="宋体" w:cs="宋体"/>
          <w:sz w:val="24"/>
          <w:szCs w:val="24"/>
          <w:highlight w:val="none"/>
        </w:rPr>
        <w:t>月</w:t>
      </w:r>
      <w:r>
        <w:rPr>
          <w:rFonts w:hint="eastAsia" w:ascii="宋体" w:hAnsi="宋体" w:cs="宋体"/>
          <w:sz w:val="24"/>
          <w:szCs w:val="24"/>
          <w:highlight w:val="none"/>
          <w:lang w:val="en-US" w:eastAsia="zh-CN"/>
        </w:rPr>
        <w:t>15</w:t>
      </w:r>
      <w:r>
        <w:rPr>
          <w:rFonts w:hint="eastAsia" w:ascii="宋体" w:hAnsi="宋体" w:eastAsia="宋体" w:cs="宋体"/>
          <w:sz w:val="24"/>
          <w:szCs w:val="24"/>
          <w:highlight w:val="none"/>
        </w:rPr>
        <w:t>日</w:t>
      </w:r>
    </w:p>
    <w:p>
      <w:pPr>
        <w:pStyle w:val="9"/>
        <w:rPr>
          <w:rFonts w:hint="eastAsia" w:ascii="宋体" w:hAnsi="宋体" w:eastAsia="宋体" w:cs="宋体"/>
          <w:sz w:val="28"/>
          <w:szCs w:val="28"/>
          <w:highlight w:val="none"/>
        </w:rPr>
      </w:pPr>
    </w:p>
    <w:p>
      <w:pPr>
        <w:rPr>
          <w:rFonts w:hint="eastAsia" w:ascii="宋体" w:hAnsi="宋体" w:eastAsia="宋体" w:cs="宋体"/>
          <w:sz w:val="28"/>
          <w:szCs w:val="28"/>
          <w:highlight w:val="none"/>
        </w:rPr>
      </w:pPr>
    </w:p>
    <w:p>
      <w:pPr>
        <w:rPr>
          <w:rFonts w:hint="eastAsia" w:ascii="宋体" w:hAnsi="宋体" w:eastAsia="宋体" w:cs="宋体"/>
          <w:highlight w:val="none"/>
        </w:rPr>
      </w:pPr>
      <w:r>
        <w:rPr>
          <w:rFonts w:hint="eastAsia" w:ascii="宋体" w:hAnsi="宋体" w:eastAsia="宋体" w:cs="宋体"/>
          <w:highlight w:val="none"/>
        </w:rPr>
        <w:br w:type="page"/>
      </w:r>
    </w:p>
    <w:p>
      <w:pPr>
        <w:pStyle w:val="18"/>
        <w:spacing w:line="360" w:lineRule="auto"/>
        <w:outlineLvl w:val="0"/>
        <w:rPr>
          <w:rFonts w:hint="eastAsia" w:ascii="宋体" w:hAnsi="宋体" w:eastAsia="宋体" w:cs="宋体"/>
          <w:highlight w:val="none"/>
        </w:rPr>
      </w:pPr>
      <w:bookmarkStart w:id="5" w:name="_Toc32721"/>
      <w:bookmarkStart w:id="6" w:name="_Toc25343"/>
      <w:bookmarkStart w:id="7" w:name="_Toc23949"/>
      <w:r>
        <w:rPr>
          <w:rFonts w:hint="eastAsia" w:ascii="宋体" w:hAnsi="宋体" w:eastAsia="宋体" w:cs="宋体"/>
          <w:highlight w:val="none"/>
        </w:rPr>
        <w:t>第二部分</w:t>
      </w:r>
      <w:r>
        <w:rPr>
          <w:rFonts w:hint="eastAsia" w:ascii="宋体" w:hAnsi="宋体" w:cs="宋体"/>
          <w:highlight w:val="none"/>
          <w:lang w:val="en-US" w:eastAsia="zh-CN"/>
        </w:rPr>
        <w:t xml:space="preserve">  </w:t>
      </w:r>
      <w:r>
        <w:rPr>
          <w:rFonts w:hint="eastAsia" w:ascii="宋体" w:hAnsi="宋体" w:eastAsia="宋体" w:cs="宋体"/>
          <w:highlight w:val="none"/>
        </w:rPr>
        <w:t>招标项目要求</w:t>
      </w:r>
      <w:bookmarkEnd w:id="4"/>
      <w:bookmarkEnd w:id="5"/>
      <w:bookmarkEnd w:id="6"/>
      <w:bookmarkEnd w:id="7"/>
    </w:p>
    <w:p>
      <w:pPr>
        <w:keepNext w:val="0"/>
        <w:keepLines w:val="0"/>
        <w:pageBreakBefore w:val="0"/>
        <w:widowControl w:val="0"/>
        <w:tabs>
          <w:tab w:val="left" w:pos="210"/>
        </w:tabs>
        <w:kinsoku/>
        <w:wordWrap/>
        <w:overflowPunct/>
        <w:topLinePunct w:val="0"/>
        <w:autoSpaceDE w:val="0"/>
        <w:autoSpaceDN w:val="0"/>
        <w:bidi w:val="0"/>
        <w:adjustRightInd w:val="0"/>
        <w:snapToGrid w:val="0"/>
        <w:spacing w:line="360" w:lineRule="auto"/>
        <w:ind w:firstLine="480" w:firstLineChars="200"/>
        <w:textAlignment w:val="auto"/>
        <w:outlineLvl w:val="0"/>
        <w:rPr>
          <w:rFonts w:hint="eastAsia" w:ascii="宋体" w:hAnsi="宋体" w:eastAsia="宋体" w:cs="宋体"/>
          <w:color w:val="000000"/>
          <w:sz w:val="24"/>
          <w:szCs w:val="24"/>
          <w:highlight w:val="none"/>
        </w:rPr>
      </w:pPr>
      <w:bookmarkStart w:id="8" w:name="_Toc32472"/>
      <w:bookmarkStart w:id="9" w:name="_Toc4720"/>
      <w:bookmarkStart w:id="10" w:name="_Toc16230"/>
      <w:r>
        <w:rPr>
          <w:rFonts w:hint="eastAsia" w:ascii="宋体" w:hAnsi="宋体" w:eastAsia="宋体" w:cs="宋体"/>
          <w:color w:val="000000"/>
          <w:sz w:val="24"/>
          <w:szCs w:val="24"/>
          <w:highlight w:val="none"/>
        </w:rPr>
        <w:t>一、</w:t>
      </w:r>
      <w:r>
        <w:rPr>
          <w:rFonts w:hint="eastAsia" w:ascii="宋体" w:hAnsi="宋体" w:eastAsia="宋体" w:cs="宋体"/>
          <w:sz w:val="24"/>
          <w:szCs w:val="24"/>
          <w:highlight w:val="none"/>
        </w:rPr>
        <w:t>商务要求</w:t>
      </w:r>
      <w:bookmarkEnd w:id="8"/>
      <w:bookmarkEnd w:id="9"/>
      <w:bookmarkEnd w:id="10"/>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000000"/>
          <w:sz w:val="24"/>
          <w:highlight w:val="none"/>
        </w:rPr>
      </w:pPr>
      <w:r>
        <w:rPr>
          <w:rFonts w:hint="eastAsia" w:ascii="宋体" w:hAnsi="宋体" w:eastAsia="宋体" w:cs="宋体"/>
          <w:kern w:val="0"/>
          <w:sz w:val="24"/>
          <w:szCs w:val="24"/>
          <w:highlight w:val="none"/>
        </w:rPr>
        <w:t>（一）</w:t>
      </w:r>
      <w:r>
        <w:rPr>
          <w:rFonts w:hint="eastAsia" w:ascii="宋体" w:hAnsi="宋体" w:eastAsia="宋体" w:cs="宋体"/>
          <w:color w:val="000000"/>
          <w:sz w:val="24"/>
          <w:highlight w:val="none"/>
        </w:rPr>
        <w:t>报价要求</w:t>
      </w:r>
    </w:p>
    <w:p>
      <w:pPr>
        <w:keepNext w:val="0"/>
        <w:keepLines w:val="0"/>
        <w:pageBreakBefore w:val="0"/>
        <w:widowControl w:val="0"/>
        <w:tabs>
          <w:tab w:val="left" w:pos="210"/>
        </w:tabs>
        <w:kinsoku/>
        <w:wordWrap/>
        <w:overflowPunct/>
        <w:topLinePunct w:val="0"/>
        <w:autoSpaceDE w:val="0"/>
        <w:autoSpaceDN w:val="0"/>
        <w:bidi w:val="0"/>
        <w:adjustRightInd w:val="0"/>
        <w:snapToGrid w:val="0"/>
        <w:spacing w:line="360" w:lineRule="auto"/>
        <w:ind w:firstLine="480" w:firstLineChars="200"/>
        <w:textAlignment w:val="auto"/>
        <w:outlineLvl w:val="0"/>
        <w:rPr>
          <w:rFonts w:hint="eastAsia" w:ascii="宋体" w:hAnsi="宋体" w:eastAsia="宋体" w:cs="宋体"/>
          <w:color w:val="000000"/>
          <w:sz w:val="24"/>
          <w:szCs w:val="24"/>
          <w:highlight w:val="none"/>
        </w:rPr>
      </w:pPr>
      <w:bookmarkStart w:id="11" w:name="_Toc30831"/>
      <w:bookmarkStart w:id="12" w:name="_Toc26129"/>
      <w:bookmarkStart w:id="13" w:name="_Toc10082"/>
      <w:r>
        <w:rPr>
          <w:rFonts w:hint="eastAsia" w:ascii="宋体" w:hAnsi="宋体" w:eastAsia="宋体" w:cs="宋体"/>
          <w:color w:val="000000"/>
          <w:sz w:val="24"/>
          <w:szCs w:val="24"/>
          <w:highlight w:val="none"/>
        </w:rPr>
        <w:t>1. 投标报价以人民币填列。</w:t>
      </w:r>
      <w:bookmarkEnd w:id="11"/>
      <w:bookmarkEnd w:id="12"/>
      <w:bookmarkEnd w:id="13"/>
    </w:p>
    <w:p>
      <w:pPr>
        <w:keepNext w:val="0"/>
        <w:keepLines w:val="0"/>
        <w:pageBreakBefore w:val="0"/>
        <w:widowControl w:val="0"/>
        <w:tabs>
          <w:tab w:val="left" w:pos="210"/>
        </w:tabs>
        <w:kinsoku/>
        <w:wordWrap/>
        <w:overflowPunct/>
        <w:topLinePunct w:val="0"/>
        <w:autoSpaceDE w:val="0"/>
        <w:autoSpaceDN w:val="0"/>
        <w:bidi w:val="0"/>
        <w:adjustRightInd w:val="0"/>
        <w:snapToGrid w:val="0"/>
        <w:spacing w:line="360" w:lineRule="auto"/>
        <w:ind w:firstLine="480" w:firstLineChars="200"/>
        <w:textAlignment w:val="auto"/>
        <w:outlineLvl w:val="0"/>
        <w:rPr>
          <w:rFonts w:hint="default" w:ascii="宋体" w:hAnsi="宋体" w:eastAsia="宋体" w:cs="宋体"/>
          <w:color w:val="000000"/>
          <w:sz w:val="24"/>
          <w:szCs w:val="24"/>
          <w:highlight w:val="none"/>
          <w:lang w:val="en-US" w:eastAsia="zh-CN"/>
        </w:rPr>
      </w:pPr>
      <w:bookmarkStart w:id="14" w:name="_Toc2499"/>
      <w:bookmarkStart w:id="15" w:name="_Toc20749"/>
      <w:r>
        <w:rPr>
          <w:rFonts w:hint="eastAsia" w:ascii="宋体" w:hAnsi="宋体" w:eastAsia="宋体" w:cs="宋体"/>
          <w:color w:val="000000"/>
          <w:sz w:val="24"/>
          <w:szCs w:val="24"/>
          <w:highlight w:val="none"/>
        </w:rPr>
        <w:t>2. 投标人的报价应包括：投标人所报价格应为最终优惠</w:t>
      </w:r>
      <w:r>
        <w:rPr>
          <w:rFonts w:hint="eastAsia" w:ascii="宋体" w:hAnsi="宋体" w:eastAsia="宋体" w:cs="宋体"/>
          <w:color w:val="000000"/>
          <w:sz w:val="24"/>
          <w:szCs w:val="24"/>
          <w:highlight w:val="none"/>
          <w:lang w:val="en-US" w:eastAsia="zh-CN"/>
        </w:rPr>
        <w:t>总价</w:t>
      </w:r>
      <w:r>
        <w:rPr>
          <w:rFonts w:hint="eastAsia" w:ascii="宋体" w:hAnsi="宋体" w:eastAsia="宋体" w:cs="宋体"/>
          <w:color w:val="000000"/>
          <w:sz w:val="24"/>
          <w:szCs w:val="24"/>
          <w:highlight w:val="none"/>
        </w:rPr>
        <w:t>。</w:t>
      </w:r>
      <w:bookmarkEnd w:id="14"/>
      <w:bookmarkEnd w:id="15"/>
      <w:r>
        <w:rPr>
          <w:rFonts w:hint="eastAsia" w:ascii="宋体" w:hAnsi="宋体" w:cs="宋体"/>
          <w:color w:val="000000"/>
          <w:sz w:val="24"/>
          <w:szCs w:val="24"/>
          <w:highlight w:val="none"/>
          <w:lang w:val="en-US" w:eastAsia="zh-CN"/>
        </w:rPr>
        <w:t>包括完成招标文件中全部工作内容所需要的一切费用，费用包含但不限于：人工费、技术服务费、设备费（若涉及）、材料费、资料费、验收费用、采样费、交付检验成果报告前发生的各种与本项目相关的费用、税费及利润等。</w:t>
      </w:r>
    </w:p>
    <w:p>
      <w:pPr>
        <w:keepNext w:val="0"/>
        <w:keepLines w:val="0"/>
        <w:pageBreakBefore w:val="0"/>
        <w:widowControl w:val="0"/>
        <w:tabs>
          <w:tab w:val="left" w:pos="210"/>
        </w:tabs>
        <w:kinsoku/>
        <w:wordWrap/>
        <w:overflowPunct/>
        <w:topLinePunct w:val="0"/>
        <w:autoSpaceDE w:val="0"/>
        <w:autoSpaceDN w:val="0"/>
        <w:bidi w:val="0"/>
        <w:adjustRightInd w:val="0"/>
        <w:snapToGrid w:val="0"/>
        <w:spacing w:line="360" w:lineRule="auto"/>
        <w:ind w:firstLine="480" w:firstLineChars="200"/>
        <w:textAlignment w:val="auto"/>
        <w:outlineLvl w:val="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3. 评标委员会认为投标人的报价明显低于其他通过符合性审查投标人的报价，有可能影响产品质量或者不能</w:t>
      </w:r>
      <w:r>
        <w:rPr>
          <w:rFonts w:hint="eastAsia" w:ascii="宋体" w:hAnsi="宋体" w:eastAsia="宋体" w:cs="宋体"/>
          <w:sz w:val="24"/>
          <w:szCs w:val="24"/>
          <w:highlight w:val="none"/>
        </w:rPr>
        <w:t>诚信履约的，可要求其在评标现场合理的时间内提供书面说明，必要时要求提交相关证明材料；投标人不能证明其报价合理性的，评标委员会应当将其作为无效投标处理。</w:t>
      </w:r>
    </w:p>
    <w:p>
      <w:pPr>
        <w:keepNext w:val="0"/>
        <w:keepLines w:val="0"/>
        <w:pageBreakBefore w:val="0"/>
        <w:widowControl w:val="0"/>
        <w:kinsoku/>
        <w:wordWrap/>
        <w:overflowPunct/>
        <w:topLinePunct w:val="0"/>
        <w:bidi w:val="0"/>
        <w:snapToGrid w:val="0"/>
        <w:spacing w:beforeLines="0" w:afterLines="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4. </w:t>
      </w:r>
      <w:r>
        <w:rPr>
          <w:rFonts w:hint="eastAsia" w:ascii="宋体" w:hAnsi="宋体" w:cs="宋体"/>
          <w:sz w:val="24"/>
          <w:szCs w:val="24"/>
          <w:highlight w:val="none"/>
          <w:lang w:eastAsia="zh-CN"/>
        </w:rPr>
        <w:t>投标人</w:t>
      </w:r>
      <w:r>
        <w:rPr>
          <w:rFonts w:hint="eastAsia" w:ascii="宋体" w:hAnsi="宋体" w:eastAsia="宋体" w:cs="宋体"/>
          <w:sz w:val="24"/>
          <w:szCs w:val="24"/>
          <w:highlight w:val="none"/>
        </w:rPr>
        <w:t>报价时应充分考虑本项目的采购特点，将所有费用考虑在报价内。</w:t>
      </w:r>
      <w:r>
        <w:rPr>
          <w:rFonts w:hint="eastAsia" w:ascii="宋体" w:hAnsi="宋体" w:cs="宋体"/>
          <w:sz w:val="24"/>
          <w:szCs w:val="24"/>
          <w:highlight w:val="none"/>
          <w:lang w:eastAsia="zh-CN"/>
        </w:rPr>
        <w:t>中标人</w:t>
      </w:r>
      <w:r>
        <w:rPr>
          <w:rFonts w:hint="eastAsia" w:ascii="宋体" w:hAnsi="宋体" w:eastAsia="宋体" w:cs="宋体"/>
          <w:sz w:val="24"/>
          <w:szCs w:val="24"/>
          <w:highlight w:val="none"/>
        </w:rPr>
        <w:t>在合同实施过程中不得以采购人未提出所含费用或对现场情况不了解而提出增加合同额。</w:t>
      </w:r>
    </w:p>
    <w:p>
      <w:pPr>
        <w:keepNext w:val="0"/>
        <w:keepLines w:val="0"/>
        <w:pageBreakBefore w:val="0"/>
        <w:widowControl w:val="0"/>
        <w:kinsoku/>
        <w:wordWrap/>
        <w:overflowPunct/>
        <w:topLinePunct w:val="0"/>
        <w:bidi w:val="0"/>
        <w:snapToGrid w:val="0"/>
        <w:spacing w:beforeLines="0" w:afterLines="0" w:line="36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 由采购人自行组织验收，验收及相关</w:t>
      </w:r>
      <w:r>
        <w:rPr>
          <w:rFonts w:hint="eastAsia" w:ascii="宋体" w:hAnsi="宋体" w:eastAsia="宋体" w:cs="宋体"/>
          <w:color w:val="000000"/>
          <w:sz w:val="24"/>
          <w:szCs w:val="24"/>
          <w:highlight w:val="none"/>
        </w:rPr>
        <w:t>费用由</w:t>
      </w:r>
      <w:r>
        <w:rPr>
          <w:rFonts w:hint="eastAsia" w:ascii="宋体" w:hAnsi="宋体" w:cs="宋体"/>
          <w:color w:val="000000"/>
          <w:sz w:val="24"/>
          <w:szCs w:val="24"/>
          <w:highlight w:val="none"/>
          <w:lang w:eastAsia="zh-CN"/>
        </w:rPr>
        <w:t>投标人</w:t>
      </w:r>
      <w:r>
        <w:rPr>
          <w:rFonts w:hint="eastAsia" w:ascii="宋体" w:hAnsi="宋体" w:eastAsia="宋体" w:cs="宋体"/>
          <w:color w:val="000000"/>
          <w:sz w:val="24"/>
          <w:szCs w:val="24"/>
          <w:highlight w:val="none"/>
        </w:rPr>
        <w:t>负责。</w:t>
      </w:r>
    </w:p>
    <w:p>
      <w:pPr>
        <w:keepNext w:val="0"/>
        <w:keepLines w:val="0"/>
        <w:pageBreakBefore w:val="0"/>
        <w:widowControl w:val="0"/>
        <w:kinsoku/>
        <w:wordWrap/>
        <w:overflowPunct/>
        <w:topLinePunct w:val="0"/>
        <w:bidi w:val="0"/>
        <w:snapToGrid w:val="0"/>
        <w:spacing w:beforeLines="0" w:afterLines="0" w:line="360" w:lineRule="auto"/>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 xml:space="preserve"> </w:t>
      </w: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报价不应超过项目预算，否则视为无效响应</w:t>
      </w:r>
      <w:r>
        <w:rPr>
          <w:rFonts w:hint="eastAsia" w:ascii="宋体" w:hAnsi="宋体" w:eastAsia="宋体" w:cs="宋体"/>
          <w:sz w:val="24"/>
          <w:szCs w:val="24"/>
          <w:highlight w:val="none"/>
          <w:lang w:eastAsia="zh-CN"/>
        </w:rPr>
        <w:t>。</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lang w:val="zh-TW" w:eastAsia="zh-TW"/>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（二）</w:t>
      </w:r>
      <w:r>
        <w:rPr>
          <w:rFonts w:hint="eastAsia" w:ascii="宋体" w:hAnsi="宋体" w:eastAsia="宋体" w:cs="宋体"/>
          <w:color w:val="000000" w:themeColor="text1"/>
          <w:sz w:val="24"/>
          <w:szCs w:val="24"/>
          <w:highlight w:val="none"/>
          <w:lang w:val="zh-TW" w:eastAsia="zh-TW"/>
          <w14:textFill>
            <w14:solidFill>
              <w14:schemeClr w14:val="tx1"/>
            </w14:solidFill>
          </w14:textFill>
        </w:rPr>
        <w:t>质量要求：严格按国家现行质量评定标准检查验收。</w:t>
      </w:r>
    </w:p>
    <w:p>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kern w:val="0"/>
          <w:sz w:val="24"/>
          <w:szCs w:val="24"/>
          <w:highlight w:val="none"/>
          <w14:textFill>
            <w14:solidFill>
              <w14:schemeClr w14:val="tx1"/>
            </w14:solidFill>
          </w14:textFill>
        </w:rPr>
        <w:t>）服务要求</w:t>
      </w:r>
    </w:p>
    <w:p>
      <w:pPr>
        <w:pStyle w:val="64"/>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1.具备与承检任务中检验项目和任务量相适应的检验检测能力。</w:t>
      </w:r>
    </w:p>
    <w:p>
      <w:pPr>
        <w:pStyle w:val="64"/>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2.具有稳定的、高水平的检验和技术管理人员，能保证食品抽样检验工作的连续性和稳定性。</w:t>
      </w:r>
    </w:p>
    <w:p>
      <w:pPr>
        <w:keepNext w:val="0"/>
        <w:keepLines w:val="0"/>
        <w:pageBreakBefore w:val="0"/>
        <w:widowControl w:val="0"/>
        <w:tabs>
          <w:tab w:val="left" w:pos="210"/>
        </w:tabs>
        <w:kinsoku/>
        <w:wordWrap/>
        <w:overflowPunct/>
        <w:topLinePunct w:val="0"/>
        <w:autoSpaceDE w:val="0"/>
        <w:autoSpaceDN w:val="0"/>
        <w:bidi w:val="0"/>
        <w:adjustRightInd w:val="0"/>
        <w:snapToGrid w:val="0"/>
        <w:spacing w:line="360" w:lineRule="auto"/>
        <w:ind w:firstLine="480" w:firstLineChars="200"/>
        <w:textAlignment w:val="auto"/>
        <w:outlineLvl w:val="0"/>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 xml:space="preserve">供应商须针对本项目提供详细的服务方案。 </w:t>
      </w:r>
    </w:p>
    <w:p>
      <w:pPr>
        <w:keepNext w:val="0"/>
        <w:keepLines w:val="0"/>
        <w:pageBreakBefore w:val="0"/>
        <w:widowControl w:val="0"/>
        <w:kinsoku/>
        <w:wordWrap/>
        <w:overflowPunct/>
        <w:topLinePunct w:val="0"/>
        <w:bidi w:val="0"/>
        <w:snapToGrid w:val="0"/>
        <w:spacing w:beforeLines="0" w:afterLines="0" w:line="360" w:lineRule="auto"/>
        <w:ind w:firstLine="480" w:firstLineChars="200"/>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sz w:val="24"/>
          <w:szCs w:val="24"/>
          <w:highlight w:val="none"/>
          <w:lang w:val="en-US" w:eastAsia="zh-CN"/>
        </w:rPr>
        <w:t>4</w:t>
      </w:r>
      <w:r>
        <w:rPr>
          <w:rFonts w:hint="default"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其他服务要求详见项目需求书。</w:t>
      </w:r>
    </w:p>
    <w:p>
      <w:pPr>
        <w:autoSpaceDE w:val="0"/>
        <w:autoSpaceDN w:val="0"/>
        <w:adjustRightInd w:val="0"/>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服务期及地点</w:t>
      </w:r>
      <w:r>
        <w:rPr>
          <w:rFonts w:hint="eastAsia" w:ascii="宋体" w:hAnsi="宋体" w:eastAsia="宋体" w:cs="宋体"/>
          <w:color w:val="000000" w:themeColor="text1"/>
          <w:kern w:val="0"/>
          <w:sz w:val="24"/>
          <w:szCs w:val="24"/>
          <w:highlight w:val="none"/>
          <w14:textFill>
            <w14:solidFill>
              <w14:schemeClr w14:val="tx1"/>
            </w14:solidFill>
          </w14:textFill>
        </w:rPr>
        <w:t>要求</w:t>
      </w:r>
    </w:p>
    <w:p>
      <w:pPr>
        <w:autoSpaceDE w:val="0"/>
        <w:autoSpaceDN w:val="0"/>
        <w:adjustRightIn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 </w:t>
      </w:r>
      <w:r>
        <w:rPr>
          <w:rFonts w:hint="eastAsia" w:ascii="宋体" w:hAnsi="宋体" w:eastAsia="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期：</w:t>
      </w:r>
      <w:r>
        <w:rPr>
          <w:rFonts w:hint="eastAsia" w:ascii="宋体" w:hAnsi="宋体" w:cs="宋体"/>
          <w:color w:val="000000" w:themeColor="text1"/>
          <w:sz w:val="24"/>
          <w:szCs w:val="24"/>
          <w:highlight w:val="none"/>
          <w:lang w:eastAsia="zh-CN"/>
          <w14:textFill>
            <w14:solidFill>
              <w14:schemeClr w14:val="tx1"/>
            </w14:solidFill>
          </w14:textFill>
        </w:rPr>
        <w:t>自签订合同之日起</w:t>
      </w:r>
      <w:r>
        <w:rPr>
          <w:rFonts w:hint="eastAsia" w:ascii="宋体" w:hAnsi="宋体" w:cs="宋体"/>
          <w:spacing w:val="-13"/>
          <w:sz w:val="24"/>
          <w:szCs w:val="24"/>
          <w:highlight w:val="none"/>
          <w:lang w:eastAsia="zh-CN"/>
        </w:rPr>
        <w:t>至</w:t>
      </w:r>
      <w:r>
        <w:rPr>
          <w:rFonts w:ascii="宋体" w:hAnsi="宋体" w:eastAsia="宋体" w:cs="宋体"/>
          <w:spacing w:val="-6"/>
          <w:sz w:val="24"/>
          <w:szCs w:val="24"/>
          <w:highlight w:val="none"/>
        </w:rPr>
        <w:t>202</w:t>
      </w:r>
      <w:r>
        <w:rPr>
          <w:rFonts w:hint="eastAsia" w:ascii="宋体" w:hAnsi="宋体" w:cs="宋体"/>
          <w:spacing w:val="-6"/>
          <w:sz w:val="24"/>
          <w:szCs w:val="24"/>
          <w:highlight w:val="none"/>
          <w:lang w:val="en-US" w:eastAsia="zh-CN"/>
        </w:rPr>
        <w:t>3</w:t>
      </w:r>
      <w:r>
        <w:rPr>
          <w:rFonts w:ascii="宋体" w:hAnsi="宋体" w:eastAsia="宋体" w:cs="宋体"/>
          <w:spacing w:val="-13"/>
          <w:sz w:val="24"/>
          <w:szCs w:val="24"/>
          <w:highlight w:val="none"/>
        </w:rPr>
        <w:t>年</w:t>
      </w:r>
      <w:r>
        <w:rPr>
          <w:rFonts w:ascii="宋体" w:hAnsi="宋体" w:eastAsia="宋体" w:cs="宋体"/>
          <w:spacing w:val="-6"/>
          <w:sz w:val="24"/>
          <w:szCs w:val="24"/>
          <w:highlight w:val="none"/>
        </w:rPr>
        <w:t>12</w:t>
      </w:r>
      <w:r>
        <w:rPr>
          <w:rFonts w:ascii="宋体" w:hAnsi="宋体" w:eastAsia="宋体" w:cs="宋体"/>
          <w:spacing w:val="-12"/>
          <w:sz w:val="24"/>
          <w:szCs w:val="24"/>
          <w:highlight w:val="none"/>
        </w:rPr>
        <w:t>月</w:t>
      </w:r>
      <w:r>
        <w:rPr>
          <w:rFonts w:ascii="宋体" w:hAnsi="宋体" w:eastAsia="宋体" w:cs="宋体"/>
          <w:spacing w:val="-6"/>
          <w:sz w:val="24"/>
          <w:szCs w:val="24"/>
          <w:highlight w:val="none"/>
        </w:rPr>
        <w:t>31</w:t>
      </w:r>
      <w:r>
        <w:rPr>
          <w:rFonts w:ascii="宋体" w:hAnsi="宋体" w:eastAsia="宋体" w:cs="宋体"/>
          <w:spacing w:val="-12"/>
          <w:sz w:val="24"/>
          <w:szCs w:val="24"/>
          <w:highlight w:val="none"/>
        </w:rPr>
        <w:t>日。</w:t>
      </w:r>
      <w:r>
        <w:rPr>
          <w:rFonts w:hint="eastAsia" w:ascii="宋体" w:hAnsi="宋体" w:eastAsia="宋体" w:cs="宋体"/>
          <w:color w:val="000000" w:themeColor="text1"/>
          <w:kern w:val="0"/>
          <w:sz w:val="24"/>
          <w:szCs w:val="24"/>
          <w:highlight w:val="none"/>
          <w14:textFill>
            <w14:solidFill>
              <w14:schemeClr w14:val="tx1"/>
            </w14:solidFill>
          </w14:textFill>
        </w:rPr>
        <w:t>（特殊情况以</w:t>
      </w:r>
      <w:r>
        <w:rPr>
          <w:rFonts w:hint="eastAsia" w:ascii="宋体" w:hAnsi="宋体" w:eastAsia="宋体" w:cs="宋体"/>
          <w:color w:val="000000" w:themeColor="text1"/>
          <w:sz w:val="24"/>
          <w:szCs w:val="24"/>
          <w:highlight w:val="none"/>
          <w14:textFill>
            <w14:solidFill>
              <w14:schemeClr w14:val="tx1"/>
            </w14:solidFill>
          </w14:textFill>
        </w:rPr>
        <w:t>合同为准）</w:t>
      </w:r>
      <w:r>
        <w:rPr>
          <w:rFonts w:hint="eastAsia" w:ascii="宋体" w:hAnsi="宋体" w:eastAsia="宋体" w:cs="宋体"/>
          <w:color w:val="000000" w:themeColor="text1"/>
          <w:sz w:val="24"/>
          <w:highlight w:val="none"/>
          <w14:textFill>
            <w14:solidFill>
              <w14:schemeClr w14:val="tx1"/>
            </w14:solidFill>
          </w14:textFill>
        </w:rPr>
        <w:t>。</w:t>
      </w:r>
    </w:p>
    <w:p>
      <w:pPr>
        <w:autoSpaceDE w:val="0"/>
        <w:autoSpaceDN w:val="0"/>
        <w:adjustRightIn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 </w:t>
      </w:r>
      <w:r>
        <w:rPr>
          <w:rFonts w:hint="eastAsia" w:ascii="宋体" w:hAnsi="宋体" w:eastAsia="宋体" w:cs="宋体"/>
          <w:color w:val="000000" w:themeColor="text1"/>
          <w:sz w:val="24"/>
          <w:highlight w:val="none"/>
          <w:lang w:val="en-US" w:eastAsia="zh-CN"/>
          <w14:textFill>
            <w14:solidFill>
              <w14:schemeClr w14:val="tx1"/>
            </w14:solidFill>
          </w14:textFill>
        </w:rPr>
        <w:t>服务</w:t>
      </w:r>
      <w:r>
        <w:rPr>
          <w:rFonts w:hint="eastAsia" w:ascii="宋体" w:hAnsi="宋体" w:eastAsia="宋体" w:cs="宋体"/>
          <w:color w:val="000000" w:themeColor="text1"/>
          <w:sz w:val="24"/>
          <w:highlight w:val="none"/>
          <w14:textFill>
            <w14:solidFill>
              <w14:schemeClr w14:val="tx1"/>
            </w14:solidFill>
          </w14:textFill>
        </w:rPr>
        <w:t>地点：</w:t>
      </w:r>
      <w:r>
        <w:rPr>
          <w:rFonts w:hint="eastAsia" w:ascii="宋体" w:hAnsi="宋体" w:cs="宋体"/>
          <w:color w:val="000000" w:themeColor="text1"/>
          <w:sz w:val="24"/>
          <w:szCs w:val="24"/>
          <w:highlight w:val="none"/>
          <w:lang w:eastAsia="zh-CN"/>
          <w14:textFill>
            <w14:solidFill>
              <w14:schemeClr w14:val="tx1"/>
            </w14:solidFill>
          </w14:textFill>
        </w:rPr>
        <w:t>天津市东丽区</w:t>
      </w:r>
      <w:r>
        <w:rPr>
          <w:rFonts w:hint="eastAsia" w:ascii="宋体" w:hAnsi="宋体" w:eastAsia="宋体" w:cs="宋体"/>
          <w:color w:val="000000" w:themeColor="text1"/>
          <w:kern w:val="0"/>
          <w:sz w:val="24"/>
          <w:szCs w:val="24"/>
          <w:highlight w:val="none"/>
          <w14:textFill>
            <w14:solidFill>
              <w14:schemeClr w14:val="tx1"/>
            </w14:solidFill>
          </w14:textFill>
        </w:rPr>
        <w:t>（特殊情况以</w:t>
      </w:r>
      <w:r>
        <w:rPr>
          <w:rFonts w:hint="eastAsia" w:ascii="宋体" w:hAnsi="宋体" w:eastAsia="宋体" w:cs="宋体"/>
          <w:color w:val="000000" w:themeColor="text1"/>
          <w:sz w:val="24"/>
          <w:szCs w:val="24"/>
          <w:highlight w:val="none"/>
          <w14:textFill>
            <w14:solidFill>
              <w14:schemeClr w14:val="tx1"/>
            </w14:solidFill>
          </w14:textFill>
        </w:rPr>
        <w:t>合同为准）</w:t>
      </w:r>
      <w:r>
        <w:rPr>
          <w:rFonts w:hint="eastAsia" w:ascii="宋体" w:hAnsi="宋体" w:eastAsia="宋体" w:cs="宋体"/>
          <w:color w:val="000000" w:themeColor="text1"/>
          <w:sz w:val="24"/>
          <w:highlight w:val="none"/>
          <w14:textFill>
            <w14:solidFill>
              <w14:schemeClr w14:val="tx1"/>
            </w14:solidFill>
          </w14:textFill>
        </w:rPr>
        <w:t>。</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）付款方式</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自签订合同之日起，根据实际工作量，按年支付</w:t>
      </w:r>
      <w:r>
        <w:rPr>
          <w:rFonts w:hint="eastAsia" w:ascii="宋体" w:hAnsi="宋体" w:eastAsia="宋体" w:cs="宋体"/>
          <w:color w:val="000000" w:themeColor="text1"/>
          <w:sz w:val="24"/>
          <w:szCs w:val="24"/>
          <w:highlight w:val="none"/>
          <w14:textFill>
            <w14:solidFill>
              <w14:schemeClr w14:val="tx1"/>
            </w14:solidFill>
          </w14:textFill>
        </w:rPr>
        <w:t>（特殊情况以合同为准）</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color w:val="000000" w:themeColor="text1"/>
          <w:sz w:val="24"/>
          <w:szCs w:val="24"/>
          <w:highlight w:val="none"/>
          <w14:textFill>
            <w14:solidFill>
              <w14:schemeClr w14:val="tx1"/>
            </w14:solidFill>
          </w14:textFill>
        </w:rPr>
        <w:t>）投标保证金和履约保证金</w:t>
      </w:r>
    </w:p>
    <w:p>
      <w:pPr>
        <w:keepNext w:val="0"/>
        <w:keepLines w:val="0"/>
        <w:pageBreakBefore w:val="0"/>
        <w:widowControl w:val="0"/>
        <w:tabs>
          <w:tab w:val="left" w:pos="142"/>
          <w:tab w:val="left" w:pos="800"/>
        </w:tabs>
        <w:kinsoku/>
        <w:wordWrap/>
        <w:overflowPunct/>
        <w:topLinePunct w:val="0"/>
        <w:bidi w:val="0"/>
        <w:snapToGrid w:val="0"/>
        <w:spacing w:line="360" w:lineRule="auto"/>
        <w:ind w:firstLine="480" w:firstLineChars="200"/>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1.本项目投标保证金：人民币40000元，人民币大写：肆万元整；</w:t>
      </w:r>
    </w:p>
    <w:p>
      <w:pPr>
        <w:keepNext w:val="0"/>
        <w:keepLines w:val="0"/>
        <w:widowControl/>
        <w:suppressLineNumbers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themeColor="text1"/>
          <w:sz w:val="24"/>
          <w:highlight w:val="none"/>
          <w:lang w:val="en-US" w:eastAsia="zh-CN"/>
          <w14:textFill>
            <w14:solidFill>
              <w14:schemeClr w14:val="tx1"/>
            </w14:solidFill>
          </w14:textFill>
        </w:rPr>
        <w:t>投标保证金采用下列形式之一提交：以支票、本票、汇票、银行汇款（建议采用银行汇款形式交纳保证金）或者金融机构、担保机构出具的保函等非现金形式提交</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b/>
          <w:bCs/>
          <w:color w:val="000000" w:themeColor="text1"/>
          <w:sz w:val="24"/>
          <w:highlight w:val="none"/>
          <w:lang w:val="en-US" w:eastAsia="zh-CN"/>
          <w14:textFill>
            <w14:solidFill>
              <w14:schemeClr w14:val="tx1"/>
            </w14:solidFill>
          </w14:textFill>
        </w:rPr>
        <w:t>供应商最迟</w:t>
      </w:r>
      <w:r>
        <w:rPr>
          <w:rFonts w:hint="eastAsia" w:ascii="宋体" w:hAnsi="宋体" w:eastAsia="宋体" w:cs="宋体"/>
          <w:b/>
          <w:bCs/>
          <w:color w:val="000000"/>
          <w:sz w:val="24"/>
          <w:highlight w:val="none"/>
          <w:lang w:val="en-US" w:eastAsia="zh-CN"/>
        </w:rPr>
        <w:t>应在</w:t>
      </w:r>
      <w:r>
        <w:rPr>
          <w:rFonts w:hint="eastAsia" w:ascii="宋体" w:hAnsi="宋体" w:cs="宋体"/>
          <w:b/>
          <w:bCs/>
          <w:color w:val="000000"/>
          <w:sz w:val="24"/>
          <w:highlight w:val="none"/>
          <w:lang w:val="en-US" w:eastAsia="zh-CN"/>
        </w:rPr>
        <w:t>投标</w:t>
      </w:r>
      <w:r>
        <w:rPr>
          <w:rFonts w:hint="eastAsia" w:ascii="宋体" w:hAnsi="宋体" w:eastAsia="宋体" w:cs="宋体"/>
          <w:b/>
          <w:bCs/>
          <w:color w:val="000000"/>
          <w:sz w:val="24"/>
          <w:highlight w:val="none"/>
          <w:lang w:val="en-US" w:eastAsia="zh-CN"/>
        </w:rPr>
        <w:t>文件提交的截止时间前将</w:t>
      </w:r>
      <w:r>
        <w:rPr>
          <w:rFonts w:hint="eastAsia" w:ascii="宋体" w:hAnsi="宋体" w:cs="宋体"/>
          <w:b/>
          <w:bCs/>
          <w:color w:val="000000"/>
          <w:sz w:val="24"/>
          <w:highlight w:val="none"/>
          <w:lang w:val="en-US" w:eastAsia="zh-CN"/>
        </w:rPr>
        <w:t>投标</w:t>
      </w:r>
      <w:r>
        <w:rPr>
          <w:rFonts w:hint="eastAsia" w:ascii="宋体" w:hAnsi="宋体" w:eastAsia="宋体" w:cs="宋体"/>
          <w:b/>
          <w:bCs/>
          <w:color w:val="000000"/>
          <w:sz w:val="24"/>
          <w:highlight w:val="none"/>
          <w:lang w:val="en-US" w:eastAsia="zh-CN"/>
        </w:rPr>
        <w:t>保证金交至招标代理机构（</w:t>
      </w:r>
      <w:r>
        <w:rPr>
          <w:rFonts w:hint="eastAsia" w:ascii="宋体" w:hAnsi="宋体" w:cs="宋体"/>
          <w:b/>
          <w:bCs/>
          <w:color w:val="000000"/>
          <w:sz w:val="24"/>
          <w:highlight w:val="none"/>
          <w:lang w:val="en-US" w:eastAsia="zh-CN"/>
        </w:rPr>
        <w:t>投标</w:t>
      </w:r>
      <w:r>
        <w:rPr>
          <w:rFonts w:hint="eastAsia" w:ascii="宋体" w:hAnsi="宋体" w:eastAsia="宋体" w:cs="宋体"/>
          <w:b/>
          <w:bCs/>
          <w:color w:val="000000"/>
          <w:sz w:val="24"/>
          <w:highlight w:val="none"/>
          <w:lang w:val="en-US" w:eastAsia="zh-CN"/>
        </w:rPr>
        <w:t>文件中须附</w:t>
      </w:r>
      <w:r>
        <w:rPr>
          <w:rFonts w:hint="eastAsia" w:ascii="宋体" w:hAnsi="宋体" w:cs="宋体"/>
          <w:b/>
          <w:bCs/>
          <w:color w:val="000000"/>
          <w:sz w:val="24"/>
          <w:highlight w:val="none"/>
          <w:lang w:val="en-US" w:eastAsia="zh-CN"/>
        </w:rPr>
        <w:t>投标</w:t>
      </w:r>
      <w:r>
        <w:rPr>
          <w:rFonts w:hint="eastAsia" w:ascii="宋体" w:hAnsi="宋体" w:eastAsia="宋体" w:cs="宋体"/>
          <w:b/>
          <w:bCs/>
          <w:color w:val="000000"/>
          <w:sz w:val="24"/>
          <w:highlight w:val="none"/>
          <w:lang w:val="en-US" w:eastAsia="zh-CN"/>
        </w:rPr>
        <w:t>保证金</w:t>
      </w:r>
      <w:r>
        <w:rPr>
          <w:rFonts w:hint="eastAsia" w:ascii="宋体" w:hAnsi="宋体" w:cs="宋体"/>
          <w:b/>
          <w:bCs/>
          <w:color w:val="000000"/>
          <w:sz w:val="24"/>
          <w:highlight w:val="none"/>
          <w:lang w:val="en-US" w:eastAsia="zh-CN"/>
        </w:rPr>
        <w:t>交</w:t>
      </w:r>
      <w:r>
        <w:rPr>
          <w:rFonts w:hint="eastAsia" w:ascii="宋体" w:hAnsi="宋体" w:eastAsia="宋体" w:cs="宋体"/>
          <w:b/>
          <w:bCs/>
          <w:color w:val="000000"/>
          <w:sz w:val="24"/>
          <w:highlight w:val="none"/>
          <w:lang w:val="en-US" w:eastAsia="zh-CN"/>
        </w:rPr>
        <w:t>纳证明材料复印件并加盖供应商公章），</w:t>
      </w:r>
      <w:r>
        <w:rPr>
          <w:rFonts w:hint="eastAsia" w:ascii="宋体" w:hAnsi="宋体" w:eastAsia="宋体" w:cs="宋体"/>
          <w:color w:val="000000"/>
          <w:sz w:val="24"/>
          <w:highlight w:val="none"/>
          <w:lang w:val="en-US" w:eastAsia="zh-CN"/>
        </w:rPr>
        <w:t>收到保证金时间以保证金到账时间为准，如出现电汇未到账等情况，按供应商未</w:t>
      </w:r>
      <w:r>
        <w:rPr>
          <w:rFonts w:hint="eastAsia" w:ascii="宋体" w:hAnsi="宋体" w:cs="宋体"/>
          <w:color w:val="000000"/>
          <w:sz w:val="24"/>
          <w:highlight w:val="none"/>
          <w:lang w:val="en-US" w:eastAsia="zh-CN"/>
        </w:rPr>
        <w:t>交</w:t>
      </w:r>
      <w:r>
        <w:rPr>
          <w:rFonts w:hint="eastAsia" w:ascii="宋体" w:hAnsi="宋体" w:eastAsia="宋体" w:cs="宋体"/>
          <w:color w:val="000000"/>
          <w:sz w:val="24"/>
          <w:highlight w:val="none"/>
          <w:lang w:val="en-US" w:eastAsia="zh-CN"/>
        </w:rPr>
        <w:t>纳保证金处理（汇款信息需标注项目编号和包号）。</w:t>
      </w:r>
    </w:p>
    <w:p>
      <w:pPr>
        <w:keepNext w:val="0"/>
        <w:keepLines w:val="0"/>
        <w:widowControl/>
        <w:suppressLineNumbers w:val="0"/>
        <w:spacing w:line="360" w:lineRule="auto"/>
        <w:ind w:firstLine="480" w:firstLineChars="200"/>
        <w:jc w:val="left"/>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汇款信息如下：</w:t>
      </w:r>
    </w:p>
    <w:p>
      <w:pPr>
        <w:autoSpaceDE w:val="0"/>
        <w:autoSpaceDN w:val="0"/>
        <w:adjustRightInd w:val="0"/>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户名：中易（天津）工程咨询有限公司</w:t>
      </w:r>
    </w:p>
    <w:p>
      <w:pPr>
        <w:autoSpaceDE w:val="0"/>
        <w:autoSpaceDN w:val="0"/>
        <w:adjustRightInd w:val="0"/>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开户行：中国工商银行股份有限公司天津张贵庄支行</w:t>
      </w:r>
    </w:p>
    <w:p>
      <w:pPr>
        <w:autoSpaceDE w:val="0"/>
        <w:autoSpaceDN w:val="0"/>
        <w:adjustRightInd w:val="0"/>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账号：0302 0147 0930 0051 032</w:t>
      </w:r>
    </w:p>
    <w:p>
      <w:pPr>
        <w:autoSpaceDE w:val="0"/>
        <w:autoSpaceDN w:val="0"/>
        <w:adjustRightInd w:val="0"/>
        <w:spacing w:line="360" w:lineRule="auto"/>
        <w:ind w:firstLine="480" w:firstLineChars="200"/>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注：</w:t>
      </w:r>
      <w:r>
        <w:rPr>
          <w:rFonts w:hint="eastAsia" w:ascii="宋体" w:hAnsi="宋体" w:cs="宋体"/>
          <w:color w:val="000000"/>
          <w:sz w:val="24"/>
          <w:highlight w:val="none"/>
          <w:lang w:val="en-US" w:eastAsia="zh-CN"/>
        </w:rPr>
        <w:t>投标人</w:t>
      </w:r>
      <w:r>
        <w:rPr>
          <w:rFonts w:hint="eastAsia" w:ascii="宋体" w:hAnsi="宋体" w:eastAsia="宋体" w:cs="宋体"/>
          <w:color w:val="000000"/>
          <w:sz w:val="24"/>
          <w:highlight w:val="none"/>
          <w:lang w:val="en-US" w:eastAsia="zh-CN"/>
        </w:rPr>
        <w:t>银行账户电汇（汇款单位须与供应商名称一致），</w:t>
      </w:r>
      <w:r>
        <w:rPr>
          <w:rFonts w:hint="eastAsia" w:ascii="宋体" w:hAnsi="宋体" w:eastAsia="宋体" w:cs="宋体"/>
          <w:b/>
          <w:bCs/>
          <w:color w:val="000000"/>
          <w:sz w:val="24"/>
          <w:highlight w:val="none"/>
          <w:lang w:val="en-US" w:eastAsia="zh-CN"/>
        </w:rPr>
        <w:t>在电汇时请各单位注明项目编号</w:t>
      </w:r>
      <w:r>
        <w:rPr>
          <w:rFonts w:hint="eastAsia" w:ascii="宋体" w:hAnsi="宋体" w:eastAsia="宋体" w:cs="宋体"/>
          <w:color w:val="000000"/>
          <w:sz w:val="24"/>
          <w:highlight w:val="none"/>
          <w:lang w:val="en-US" w:eastAsia="zh-CN"/>
        </w:rPr>
        <w:t>。未按规定提交</w:t>
      </w:r>
      <w:r>
        <w:rPr>
          <w:rFonts w:hint="eastAsia" w:ascii="宋体" w:hAnsi="宋体" w:cs="宋体"/>
          <w:color w:val="000000"/>
          <w:sz w:val="24"/>
          <w:highlight w:val="none"/>
          <w:lang w:val="en-US" w:eastAsia="zh-CN"/>
        </w:rPr>
        <w:t>投标</w:t>
      </w:r>
      <w:r>
        <w:rPr>
          <w:rFonts w:hint="eastAsia" w:ascii="宋体" w:hAnsi="宋体" w:eastAsia="宋体" w:cs="宋体"/>
          <w:color w:val="000000"/>
          <w:sz w:val="24"/>
          <w:highlight w:val="none"/>
          <w:lang w:val="en-US" w:eastAsia="zh-CN"/>
        </w:rPr>
        <w:t>保证金的</w:t>
      </w:r>
      <w:r>
        <w:rPr>
          <w:rFonts w:hint="eastAsia" w:ascii="宋体" w:hAnsi="宋体" w:cs="宋体"/>
          <w:color w:val="000000"/>
          <w:sz w:val="24"/>
          <w:highlight w:val="none"/>
          <w:lang w:val="en-US" w:eastAsia="zh-CN"/>
        </w:rPr>
        <w:t>投标人</w:t>
      </w:r>
      <w:r>
        <w:rPr>
          <w:rFonts w:hint="eastAsia" w:ascii="宋体" w:hAnsi="宋体" w:eastAsia="宋体" w:cs="宋体"/>
          <w:color w:val="000000"/>
          <w:sz w:val="24"/>
          <w:highlight w:val="none"/>
          <w:lang w:val="en-US" w:eastAsia="zh-CN"/>
        </w:rPr>
        <w:t>，将被视为未在实质上响应</w:t>
      </w:r>
      <w:r>
        <w:rPr>
          <w:rFonts w:hint="eastAsia" w:ascii="宋体" w:hAnsi="宋体" w:cs="宋体"/>
          <w:color w:val="000000"/>
          <w:sz w:val="24"/>
          <w:highlight w:val="none"/>
          <w:lang w:val="en-US" w:eastAsia="zh-CN"/>
        </w:rPr>
        <w:t>招标</w:t>
      </w:r>
      <w:r>
        <w:rPr>
          <w:rFonts w:hint="eastAsia" w:ascii="宋体" w:hAnsi="宋体" w:eastAsia="宋体" w:cs="宋体"/>
          <w:color w:val="000000"/>
          <w:sz w:val="24"/>
          <w:highlight w:val="none"/>
          <w:lang w:val="en-US" w:eastAsia="zh-CN"/>
        </w:rPr>
        <w:t>文件，其</w:t>
      </w:r>
      <w:r>
        <w:rPr>
          <w:rFonts w:hint="eastAsia" w:ascii="宋体" w:hAnsi="宋体" w:cs="宋体"/>
          <w:color w:val="000000"/>
          <w:sz w:val="24"/>
          <w:highlight w:val="none"/>
          <w:lang w:val="en-US" w:eastAsia="zh-CN"/>
        </w:rPr>
        <w:t>投标</w:t>
      </w:r>
      <w:r>
        <w:rPr>
          <w:rFonts w:hint="eastAsia" w:ascii="宋体" w:hAnsi="宋体" w:eastAsia="宋体" w:cs="宋体"/>
          <w:color w:val="000000"/>
          <w:sz w:val="24"/>
          <w:highlight w:val="none"/>
          <w:lang w:val="en-US" w:eastAsia="zh-CN"/>
        </w:rPr>
        <w:t>文件将被拒绝。</w:t>
      </w:r>
      <w:r>
        <w:rPr>
          <w:rFonts w:hint="eastAsia" w:ascii="宋体" w:hAnsi="宋体" w:eastAsia="宋体" w:cs="宋体"/>
          <w:b/>
          <w:bCs/>
          <w:color w:val="000000"/>
          <w:sz w:val="24"/>
          <w:highlight w:val="none"/>
          <w:lang w:val="zh-TW" w:eastAsia="zh-TW"/>
        </w:rPr>
        <w:t>本项目保证金应自</w:t>
      </w:r>
      <w:r>
        <w:rPr>
          <w:rFonts w:hint="eastAsia" w:ascii="宋体" w:hAnsi="宋体" w:eastAsia="宋体" w:cs="宋体"/>
          <w:b/>
          <w:bCs/>
          <w:color w:val="000000"/>
          <w:sz w:val="24"/>
          <w:highlight w:val="none"/>
          <w:lang w:val="zh-TW" w:eastAsia="zh-CN"/>
        </w:rPr>
        <w:t>投标人</w:t>
      </w:r>
      <w:r>
        <w:rPr>
          <w:rFonts w:hint="eastAsia" w:ascii="宋体" w:hAnsi="宋体" w:eastAsia="宋体" w:cs="宋体"/>
          <w:b/>
          <w:bCs/>
          <w:color w:val="000000"/>
          <w:sz w:val="24"/>
          <w:highlight w:val="none"/>
          <w:lang w:val="zh-TW" w:eastAsia="zh-TW"/>
        </w:rPr>
        <w:t>的基本账户支出，不接受一切自</w:t>
      </w:r>
      <w:r>
        <w:rPr>
          <w:rFonts w:hint="eastAsia" w:ascii="宋体" w:hAnsi="宋体" w:eastAsia="宋体" w:cs="宋体"/>
          <w:b/>
          <w:bCs/>
          <w:color w:val="000000"/>
          <w:sz w:val="24"/>
          <w:highlight w:val="none"/>
          <w:lang w:val="zh-TW" w:eastAsia="zh-CN"/>
        </w:rPr>
        <w:t>投标人</w:t>
      </w:r>
      <w:r>
        <w:rPr>
          <w:rFonts w:hint="eastAsia" w:ascii="宋体" w:hAnsi="宋体" w:eastAsia="宋体" w:cs="宋体"/>
          <w:b/>
          <w:bCs/>
          <w:color w:val="000000"/>
          <w:sz w:val="24"/>
          <w:highlight w:val="none"/>
          <w:lang w:val="zh-TW" w:eastAsia="zh-TW"/>
        </w:rPr>
        <w:t>的非基本账户支出的资金充当本项目的保证金。</w:t>
      </w:r>
    </w:p>
    <w:p>
      <w:pPr>
        <w:numPr>
          <w:ilvl w:val="0"/>
          <w:numId w:val="3"/>
        </w:numPr>
        <w:autoSpaceDE w:val="0"/>
        <w:autoSpaceDN w:val="0"/>
        <w:adjustRightInd w:val="0"/>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本项目不收取履约保证金。</w:t>
      </w:r>
    </w:p>
    <w:p>
      <w:pPr>
        <w:numPr>
          <w:ilvl w:val="0"/>
          <w:numId w:val="3"/>
        </w:numPr>
        <w:autoSpaceDE w:val="0"/>
        <w:autoSpaceDN w:val="0"/>
        <w:adjustRightInd w:val="0"/>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sz w:val="24"/>
          <w:szCs w:val="24"/>
          <w:highlight w:val="none"/>
        </w:rPr>
        <w:t>投标保证金的退还</w:t>
      </w:r>
    </w:p>
    <w:p>
      <w:pPr>
        <w:autoSpaceDE w:val="0"/>
        <w:autoSpaceDN w:val="0"/>
        <w:adjustRightInd w:val="0"/>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开评标结束后，根据不同情况办理投标保证金的退还工作。</w:t>
      </w:r>
    </w:p>
    <w:p>
      <w:pPr>
        <w:autoSpaceDE w:val="0"/>
        <w:autoSpaceDN w:val="0"/>
        <w:adjustRightInd w:val="0"/>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①对在投标截止时间前撤回已提交的投标文件的投标人，自收到</w:t>
      </w:r>
      <w:r>
        <w:rPr>
          <w:rFonts w:hint="eastAsia" w:ascii="宋体" w:hAnsi="宋体" w:cs="宋体"/>
          <w:color w:val="000000"/>
          <w:sz w:val="24"/>
          <w:highlight w:val="none"/>
          <w:lang w:val="en-US" w:eastAsia="zh-CN"/>
        </w:rPr>
        <w:t>供应商</w:t>
      </w:r>
      <w:r>
        <w:rPr>
          <w:rFonts w:hint="eastAsia" w:ascii="宋体" w:hAnsi="宋体" w:eastAsia="宋体" w:cs="宋体"/>
          <w:color w:val="000000"/>
          <w:sz w:val="24"/>
          <w:highlight w:val="none"/>
          <w:lang w:val="en-US" w:eastAsia="zh-CN"/>
        </w:rPr>
        <w:t>书面撤回通知之日起五个工作日内退还已收取的投标保证金。</w:t>
      </w:r>
    </w:p>
    <w:p>
      <w:pPr>
        <w:autoSpaceDE w:val="0"/>
        <w:autoSpaceDN w:val="0"/>
        <w:adjustRightInd w:val="0"/>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②对参加政府采购招标项目的</w:t>
      </w:r>
      <w:r>
        <w:rPr>
          <w:rFonts w:hint="eastAsia" w:ascii="宋体" w:hAnsi="宋体" w:cs="宋体"/>
          <w:color w:val="000000"/>
          <w:sz w:val="24"/>
          <w:highlight w:val="none"/>
          <w:lang w:val="en-US" w:eastAsia="zh-CN"/>
        </w:rPr>
        <w:t>供应商</w:t>
      </w:r>
      <w:r>
        <w:rPr>
          <w:rFonts w:hint="eastAsia" w:ascii="宋体" w:hAnsi="宋体" w:eastAsia="宋体" w:cs="宋体"/>
          <w:color w:val="000000"/>
          <w:sz w:val="24"/>
          <w:highlight w:val="none"/>
          <w:lang w:val="en-US" w:eastAsia="zh-CN"/>
        </w:rPr>
        <w:t>，在中标通知书发出之日起五个工作日内退还未</w:t>
      </w:r>
      <w:r>
        <w:rPr>
          <w:rFonts w:hint="eastAsia" w:ascii="宋体" w:hAnsi="宋体" w:cs="宋体"/>
          <w:color w:val="000000"/>
          <w:sz w:val="24"/>
          <w:highlight w:val="none"/>
          <w:lang w:val="en-US" w:eastAsia="zh-CN"/>
        </w:rPr>
        <w:t>成交供应商</w:t>
      </w:r>
      <w:r>
        <w:rPr>
          <w:rFonts w:hint="eastAsia" w:ascii="宋体" w:hAnsi="宋体" w:eastAsia="宋体" w:cs="宋体"/>
          <w:color w:val="000000"/>
          <w:sz w:val="24"/>
          <w:highlight w:val="none"/>
          <w:lang w:val="en-US" w:eastAsia="zh-CN"/>
        </w:rPr>
        <w:t>的投标保证金；在采购合同签订之日起五个工作日内退还</w:t>
      </w:r>
      <w:r>
        <w:rPr>
          <w:rFonts w:hint="eastAsia" w:ascii="宋体" w:hAnsi="宋体" w:cs="宋体"/>
          <w:color w:val="000000"/>
          <w:sz w:val="24"/>
          <w:highlight w:val="none"/>
          <w:lang w:val="en-US" w:eastAsia="zh-CN"/>
        </w:rPr>
        <w:t>成交供应商</w:t>
      </w:r>
      <w:r>
        <w:rPr>
          <w:rFonts w:hint="eastAsia" w:ascii="宋体" w:hAnsi="宋体" w:eastAsia="宋体" w:cs="宋体"/>
          <w:color w:val="000000"/>
          <w:sz w:val="24"/>
          <w:highlight w:val="none"/>
          <w:lang w:val="en-US" w:eastAsia="zh-CN"/>
        </w:rPr>
        <w:t>的投标保证金。</w:t>
      </w:r>
      <w:r>
        <w:rPr>
          <w:rFonts w:hint="eastAsia" w:ascii="宋体" w:hAnsi="宋体" w:cs="宋体"/>
          <w:color w:val="000000"/>
          <w:sz w:val="24"/>
          <w:highlight w:val="none"/>
          <w:lang w:val="en-US" w:eastAsia="zh-CN"/>
        </w:rPr>
        <w:t>（成交供应商需提供一份采购合同作为退还</w:t>
      </w:r>
      <w:r>
        <w:rPr>
          <w:rFonts w:hint="eastAsia" w:ascii="宋体" w:hAnsi="宋体" w:eastAsia="宋体" w:cs="宋体"/>
          <w:color w:val="000000"/>
          <w:sz w:val="24"/>
          <w:highlight w:val="none"/>
          <w:lang w:val="en-US" w:eastAsia="zh-CN"/>
        </w:rPr>
        <w:t>投标保证金</w:t>
      </w:r>
      <w:r>
        <w:rPr>
          <w:rFonts w:hint="eastAsia" w:ascii="宋体" w:hAnsi="宋体" w:cs="宋体"/>
          <w:color w:val="000000"/>
          <w:sz w:val="24"/>
          <w:highlight w:val="none"/>
          <w:lang w:val="en-US" w:eastAsia="zh-CN"/>
        </w:rPr>
        <w:t>的依据</w:t>
      </w:r>
      <w:r>
        <w:rPr>
          <w:rFonts w:hint="eastAsia" w:ascii="宋体" w:hAnsi="宋体" w:eastAsia="宋体" w:cs="宋体"/>
          <w:color w:val="000000"/>
          <w:sz w:val="24"/>
          <w:highlight w:val="none"/>
          <w:lang w:val="en-US" w:eastAsia="zh-CN"/>
        </w:rPr>
        <w:t>。</w:t>
      </w:r>
      <w:r>
        <w:rPr>
          <w:rFonts w:hint="eastAsia" w:ascii="宋体" w:hAnsi="宋体" w:cs="宋体"/>
          <w:color w:val="000000"/>
          <w:sz w:val="24"/>
          <w:highlight w:val="none"/>
          <w:lang w:val="en-US" w:eastAsia="zh-CN"/>
        </w:rPr>
        <w:t>）</w:t>
      </w:r>
    </w:p>
    <w:p>
      <w:pPr>
        <w:autoSpaceDE w:val="0"/>
        <w:autoSpaceDN w:val="0"/>
        <w:adjustRightInd w:val="0"/>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③由</w:t>
      </w:r>
      <w:r>
        <w:rPr>
          <w:rFonts w:hint="eastAsia" w:ascii="宋体" w:hAnsi="宋体" w:cs="宋体"/>
          <w:color w:val="000000"/>
          <w:sz w:val="24"/>
          <w:highlight w:val="none"/>
          <w:lang w:val="en-US" w:eastAsia="zh-CN"/>
        </w:rPr>
        <w:t>供应商</w:t>
      </w:r>
      <w:r>
        <w:rPr>
          <w:rFonts w:hint="eastAsia" w:ascii="宋体" w:hAnsi="宋体" w:eastAsia="宋体" w:cs="宋体"/>
          <w:color w:val="000000"/>
          <w:sz w:val="24"/>
          <w:highlight w:val="none"/>
          <w:lang w:val="en-US" w:eastAsia="zh-CN"/>
        </w:rPr>
        <w:t>自身原因，导致保证金无法被及时退还的，其责任及后果由</w:t>
      </w:r>
      <w:r>
        <w:rPr>
          <w:rFonts w:hint="eastAsia" w:ascii="宋体" w:hAnsi="宋体" w:cs="宋体"/>
          <w:color w:val="000000"/>
          <w:sz w:val="24"/>
          <w:highlight w:val="none"/>
          <w:lang w:val="en-US" w:eastAsia="zh-CN"/>
        </w:rPr>
        <w:t>供应商</w:t>
      </w:r>
      <w:r>
        <w:rPr>
          <w:rFonts w:hint="eastAsia" w:ascii="宋体" w:hAnsi="宋体" w:eastAsia="宋体" w:cs="宋体"/>
          <w:color w:val="000000"/>
          <w:sz w:val="24"/>
          <w:highlight w:val="none"/>
          <w:lang w:val="en-US" w:eastAsia="zh-CN"/>
        </w:rPr>
        <w:t>自行承担。</w:t>
      </w:r>
    </w:p>
    <w:p>
      <w:pPr>
        <w:autoSpaceDE w:val="0"/>
        <w:autoSpaceDN w:val="0"/>
        <w:adjustRightInd w:val="0"/>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（4）发生下列情况之一，供应商的</w:t>
      </w:r>
      <w:r>
        <w:rPr>
          <w:rFonts w:hint="eastAsia" w:ascii="宋体" w:hAnsi="宋体" w:cs="宋体"/>
          <w:color w:val="000000"/>
          <w:sz w:val="24"/>
          <w:highlight w:val="none"/>
          <w:lang w:val="en-US" w:eastAsia="zh-CN"/>
        </w:rPr>
        <w:t>投标</w:t>
      </w:r>
      <w:r>
        <w:rPr>
          <w:rFonts w:hint="eastAsia" w:ascii="宋体" w:hAnsi="宋体" w:eastAsia="宋体" w:cs="宋体"/>
          <w:color w:val="000000"/>
          <w:sz w:val="24"/>
          <w:highlight w:val="none"/>
          <w:lang w:val="en-US" w:eastAsia="zh-CN"/>
        </w:rPr>
        <w:t>保证金不予退还：</w:t>
      </w:r>
    </w:p>
    <w:p>
      <w:pPr>
        <w:autoSpaceDE w:val="0"/>
        <w:autoSpaceDN w:val="0"/>
        <w:adjustRightInd w:val="0"/>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①供应商在提交</w:t>
      </w:r>
      <w:r>
        <w:rPr>
          <w:rFonts w:hint="eastAsia" w:ascii="宋体" w:hAnsi="宋体" w:cs="宋体"/>
          <w:color w:val="000000"/>
          <w:sz w:val="24"/>
          <w:highlight w:val="none"/>
          <w:lang w:val="en-US" w:eastAsia="zh-CN"/>
        </w:rPr>
        <w:t>投标</w:t>
      </w:r>
      <w:r>
        <w:rPr>
          <w:rFonts w:hint="eastAsia" w:ascii="宋体" w:hAnsi="宋体" w:eastAsia="宋体" w:cs="宋体"/>
          <w:color w:val="000000"/>
          <w:sz w:val="24"/>
          <w:highlight w:val="none"/>
          <w:lang w:val="en-US" w:eastAsia="zh-CN"/>
        </w:rPr>
        <w:t>文件截止时间后采购文件规定的</w:t>
      </w:r>
      <w:r>
        <w:rPr>
          <w:rFonts w:hint="eastAsia" w:ascii="宋体" w:hAnsi="宋体" w:cs="宋体"/>
          <w:color w:val="000000"/>
          <w:sz w:val="24"/>
          <w:highlight w:val="none"/>
          <w:lang w:val="en-US" w:eastAsia="zh-CN"/>
        </w:rPr>
        <w:t>投标</w:t>
      </w:r>
      <w:r>
        <w:rPr>
          <w:rFonts w:hint="eastAsia" w:ascii="宋体" w:hAnsi="宋体" w:eastAsia="宋体" w:cs="宋体"/>
          <w:color w:val="000000"/>
          <w:sz w:val="24"/>
          <w:highlight w:val="none"/>
          <w:lang w:val="en-US" w:eastAsia="zh-CN"/>
        </w:rPr>
        <w:t>有效期内撤回</w:t>
      </w:r>
      <w:r>
        <w:rPr>
          <w:rFonts w:hint="eastAsia" w:ascii="宋体" w:hAnsi="宋体" w:cs="宋体"/>
          <w:color w:val="000000"/>
          <w:sz w:val="24"/>
          <w:highlight w:val="none"/>
          <w:lang w:val="en-US" w:eastAsia="zh-CN"/>
        </w:rPr>
        <w:t>投标</w:t>
      </w:r>
      <w:r>
        <w:rPr>
          <w:rFonts w:hint="eastAsia" w:ascii="宋体" w:hAnsi="宋体" w:eastAsia="宋体" w:cs="宋体"/>
          <w:color w:val="000000"/>
          <w:sz w:val="24"/>
          <w:highlight w:val="none"/>
          <w:lang w:val="en-US" w:eastAsia="zh-CN"/>
        </w:rPr>
        <w:t>文件的；</w:t>
      </w:r>
    </w:p>
    <w:p>
      <w:pPr>
        <w:autoSpaceDE w:val="0"/>
        <w:autoSpaceDN w:val="0"/>
        <w:adjustRightInd w:val="0"/>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②供应商在</w:t>
      </w:r>
      <w:r>
        <w:rPr>
          <w:rFonts w:hint="eastAsia" w:ascii="宋体" w:hAnsi="宋体" w:cs="宋体"/>
          <w:color w:val="000000"/>
          <w:sz w:val="24"/>
          <w:highlight w:val="none"/>
          <w:lang w:val="en-US" w:eastAsia="zh-CN"/>
        </w:rPr>
        <w:t>投标</w:t>
      </w:r>
      <w:r>
        <w:rPr>
          <w:rFonts w:hint="eastAsia" w:ascii="宋体" w:hAnsi="宋体" w:eastAsia="宋体" w:cs="宋体"/>
          <w:color w:val="000000"/>
          <w:sz w:val="24"/>
          <w:highlight w:val="none"/>
          <w:lang w:val="en-US" w:eastAsia="zh-CN"/>
        </w:rPr>
        <w:t>文件中提供虚假材料的；</w:t>
      </w:r>
    </w:p>
    <w:p>
      <w:pPr>
        <w:autoSpaceDE w:val="0"/>
        <w:autoSpaceDN w:val="0"/>
        <w:adjustRightInd w:val="0"/>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③除因不可抗力或</w:t>
      </w:r>
      <w:r>
        <w:rPr>
          <w:rFonts w:hint="eastAsia" w:ascii="宋体" w:hAnsi="宋体" w:cs="宋体"/>
          <w:color w:val="000000"/>
          <w:sz w:val="24"/>
          <w:highlight w:val="none"/>
          <w:lang w:val="en-US" w:eastAsia="zh-CN"/>
        </w:rPr>
        <w:t>招标</w:t>
      </w:r>
      <w:r>
        <w:rPr>
          <w:rFonts w:hint="eastAsia" w:ascii="宋体" w:hAnsi="宋体" w:eastAsia="宋体" w:cs="宋体"/>
          <w:color w:val="000000"/>
          <w:sz w:val="24"/>
          <w:highlight w:val="none"/>
          <w:lang w:val="en-US" w:eastAsia="zh-CN"/>
        </w:rPr>
        <w:t>文件认可的情形以外，成交供应商不与采购人签订合同的；</w:t>
      </w:r>
    </w:p>
    <w:p>
      <w:pPr>
        <w:autoSpaceDE w:val="0"/>
        <w:autoSpaceDN w:val="0"/>
        <w:adjustRightInd w:val="0"/>
        <w:spacing w:line="360" w:lineRule="auto"/>
        <w:ind w:firstLine="480" w:firstLineChars="200"/>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④供应商与采购人、其他供应商或者采购代理机构恶意串通的。</w:t>
      </w:r>
    </w:p>
    <w:p>
      <w:pPr>
        <w:pStyle w:val="2"/>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七</w:t>
      </w:r>
      <w:r>
        <w:rPr>
          <w:rFonts w:hint="eastAsia" w:ascii="宋体" w:hAnsi="宋体" w:eastAsia="宋体" w:cs="宋体"/>
          <w:sz w:val="24"/>
          <w:szCs w:val="24"/>
          <w:highlight w:val="none"/>
          <w:lang w:val="en-US" w:eastAsia="zh-CN"/>
        </w:rPr>
        <w:t>）验收标准及方法</w:t>
      </w:r>
    </w:p>
    <w:p>
      <w:pPr>
        <w:pStyle w:val="2"/>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按照采购合同的约定和现行国家标准、行业标准以及企业标准对每一项技术、服务、安全标准的履约情况进行确认。必要时，采购人有权邀请第三方机构或者参加本项目的其他供应商参与验收。参与验收的第三方机构或者供应商的意见作为验收书的参考资料一并存档。验收结束后，应当出具验收书，列明各项标准的验收情况及项目总体评价，由验收双方共同签署。</w:t>
      </w:r>
    </w:p>
    <w:p>
      <w:pPr>
        <w:pStyle w:val="2"/>
        <w:keepNext w:val="0"/>
        <w:keepLines w:val="0"/>
        <w:pageBreakBefore w:val="0"/>
        <w:widowControl w:val="0"/>
        <w:kinsoku/>
        <w:wordWrap/>
        <w:overflowPunct/>
        <w:topLinePunct w:val="0"/>
        <w:bidi w:val="0"/>
        <w:snapToGrid w:val="0"/>
        <w:spacing w:line="360" w:lineRule="auto"/>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二、技术要求</w:t>
      </w:r>
    </w:p>
    <w:p>
      <w:pPr>
        <w:spacing w:line="360" w:lineRule="auto"/>
        <w:ind w:firstLine="480" w:firstLineChars="200"/>
        <w:outlineLvl w:val="0"/>
        <w:rPr>
          <w:rFonts w:hint="eastAsia" w:ascii="宋体" w:hAnsi="宋体" w:eastAsia="宋体" w:cs="宋体"/>
          <w:sz w:val="24"/>
          <w:szCs w:val="24"/>
          <w:highlight w:val="none"/>
        </w:rPr>
      </w:pPr>
      <w:r>
        <w:rPr>
          <w:sz w:val="24"/>
          <w:highlight w:val="none"/>
        </w:rPr>
        <w:t>具体需求详见本部分项目需求书。</w:t>
      </w:r>
    </w:p>
    <w:p>
      <w:pPr>
        <w:keepNext w:val="0"/>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cs="宋体"/>
          <w:b w:val="0"/>
          <w:bCs w:val="0"/>
          <w:sz w:val="24"/>
          <w:szCs w:val="24"/>
          <w:highlight w:val="none"/>
          <w:lang w:eastAsia="zh-CN"/>
        </w:rPr>
        <w:t>三、</w:t>
      </w:r>
      <w:r>
        <w:rPr>
          <w:rFonts w:hint="eastAsia" w:ascii="宋体" w:hAnsi="宋体" w:eastAsia="宋体" w:cs="宋体"/>
          <w:b w:val="0"/>
          <w:bCs w:val="0"/>
          <w:sz w:val="24"/>
          <w:szCs w:val="24"/>
          <w:highlight w:val="none"/>
        </w:rPr>
        <w:t>根据《天津市财政局关于在政府采购活动中查询和使用信用记录及做好有关信用主体标识码登记工作的通知》（津财采（2016）27号）文件的规定，采购人、代理机构在项目评审过程中对供应商信用信息进行查询，对列入失信被执行人、重大税收违法案件当事人名单、政府采购严重违法失信行为记录名单的供应商，拒绝其参与政府采购活动。</w:t>
      </w:r>
    </w:p>
    <w:p>
      <w:pPr>
        <w:keepNext w:val="0"/>
        <w:keepLines w:val="0"/>
        <w:pageBreakBefore w:val="0"/>
        <w:widowControl/>
        <w:kinsoku/>
        <w:wordWrap/>
        <w:overflowPunct/>
        <w:topLinePunct w:val="0"/>
        <w:bidi w:val="0"/>
        <w:adjustRightInd w:val="0"/>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①</w:t>
      </w:r>
      <w:r>
        <w:rPr>
          <w:rFonts w:hint="eastAsia" w:ascii="宋体" w:hAnsi="宋体" w:eastAsia="宋体" w:cs="宋体"/>
          <w:b w:val="0"/>
          <w:bCs w:val="0"/>
          <w:sz w:val="24"/>
          <w:szCs w:val="24"/>
          <w:highlight w:val="none"/>
        </w:rPr>
        <w:t>信用信息的查询渠道包括“信用中国”网站（www.creditchina.gov.cn）和中国政府采购网（www.ccgp. gov.cn）。</w:t>
      </w:r>
    </w:p>
    <w:p>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②</w:t>
      </w:r>
      <w:r>
        <w:rPr>
          <w:rFonts w:hint="eastAsia" w:ascii="宋体" w:hAnsi="宋体" w:eastAsia="宋体" w:cs="宋体"/>
          <w:b w:val="0"/>
          <w:bCs w:val="0"/>
          <w:sz w:val="24"/>
          <w:szCs w:val="24"/>
          <w:highlight w:val="none"/>
        </w:rPr>
        <w:t>查询的截止时间为评标开始前。</w:t>
      </w:r>
    </w:p>
    <w:p>
      <w:pPr>
        <w:pStyle w:val="2"/>
        <w:keepNext w:val="0"/>
        <w:keepLines w:val="0"/>
        <w:pageBreakBefore w:val="0"/>
        <w:widowControl w:val="0"/>
        <w:kinsoku/>
        <w:wordWrap/>
        <w:overflowPunct/>
        <w:topLinePunct w:val="0"/>
        <w:bidi w:val="0"/>
        <w:snapToGrid w:val="0"/>
        <w:spacing w:line="360" w:lineRule="auto"/>
        <w:textAlignment w:val="auto"/>
        <w:rPr>
          <w:rFonts w:hint="eastAsia" w:ascii="宋体" w:hAnsi="宋体" w:eastAsia="宋体" w:cs="宋体"/>
          <w:sz w:val="24"/>
          <w:highlight w:val="none"/>
        </w:rPr>
      </w:pPr>
      <w:r>
        <w:rPr>
          <w:rFonts w:hint="eastAsia" w:ascii="宋体" w:hAnsi="宋体" w:cs="宋体"/>
          <w:sz w:val="24"/>
          <w:szCs w:val="24"/>
          <w:highlight w:val="none"/>
          <w:lang w:val="en-US" w:eastAsia="zh-CN"/>
        </w:rPr>
        <w:t>四</w:t>
      </w:r>
      <w:r>
        <w:rPr>
          <w:rFonts w:hint="eastAsia" w:ascii="宋体" w:hAnsi="宋体" w:eastAsia="宋体" w:cs="宋体"/>
          <w:sz w:val="24"/>
          <w:szCs w:val="24"/>
          <w:highlight w:val="none"/>
          <w:lang w:val="en-US"/>
        </w:rPr>
        <w:t>、评审因素及评标</w:t>
      </w:r>
      <w:r>
        <w:rPr>
          <w:rFonts w:hint="eastAsia" w:ascii="宋体" w:hAnsi="宋体" w:eastAsia="宋体" w:cs="宋体"/>
          <w:sz w:val="24"/>
          <w:highlight w:val="none"/>
        </w:rPr>
        <w:t>标准</w:t>
      </w:r>
    </w:p>
    <w:tbl>
      <w:tblPr>
        <w:tblStyle w:val="23"/>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26"/>
        <w:gridCol w:w="8078"/>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9260" w:type="dxa"/>
            <w:gridSpan w:val="3"/>
            <w:shd w:val="clear" w:color="auto" w:fill="auto"/>
            <w:vAlign w:val="center"/>
          </w:tcPr>
          <w:p>
            <w:pPr>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val="0"/>
                <w:bCs w:val="0"/>
                <w:sz w:val="24"/>
                <w:szCs w:val="24"/>
                <w:highlight w:val="none"/>
              </w:rPr>
              <w:t>第一部分</w:t>
            </w:r>
            <w:r>
              <w:rPr>
                <w:rFonts w:hint="eastAsia" w:ascii="宋体" w:hAnsi="宋体" w:eastAsia="宋体" w:cs="宋体"/>
                <w:b w:val="0"/>
                <w:bCs w:val="0"/>
                <w:sz w:val="24"/>
                <w:szCs w:val="24"/>
                <w:highlight w:val="none"/>
                <w:lang w:eastAsia="zh-CN"/>
              </w:rPr>
              <w:t xml:space="preserve">  </w:t>
            </w:r>
            <w:r>
              <w:rPr>
                <w:rFonts w:hint="eastAsia" w:ascii="宋体" w:hAnsi="宋体" w:cs="宋体"/>
                <w:b w:val="0"/>
                <w:bCs w:val="0"/>
                <w:sz w:val="24"/>
                <w:szCs w:val="24"/>
                <w:highlight w:val="none"/>
                <w:lang w:eastAsia="zh-CN"/>
              </w:rPr>
              <w:t>商务</w:t>
            </w:r>
            <w:r>
              <w:rPr>
                <w:rFonts w:hint="eastAsia" w:ascii="宋体" w:hAnsi="宋体" w:eastAsia="宋体" w:cs="宋体"/>
                <w:b w:val="0"/>
                <w:bCs w:val="0"/>
                <w:sz w:val="24"/>
                <w:szCs w:val="24"/>
                <w:highlight w:val="none"/>
                <w:lang w:eastAsia="zh-CN"/>
              </w:rPr>
              <w:t>分</w:t>
            </w:r>
            <w:r>
              <w:rPr>
                <w:rFonts w:hint="eastAsia" w:ascii="宋体" w:hAnsi="宋体" w:eastAsia="宋体" w:cs="宋体"/>
                <w:b w:val="0"/>
                <w:bCs w:val="0"/>
                <w:sz w:val="24"/>
                <w:szCs w:val="24"/>
                <w:highlight w:val="none"/>
              </w:rPr>
              <w:t>（10分）</w:t>
            </w:r>
          </w:p>
        </w:tc>
        <w:tc>
          <w:tcPr>
            <w:tcW w:w="1000" w:type="dxa"/>
            <w:shd w:val="clear" w:color="auto" w:fill="auto"/>
            <w:vAlign w:val="center"/>
          </w:tcPr>
          <w:p>
            <w:pPr>
              <w:snapToGrid w:val="0"/>
              <w:spacing w:line="24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56" w:type="dxa"/>
            <w:shd w:val="clear" w:color="auto" w:fill="auto"/>
            <w:noWrap/>
            <w:vAlign w:val="center"/>
          </w:tcPr>
          <w:p>
            <w:pPr>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sz w:val="24"/>
                <w:szCs w:val="24"/>
                <w:highlight w:val="none"/>
              </w:rPr>
              <w:t>1</w:t>
            </w:r>
          </w:p>
        </w:tc>
        <w:tc>
          <w:tcPr>
            <w:tcW w:w="726" w:type="dxa"/>
            <w:shd w:val="clear" w:color="auto" w:fill="auto"/>
            <w:vAlign w:val="center"/>
          </w:tcPr>
          <w:p>
            <w:pPr>
              <w:snapToGrid w:val="0"/>
              <w:spacing w:line="24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auto"/>
                <w:sz w:val="24"/>
                <w:szCs w:val="24"/>
                <w:highlight w:val="none"/>
              </w:rPr>
              <w:t>价格</w:t>
            </w:r>
            <w:r>
              <w:rPr>
                <w:rFonts w:hint="eastAsia" w:ascii="宋体" w:hAnsi="宋体" w:cs="宋体"/>
                <w:color w:val="auto"/>
                <w:sz w:val="24"/>
                <w:szCs w:val="24"/>
                <w:highlight w:val="none"/>
                <w:lang w:eastAsia="zh-CN"/>
              </w:rPr>
              <w:t>评审</w:t>
            </w:r>
          </w:p>
        </w:tc>
        <w:tc>
          <w:tcPr>
            <w:tcW w:w="8078" w:type="dxa"/>
            <w:shd w:val="clear" w:color="auto" w:fill="auto"/>
            <w:vAlign w:val="center"/>
          </w:tcPr>
          <w:p>
            <w:pPr>
              <w:keepNext w:val="0"/>
              <w:keepLines w:val="0"/>
              <w:pageBreakBefore w:val="0"/>
              <w:kinsoku/>
              <w:wordWrap/>
              <w:overflowPunct/>
              <w:topLinePunct w:val="0"/>
              <w:bidi w:val="0"/>
              <w:snapToGrid w:val="0"/>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有效最低评审价=投标报价*（1-X）</w:t>
            </w:r>
          </w:p>
          <w:p>
            <w:pPr>
              <w:keepNext w:val="0"/>
              <w:keepLines w:val="0"/>
              <w:pageBreakBefore w:val="0"/>
              <w:kinsoku/>
              <w:wordWrap/>
              <w:overflowPunct/>
              <w:topLinePunct w:val="0"/>
              <w:bidi w:val="0"/>
              <w:snapToGrid w:val="0"/>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小型和微型企业：X=</w:t>
            </w:r>
            <w:r>
              <w:rPr>
                <w:rFonts w:hint="eastAsia" w:ascii="宋体" w:hAnsi="宋体" w:cs="宋体"/>
                <w:sz w:val="24"/>
                <w:szCs w:val="24"/>
                <w:highlight w:val="none"/>
                <w:lang w:val="en-US" w:eastAsia="zh-CN"/>
              </w:rPr>
              <w:t>20%</w:t>
            </w:r>
            <w:r>
              <w:rPr>
                <w:rFonts w:hint="eastAsia" w:ascii="宋体" w:hAnsi="宋体" w:eastAsia="宋体" w:cs="宋体"/>
                <w:sz w:val="24"/>
                <w:szCs w:val="24"/>
                <w:highlight w:val="none"/>
              </w:rPr>
              <w:t>；非小型和微型企业:X=0；</w:t>
            </w:r>
          </w:p>
          <w:p>
            <w:pPr>
              <w:keepNext w:val="0"/>
              <w:keepLines w:val="0"/>
              <w:pageBreakBefore w:val="0"/>
              <w:kinsoku/>
              <w:wordWrap/>
              <w:overflowPunct/>
              <w:topLinePunct w:val="0"/>
              <w:bidi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报价完整且最低得分为</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分；</w:t>
            </w:r>
          </w:p>
          <w:p>
            <w:pPr>
              <w:keepNext w:val="0"/>
              <w:keepLines w:val="0"/>
              <w:pageBreakBefore w:val="0"/>
              <w:kinsoku/>
              <w:wordWrap/>
              <w:overflowPunct/>
              <w:topLinePunct w:val="0"/>
              <w:bidi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报价部分评分分值计算方法为：</w:t>
            </w:r>
          </w:p>
          <w:p>
            <w:pPr>
              <w:keepNext w:val="0"/>
              <w:keepLines w:val="0"/>
              <w:pageBreakBefore w:val="0"/>
              <w:kinsoku/>
              <w:wordWrap/>
              <w:overflowPunct/>
              <w:topLinePunct w:val="0"/>
              <w:bidi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有效投标报价得分（保留小数点后两位）：A=</w:t>
            </w:r>
            <w:r>
              <w:rPr>
                <w:rFonts w:hint="eastAsia" w:ascii="宋体" w:hAnsi="宋体" w:cs="宋体"/>
                <w:sz w:val="24"/>
                <w:szCs w:val="24"/>
                <w:highlight w:val="none"/>
                <w:lang w:val="en-US" w:eastAsia="zh-CN"/>
              </w:rPr>
              <w:t>10</w:t>
            </w:r>
            <w:r>
              <w:rPr>
                <w:rFonts w:hint="eastAsia" w:ascii="宋体" w:hAnsi="宋体" w:eastAsia="宋体" w:cs="宋体"/>
                <w:sz w:val="24"/>
                <w:szCs w:val="24"/>
                <w:highlight w:val="none"/>
              </w:rPr>
              <w:t>*L/B ；</w:t>
            </w:r>
          </w:p>
          <w:p>
            <w:pPr>
              <w:keepNext w:val="0"/>
              <w:keepLines w:val="0"/>
              <w:pageBreakBefore w:val="0"/>
              <w:kinsoku/>
              <w:wordWrap/>
              <w:overflowPunct/>
              <w:topLinePunct w:val="0"/>
              <w:bidi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注：①</w:t>
            </w:r>
            <w:r>
              <w:rPr>
                <w:rFonts w:hint="eastAsia" w:ascii="宋体" w:hAnsi="宋体" w:eastAsia="宋体" w:cs="宋体"/>
                <w:sz w:val="24"/>
                <w:szCs w:val="24"/>
                <w:highlight w:val="none"/>
              </w:rPr>
              <w:t>A：得分； B：有效评审价；L：有效最低评审价。</w:t>
            </w:r>
          </w:p>
          <w:p>
            <w:pPr>
              <w:keepNext w:val="0"/>
              <w:keepLines w:val="0"/>
              <w:pageBreakBefore w:val="0"/>
              <w:kinsoku/>
              <w:wordWrap/>
              <w:overflowPunct/>
              <w:topLinePunct w:val="0"/>
              <w:bidi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②</w:t>
            </w:r>
            <w:r>
              <w:rPr>
                <w:rFonts w:hint="eastAsia" w:ascii="宋体" w:hAnsi="宋体" w:eastAsia="宋体" w:cs="宋体"/>
                <w:sz w:val="24"/>
                <w:szCs w:val="24"/>
                <w:highlight w:val="none"/>
              </w:rPr>
              <w:t>打分分值保留小数点后两位，第三位小数四舍五入。</w:t>
            </w:r>
          </w:p>
          <w:p>
            <w:pPr>
              <w:keepNext w:val="0"/>
              <w:keepLines w:val="0"/>
              <w:pageBreakBefore w:val="0"/>
              <w:kinsoku/>
              <w:wordWrap/>
              <w:overflowPunct/>
              <w:topLinePunct w:val="0"/>
              <w:bidi w:val="0"/>
              <w:snapToGrid w:val="0"/>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③</w:t>
            </w:r>
            <w:r>
              <w:rPr>
                <w:rFonts w:hint="eastAsia" w:ascii="宋体" w:hAnsi="宋体" w:eastAsia="宋体" w:cs="宋体"/>
                <w:sz w:val="24"/>
                <w:szCs w:val="24"/>
                <w:highlight w:val="none"/>
              </w:rPr>
              <w:t>投标报价超过采购预算的，投标无效。</w:t>
            </w:r>
          </w:p>
          <w:p>
            <w:pPr>
              <w:snapToGrid w:val="0"/>
              <w:spacing w:line="240" w:lineRule="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lang w:val="en-US" w:eastAsia="zh-CN"/>
              </w:rPr>
              <w:t>④</w:t>
            </w:r>
            <w:r>
              <w:rPr>
                <w:rFonts w:hint="eastAsia" w:ascii="宋体" w:hAnsi="宋体" w:eastAsia="宋体" w:cs="宋体"/>
                <w:sz w:val="24"/>
                <w:szCs w:val="24"/>
                <w:highlight w:val="none"/>
              </w:rPr>
              <w:t>评标过程中，不得去掉报价中的最高报价和最低报价</w:t>
            </w:r>
            <w:r>
              <w:rPr>
                <w:rFonts w:hint="eastAsia" w:ascii="宋体" w:hAnsi="宋体" w:eastAsia="宋体" w:cs="宋体"/>
                <w:sz w:val="24"/>
                <w:szCs w:val="24"/>
                <w:highlight w:val="none"/>
                <w:lang w:eastAsia="zh-CN"/>
              </w:rPr>
              <w:t>。</w:t>
            </w:r>
          </w:p>
        </w:tc>
        <w:tc>
          <w:tcPr>
            <w:tcW w:w="1000" w:type="dxa"/>
            <w:shd w:val="clear" w:color="auto" w:fill="auto"/>
            <w:vAlign w:val="center"/>
          </w:tcPr>
          <w:p>
            <w:pPr>
              <w:snapToGrid w:val="0"/>
              <w:spacing w:line="240" w:lineRule="auto"/>
              <w:jc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260" w:type="dxa"/>
            <w:gridSpan w:val="3"/>
            <w:shd w:val="clear" w:color="auto" w:fill="auto"/>
            <w:noWrap/>
            <w:vAlign w:val="center"/>
          </w:tcPr>
          <w:p>
            <w:pPr>
              <w:snapToGrid w:val="0"/>
              <w:spacing w:line="24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第二部分</w:t>
            </w:r>
            <w:r>
              <w:rPr>
                <w:rFonts w:hint="eastAsia" w:ascii="宋体" w:hAnsi="宋体" w:eastAsia="宋体" w:cs="宋体"/>
                <w:b w:val="0"/>
                <w:bCs w:val="0"/>
                <w:sz w:val="24"/>
                <w:szCs w:val="24"/>
                <w:highlight w:val="none"/>
                <w:lang w:val="en-US" w:eastAsia="zh-CN"/>
              </w:rPr>
              <w:t xml:space="preserve">  资信分</w:t>
            </w:r>
            <w:r>
              <w:rPr>
                <w:rFonts w:hint="eastAsia" w:ascii="宋体" w:hAnsi="宋体" w:eastAsia="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25</w:t>
            </w:r>
            <w:r>
              <w:rPr>
                <w:rFonts w:hint="eastAsia" w:ascii="宋体" w:hAnsi="宋体" w:eastAsia="宋体" w:cs="宋体"/>
                <w:b w:val="0"/>
                <w:bCs w:val="0"/>
                <w:sz w:val="24"/>
                <w:szCs w:val="24"/>
                <w:highlight w:val="none"/>
                <w:lang w:eastAsia="zh-CN"/>
              </w:rPr>
              <w:t>分）</w:t>
            </w:r>
          </w:p>
        </w:tc>
        <w:tc>
          <w:tcPr>
            <w:tcW w:w="1000" w:type="dxa"/>
            <w:shd w:val="clear" w:color="auto" w:fill="auto"/>
            <w:vAlign w:val="center"/>
          </w:tcPr>
          <w:p>
            <w:pPr>
              <w:snapToGrid w:val="0"/>
              <w:spacing w:line="240" w:lineRule="auto"/>
              <w:jc w:val="center"/>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456" w:type="dxa"/>
            <w:shd w:val="clear" w:color="auto" w:fill="auto"/>
            <w:noWrap/>
            <w:vAlign w:val="center"/>
          </w:tcPr>
          <w:p>
            <w:pPr>
              <w:snapToGrid w:val="0"/>
              <w:spacing w:line="24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rPr>
              <w:t>1</w:t>
            </w:r>
          </w:p>
        </w:tc>
        <w:tc>
          <w:tcPr>
            <w:tcW w:w="726" w:type="dxa"/>
            <w:shd w:val="clear" w:color="auto" w:fill="auto"/>
            <w:vAlign w:val="center"/>
          </w:tcPr>
          <w:p>
            <w:pPr>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val="0"/>
                <w:bCs w:val="0"/>
                <w:sz w:val="24"/>
                <w:szCs w:val="24"/>
                <w:highlight w:val="none"/>
                <w:lang w:val="zh-TW" w:eastAsia="zh-CN"/>
              </w:rPr>
              <w:t>投标人</w:t>
            </w:r>
            <w:r>
              <w:rPr>
                <w:rFonts w:hint="eastAsia" w:ascii="宋体" w:hAnsi="宋体" w:eastAsia="宋体" w:cs="宋体"/>
                <w:b w:val="0"/>
                <w:bCs w:val="0"/>
                <w:sz w:val="24"/>
                <w:szCs w:val="24"/>
                <w:highlight w:val="none"/>
                <w:lang w:val="en-US" w:eastAsia="zh-CN"/>
              </w:rPr>
              <w:t>能力评价</w:t>
            </w:r>
          </w:p>
        </w:tc>
        <w:tc>
          <w:tcPr>
            <w:tcW w:w="8078" w:type="dxa"/>
            <w:shd w:val="clear" w:color="auto" w:fill="auto"/>
            <w:vAlign w:val="center"/>
          </w:tcPr>
          <w:p>
            <w:pPr>
              <w:snapToGrid w:val="0"/>
              <w:spacing w:line="240" w:lineRule="auto"/>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zh-TW" w:eastAsia="zh-CN"/>
              </w:rPr>
              <w:t>完全按照以下要求提供20</w:t>
            </w:r>
            <w:r>
              <w:rPr>
                <w:rFonts w:hint="eastAsia" w:ascii="宋体" w:hAnsi="宋体" w:cs="宋体"/>
                <w:b w:val="0"/>
                <w:bCs w:val="0"/>
                <w:sz w:val="24"/>
                <w:szCs w:val="24"/>
                <w:highlight w:val="none"/>
                <w:lang w:val="en-US" w:eastAsia="zh-CN"/>
              </w:rPr>
              <w:t>20</w:t>
            </w:r>
            <w:r>
              <w:rPr>
                <w:rFonts w:hint="eastAsia" w:ascii="宋体" w:hAnsi="宋体" w:eastAsia="宋体" w:cs="宋体"/>
                <w:b w:val="0"/>
                <w:bCs w:val="0"/>
                <w:sz w:val="24"/>
                <w:szCs w:val="24"/>
                <w:highlight w:val="none"/>
                <w:lang w:val="zh-TW" w:eastAsia="zh-CN"/>
              </w:rPr>
              <w:t>年至今与本项目相当且已完成的成功案例，并附相关证明资料，否则不予认定加分，证明资料要求如下：</w:t>
            </w:r>
          </w:p>
          <w:p>
            <w:pPr>
              <w:snapToGrid w:val="0"/>
              <w:spacing w:line="240" w:lineRule="auto"/>
              <w:jc w:val="left"/>
              <w:rPr>
                <w:rFonts w:hint="eastAsia" w:ascii="宋体" w:hAnsi="宋体" w:eastAsia="宋体" w:cs="宋体"/>
                <w:b w:val="0"/>
                <w:bCs w:val="0"/>
                <w:sz w:val="24"/>
                <w:szCs w:val="24"/>
                <w:highlight w:val="none"/>
                <w:lang w:val="zh-TW" w:eastAsia="zh-CN"/>
              </w:rPr>
            </w:pPr>
            <w:r>
              <w:rPr>
                <w:rFonts w:hint="eastAsia" w:ascii="宋体" w:hAnsi="宋体" w:eastAsia="宋体" w:cs="宋体"/>
                <w:b w:val="0"/>
                <w:bCs w:val="0"/>
                <w:sz w:val="24"/>
                <w:szCs w:val="24"/>
                <w:highlight w:val="none"/>
                <w:lang w:val="zh-TW" w:eastAsia="zh-CN"/>
              </w:rPr>
              <w:t>（1）合同复印件。包括合同金额、合同双方名称及盖章；</w:t>
            </w:r>
          </w:p>
          <w:p>
            <w:pPr>
              <w:snapToGrid w:val="0"/>
              <w:spacing w:line="240" w:lineRule="auto"/>
              <w:jc w:val="left"/>
              <w:rPr>
                <w:rFonts w:hint="eastAsia" w:ascii="宋体" w:hAnsi="宋体" w:eastAsia="宋体" w:cs="宋体"/>
                <w:b w:val="0"/>
                <w:bCs w:val="0"/>
                <w:sz w:val="24"/>
                <w:szCs w:val="24"/>
                <w:highlight w:val="none"/>
                <w:lang w:val="zh-TW" w:eastAsia="zh-CN"/>
              </w:rPr>
            </w:pPr>
            <w:r>
              <w:rPr>
                <w:rFonts w:hint="eastAsia" w:ascii="宋体" w:hAnsi="宋体" w:eastAsia="宋体" w:cs="宋体"/>
                <w:b w:val="0"/>
                <w:bCs w:val="0"/>
                <w:sz w:val="24"/>
                <w:szCs w:val="24"/>
                <w:highlight w:val="none"/>
                <w:lang w:val="zh-TW" w:eastAsia="zh-CN"/>
              </w:rPr>
              <w:t>（2）验收报告复印件；</w:t>
            </w:r>
          </w:p>
          <w:p>
            <w:pPr>
              <w:snapToGrid w:val="0"/>
              <w:spacing w:line="240" w:lineRule="auto"/>
              <w:jc w:val="left"/>
              <w:rPr>
                <w:rFonts w:hint="eastAsia" w:ascii="宋体" w:hAnsi="宋体" w:eastAsia="宋体" w:cs="宋体"/>
                <w:b w:val="0"/>
                <w:bCs w:val="0"/>
                <w:sz w:val="24"/>
                <w:szCs w:val="24"/>
                <w:highlight w:val="none"/>
                <w:lang w:val="zh-TW" w:eastAsia="zh-CN"/>
              </w:rPr>
            </w:pPr>
            <w:r>
              <w:rPr>
                <w:rFonts w:hint="eastAsia" w:ascii="宋体" w:hAnsi="宋体" w:eastAsia="宋体" w:cs="宋体"/>
                <w:b w:val="0"/>
                <w:bCs w:val="0"/>
                <w:sz w:val="24"/>
                <w:szCs w:val="24"/>
                <w:highlight w:val="none"/>
                <w:lang w:val="zh-TW" w:eastAsia="zh-CN"/>
              </w:rPr>
              <w:t>（3）用户出具的成功履行合同的相关证明材料；</w:t>
            </w:r>
          </w:p>
          <w:p>
            <w:pPr>
              <w:snapToGrid w:val="0"/>
              <w:spacing w:line="240" w:lineRule="auto"/>
              <w:jc w:val="left"/>
              <w:rPr>
                <w:rFonts w:hint="eastAsia" w:ascii="宋体" w:hAnsi="宋体" w:eastAsia="宋体" w:cs="宋体"/>
                <w:b w:val="0"/>
                <w:bCs w:val="0"/>
                <w:sz w:val="24"/>
                <w:szCs w:val="24"/>
                <w:highlight w:val="none"/>
                <w:lang w:val="zh-TW" w:eastAsia="zh-CN"/>
              </w:rPr>
            </w:pPr>
            <w:r>
              <w:rPr>
                <w:rFonts w:hint="eastAsia" w:ascii="宋体" w:hAnsi="宋体" w:eastAsia="宋体" w:cs="宋体"/>
                <w:b w:val="0"/>
                <w:bCs w:val="0"/>
                <w:sz w:val="24"/>
                <w:szCs w:val="24"/>
                <w:highlight w:val="none"/>
                <w:lang w:val="zh-TW" w:eastAsia="zh-CN"/>
              </w:rPr>
              <w:t>（4）第（2）、（3）项可提供任意一项。</w:t>
            </w:r>
          </w:p>
          <w:p>
            <w:pPr>
              <w:snapToGrid w:val="0"/>
              <w:spacing w:line="240" w:lineRule="auto"/>
              <w:jc w:val="left"/>
              <w:rPr>
                <w:rFonts w:hint="eastAsia"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sz w:val="24"/>
                <w:szCs w:val="24"/>
                <w:highlight w:val="none"/>
                <w:lang w:val="en-US" w:eastAsia="zh-CN"/>
              </w:rPr>
              <w:t>每提供一个案例得2分，本项最高得8分，最低得0分。</w:t>
            </w:r>
          </w:p>
        </w:tc>
        <w:tc>
          <w:tcPr>
            <w:tcW w:w="1000" w:type="dxa"/>
            <w:shd w:val="clear" w:color="auto" w:fill="auto"/>
            <w:vAlign w:val="center"/>
          </w:tcPr>
          <w:p>
            <w:pPr>
              <w:snapToGrid w:val="0"/>
              <w:spacing w:line="240" w:lineRule="auto"/>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456" w:type="dxa"/>
            <w:shd w:val="clear" w:color="auto" w:fill="auto"/>
            <w:noWrap/>
            <w:vAlign w:val="center"/>
          </w:tcPr>
          <w:p>
            <w:pPr>
              <w:snapToGrid w:val="0"/>
              <w:spacing w:line="24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lang w:val="en-US" w:eastAsia="zh-CN"/>
              </w:rPr>
              <w:t>2</w:t>
            </w:r>
          </w:p>
        </w:tc>
        <w:tc>
          <w:tcPr>
            <w:tcW w:w="726" w:type="dxa"/>
            <w:shd w:val="clear" w:color="auto" w:fill="auto"/>
            <w:vAlign w:val="center"/>
          </w:tcPr>
          <w:p>
            <w:pPr>
              <w:snapToGrid w:val="0"/>
              <w:spacing w:line="24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b w:val="0"/>
                <w:bCs w:val="0"/>
                <w:sz w:val="24"/>
                <w:szCs w:val="24"/>
                <w:highlight w:val="none"/>
                <w:lang w:val="zh-TW" w:eastAsia="zh-CN"/>
              </w:rPr>
              <w:t>人员配备评价</w:t>
            </w:r>
          </w:p>
        </w:tc>
        <w:tc>
          <w:tcPr>
            <w:tcW w:w="8078" w:type="dxa"/>
            <w:shd w:val="clear" w:color="auto" w:fill="auto"/>
            <w:vAlign w:val="center"/>
          </w:tcPr>
          <w:p>
            <w:pPr>
              <w:snapToGrid w:val="0"/>
              <w:spacing w:line="240" w:lineRule="auto"/>
              <w:jc w:val="left"/>
              <w:rPr>
                <w:rFonts w:hint="eastAsia" w:ascii="宋体" w:hAnsi="宋体" w:cs="宋体"/>
                <w:b w:val="0"/>
                <w:bCs w:val="0"/>
                <w:sz w:val="24"/>
                <w:szCs w:val="24"/>
                <w:highlight w:val="none"/>
                <w:lang w:val="zh-TW" w:eastAsia="zh-CN"/>
              </w:rPr>
            </w:pPr>
            <w:r>
              <w:rPr>
                <w:rFonts w:hint="eastAsia" w:ascii="宋体" w:hAnsi="宋体" w:eastAsia="宋体" w:cs="宋体"/>
                <w:b w:val="0"/>
                <w:bCs w:val="0"/>
                <w:sz w:val="24"/>
                <w:szCs w:val="24"/>
                <w:highlight w:val="none"/>
                <w:lang w:val="zh-TW" w:eastAsia="zh-CN"/>
              </w:rPr>
              <w:t>为本项目配备的人员中具备相关专业高级职称的，须提供职称证复印件并加盖投标人单位公章，每提供一名得</w:t>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lang w:val="zh-TW" w:eastAsia="zh-CN"/>
              </w:rPr>
              <w:t>分</w:t>
            </w:r>
            <w:r>
              <w:rPr>
                <w:rFonts w:hint="eastAsia" w:ascii="宋体" w:hAnsi="宋体" w:cs="宋体"/>
                <w:b w:val="0"/>
                <w:bCs w:val="0"/>
                <w:sz w:val="24"/>
                <w:szCs w:val="24"/>
                <w:highlight w:val="none"/>
                <w:lang w:val="zh-TW" w:eastAsia="zh-CN"/>
              </w:rPr>
              <w:t>。</w:t>
            </w:r>
          </w:p>
          <w:p>
            <w:pPr>
              <w:snapToGrid w:val="0"/>
              <w:spacing w:line="24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val="0"/>
                <w:bCs w:val="0"/>
                <w:sz w:val="24"/>
                <w:szCs w:val="24"/>
                <w:highlight w:val="none"/>
                <w:lang w:val="zh-TW" w:eastAsia="zh-CN"/>
              </w:rPr>
              <w:t>本项最高得</w:t>
            </w: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lang w:val="zh-TW" w:eastAsia="zh-CN"/>
              </w:rPr>
              <w:t>分，最低得0分。</w:t>
            </w:r>
          </w:p>
        </w:tc>
        <w:tc>
          <w:tcPr>
            <w:tcW w:w="100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80" w:lineRule="exact"/>
              <w:ind w:firstLine="0" w:firstLineChars="0"/>
              <w:jc w:val="center"/>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456"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80" w:lineRule="exact"/>
              <w:ind w:firstLine="0" w:firstLineChars="0"/>
              <w:jc w:val="center"/>
              <w:textAlignment w:val="auto"/>
              <w:outlineLvl w:val="9"/>
              <w:rPr>
                <w:rFonts w:hint="default"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3</w:t>
            </w:r>
          </w:p>
        </w:tc>
        <w:tc>
          <w:tcPr>
            <w:tcW w:w="72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80" w:lineRule="exact"/>
              <w:ind w:firstLine="0" w:firstLineChars="0"/>
              <w:jc w:val="center"/>
              <w:textAlignment w:val="auto"/>
              <w:outlineLvl w:val="9"/>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sz w:val="24"/>
                <w:szCs w:val="24"/>
                <w:highlight w:val="none"/>
                <w:lang w:val="en-US" w:eastAsia="zh-CN"/>
              </w:rPr>
              <w:t>投标人</w:t>
            </w:r>
            <w:r>
              <w:rPr>
                <w:rFonts w:hint="eastAsia" w:ascii="宋体" w:hAnsi="宋体" w:eastAsia="宋体" w:cs="宋体"/>
                <w:sz w:val="24"/>
                <w:szCs w:val="24"/>
                <w:highlight w:val="none"/>
                <w:lang w:val="en-US" w:eastAsia="zh-CN"/>
              </w:rPr>
              <w:t>实施能力评价</w:t>
            </w:r>
          </w:p>
        </w:tc>
        <w:tc>
          <w:tcPr>
            <w:tcW w:w="807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80" w:lineRule="exact"/>
              <w:ind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投标人为检测仪器或试剂生产制造商的，得2分，满分2分。</w:t>
            </w:r>
          </w:p>
          <w:p>
            <w:pPr>
              <w:keepNext w:val="0"/>
              <w:keepLines w:val="0"/>
              <w:pageBreakBefore w:val="0"/>
              <w:widowControl/>
              <w:kinsoku/>
              <w:wordWrap/>
              <w:overflowPunct/>
              <w:topLinePunct w:val="0"/>
              <w:autoSpaceDE/>
              <w:autoSpaceDN/>
              <w:bidi w:val="0"/>
              <w:adjustRightInd/>
              <w:snapToGrid w:val="0"/>
              <w:spacing w:line="380" w:lineRule="exact"/>
              <w:ind w:firstLine="0" w:firstLineChars="0"/>
              <w:textAlignment w:val="auto"/>
              <w:outlineLvl w:val="9"/>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auto"/>
                <w:sz w:val="24"/>
                <w:szCs w:val="24"/>
                <w:highlight w:val="none"/>
                <w:lang w:val="en-US" w:eastAsia="zh-CN"/>
              </w:rPr>
              <w:t>需同时提供营业执照、生产能力证明材料（包括不限于销售合同、服务合同等），不提供的，不得分。</w:t>
            </w:r>
          </w:p>
        </w:tc>
        <w:tc>
          <w:tcPr>
            <w:tcW w:w="100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80" w:lineRule="exact"/>
              <w:ind w:firstLine="0" w:firstLineChars="0"/>
              <w:jc w:val="center"/>
              <w:textAlignment w:val="auto"/>
              <w:outlineLvl w:val="9"/>
              <w:rPr>
                <w:rFonts w:hint="default"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45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80" w:lineRule="exact"/>
              <w:ind w:firstLine="0" w:firstLineChars="0"/>
              <w:jc w:val="center"/>
              <w:textAlignment w:val="auto"/>
              <w:outlineLvl w:val="9"/>
              <w:rPr>
                <w:rFonts w:hint="eastAsia" w:ascii="宋体" w:hAnsi="宋体" w:cs="宋体"/>
                <w:color w:val="000000" w:themeColor="text1"/>
                <w:kern w:val="0"/>
                <w:sz w:val="24"/>
                <w:szCs w:val="24"/>
                <w:highlight w:val="none"/>
                <w:lang w:val="en-US" w:eastAsia="zh-CN"/>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80" w:lineRule="exact"/>
              <w:ind w:firstLine="0" w:firstLineChars="0"/>
              <w:jc w:val="center"/>
              <w:textAlignment w:val="auto"/>
              <w:outlineLvl w:val="9"/>
              <w:rPr>
                <w:rFonts w:hint="eastAsia" w:ascii="宋体" w:hAnsi="宋体" w:cs="宋体"/>
                <w:color w:val="000000" w:themeColor="text1"/>
                <w:kern w:val="0"/>
                <w:sz w:val="24"/>
                <w:szCs w:val="24"/>
                <w:highlight w:val="none"/>
                <w:lang w:val="en-US" w:eastAsia="zh-CN"/>
                <w14:textFill>
                  <w14:solidFill>
                    <w14:schemeClr w14:val="tx1"/>
                  </w14:solidFill>
                </w14:textFill>
              </w:rPr>
            </w:pPr>
          </w:p>
        </w:tc>
        <w:tc>
          <w:tcPr>
            <w:tcW w:w="807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投标人具有食用农产品检验检测相关的发明专利证书，提供相关证明材料复印件并加盖投标人单位公章，每提供一份得1分。</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textAlignment w:val="auto"/>
              <w:outlineLvl w:val="9"/>
              <w:rPr>
                <w:rFonts w:hint="eastAsia"/>
                <w:lang w:val="en-US" w:eastAsia="zh-CN"/>
              </w:rPr>
            </w:pPr>
            <w:r>
              <w:rPr>
                <w:rFonts w:hint="eastAsia" w:ascii="宋体" w:hAnsi="宋体" w:eastAsia="宋体" w:cs="宋体"/>
                <w:color w:val="auto"/>
                <w:sz w:val="24"/>
                <w:szCs w:val="24"/>
                <w:highlight w:val="none"/>
                <w:lang w:val="en-US" w:eastAsia="zh-CN"/>
              </w:rPr>
              <w:t>本项最高得3分，最低得0分。</w:t>
            </w:r>
          </w:p>
        </w:tc>
        <w:tc>
          <w:tcPr>
            <w:tcW w:w="1000" w:type="dxa"/>
            <w:shd w:val="clear" w:color="auto" w:fill="auto"/>
            <w:vAlign w:val="center"/>
          </w:tcPr>
          <w:p>
            <w:pPr>
              <w:snapToGrid w:val="0"/>
              <w:spacing w:line="380" w:lineRule="exact"/>
              <w:jc w:val="center"/>
              <w:rPr>
                <w:rFonts w:hint="default"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45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80" w:lineRule="exact"/>
              <w:ind w:firstLine="0" w:firstLineChars="0"/>
              <w:jc w:val="center"/>
              <w:textAlignment w:val="auto"/>
              <w:outlineLvl w:val="9"/>
              <w:rPr>
                <w:rFonts w:hint="eastAsia" w:ascii="宋体" w:hAnsi="宋体" w:cs="宋体"/>
                <w:color w:val="000000" w:themeColor="text1"/>
                <w:kern w:val="0"/>
                <w:sz w:val="24"/>
                <w:szCs w:val="24"/>
                <w:highlight w:val="none"/>
                <w:lang w:val="en-US" w:eastAsia="zh-CN"/>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80" w:lineRule="exact"/>
              <w:ind w:firstLine="0" w:firstLineChars="0"/>
              <w:jc w:val="center"/>
              <w:textAlignment w:val="auto"/>
              <w:outlineLvl w:val="9"/>
              <w:rPr>
                <w:rFonts w:hint="eastAsia" w:ascii="宋体" w:hAnsi="宋体" w:cs="宋体"/>
                <w:color w:val="000000" w:themeColor="text1"/>
                <w:kern w:val="0"/>
                <w:sz w:val="24"/>
                <w:szCs w:val="24"/>
                <w:highlight w:val="none"/>
                <w:lang w:val="en-US" w:eastAsia="zh-CN"/>
                <w14:textFill>
                  <w14:solidFill>
                    <w14:schemeClr w14:val="tx1"/>
                  </w14:solidFill>
                </w14:textFill>
              </w:rPr>
            </w:pPr>
          </w:p>
        </w:tc>
        <w:tc>
          <w:tcPr>
            <w:tcW w:w="8078" w:type="dxa"/>
            <w:shd w:val="clear" w:color="auto" w:fill="auto"/>
            <w:vAlign w:val="center"/>
          </w:tcPr>
          <w:p>
            <w:pPr>
              <w:pStyle w:val="9"/>
              <w:keepNext w:val="0"/>
              <w:keepLines w:val="0"/>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投标人承担过省级及以上的食品安全快检技术相关的科研课题及项目，投标文件中提供相关证明材料，提供一项的得1分。</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textAlignment w:val="auto"/>
              <w:outlineLvl w:val="9"/>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SA"/>
              </w:rPr>
              <w:t>本项最高得3分，最低得0分。</w:t>
            </w:r>
          </w:p>
        </w:tc>
        <w:tc>
          <w:tcPr>
            <w:tcW w:w="100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80" w:lineRule="exact"/>
              <w:ind w:firstLine="0" w:firstLineChars="0"/>
              <w:jc w:val="center"/>
              <w:textAlignment w:val="auto"/>
              <w:outlineLvl w:val="9"/>
              <w:rPr>
                <w:rFonts w:hint="default"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45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80" w:lineRule="exact"/>
              <w:ind w:firstLine="0" w:firstLineChars="0"/>
              <w:textAlignment w:val="auto"/>
              <w:outlineLvl w:val="9"/>
              <w:rPr>
                <w:rFonts w:hint="eastAsia" w:ascii="宋体" w:hAnsi="宋体" w:cs="宋体"/>
                <w:color w:val="000000" w:themeColor="text1"/>
                <w:kern w:val="0"/>
                <w:sz w:val="24"/>
                <w:szCs w:val="24"/>
                <w:highlight w:val="none"/>
                <w:lang w:val="en-US" w:eastAsia="zh-CN"/>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80" w:lineRule="exact"/>
              <w:ind w:firstLine="0" w:firstLineChars="0"/>
              <w:textAlignment w:val="auto"/>
              <w:outlineLvl w:val="9"/>
              <w:rPr>
                <w:rFonts w:hint="eastAsia" w:ascii="宋体" w:hAnsi="宋体" w:cs="宋体"/>
                <w:color w:val="000000" w:themeColor="text1"/>
                <w:kern w:val="0"/>
                <w:sz w:val="24"/>
                <w:szCs w:val="24"/>
                <w:highlight w:val="none"/>
                <w:lang w:val="en-US" w:eastAsia="zh-CN"/>
                <w14:textFill>
                  <w14:solidFill>
                    <w14:schemeClr w14:val="tx1"/>
                  </w14:solidFill>
                </w14:textFill>
              </w:rPr>
            </w:pPr>
          </w:p>
        </w:tc>
        <w:tc>
          <w:tcPr>
            <w:tcW w:w="8078"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60" w:lineRule="auto"/>
              <w:ind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荣获</w:t>
            </w:r>
            <w:r>
              <w:rPr>
                <w:rFonts w:hint="eastAsia" w:ascii="宋体" w:hAnsi="宋体" w:eastAsia="宋体" w:cs="宋体"/>
                <w:color w:val="auto"/>
                <w:sz w:val="24"/>
                <w:szCs w:val="24"/>
                <w:highlight w:val="none"/>
                <w:lang w:val="en-US" w:eastAsia="zh-CN"/>
              </w:rPr>
              <w:t>与食品检测相关的国家科学技术进步奖得1分；</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w:t>
            </w:r>
            <w:r>
              <w:rPr>
                <w:rFonts w:hint="eastAsia" w:ascii="宋体" w:hAnsi="宋体" w:cs="宋体"/>
                <w:color w:val="auto"/>
                <w:sz w:val="24"/>
                <w:szCs w:val="24"/>
                <w:highlight w:val="none"/>
                <w:lang w:val="en-US" w:eastAsia="zh-CN"/>
              </w:rPr>
              <w:t>荣获</w:t>
            </w:r>
            <w:r>
              <w:rPr>
                <w:rFonts w:hint="eastAsia" w:ascii="宋体" w:hAnsi="宋体" w:eastAsia="宋体" w:cs="宋体"/>
                <w:color w:val="auto"/>
                <w:sz w:val="24"/>
                <w:szCs w:val="24"/>
                <w:highlight w:val="none"/>
                <w:lang w:val="en-US" w:eastAsia="zh-CN"/>
              </w:rPr>
              <w:t>与食品检测相关的省级科学进步奖项得1分；</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textAlignment w:val="auto"/>
              <w:outlineLvl w:val="9"/>
              <w:rPr>
                <w:rFonts w:hint="default"/>
                <w:lang w:val="en-US" w:eastAsia="zh-CN"/>
              </w:rPr>
            </w:pPr>
            <w:r>
              <w:rPr>
                <w:rFonts w:hint="eastAsia" w:ascii="宋体" w:hAnsi="宋体" w:cs="宋体"/>
                <w:color w:val="auto"/>
                <w:sz w:val="24"/>
                <w:szCs w:val="24"/>
                <w:highlight w:val="none"/>
                <w:lang w:val="en-US" w:eastAsia="zh-CN"/>
              </w:rPr>
              <w:t>文件中提供证书复印件并加盖投标人单位公章，</w:t>
            </w:r>
            <w:r>
              <w:rPr>
                <w:rFonts w:hint="eastAsia" w:ascii="宋体" w:hAnsi="宋体" w:eastAsia="宋体" w:cs="宋体"/>
                <w:color w:val="auto"/>
                <w:sz w:val="24"/>
                <w:szCs w:val="24"/>
                <w:highlight w:val="none"/>
                <w:lang w:val="en-US" w:eastAsia="zh-CN"/>
              </w:rPr>
              <w:t>本项最高得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分，最低得0分</w:t>
            </w:r>
            <w:r>
              <w:rPr>
                <w:rFonts w:hint="eastAsia" w:ascii="宋体" w:hAnsi="宋体" w:cs="宋体"/>
                <w:color w:val="auto"/>
                <w:sz w:val="24"/>
                <w:szCs w:val="24"/>
                <w:highlight w:val="none"/>
                <w:lang w:val="en-US" w:eastAsia="zh-CN"/>
              </w:rPr>
              <w:t>。</w:t>
            </w:r>
          </w:p>
        </w:tc>
        <w:tc>
          <w:tcPr>
            <w:tcW w:w="1000" w:type="dxa"/>
            <w:shd w:val="clear" w:color="auto" w:fill="auto"/>
            <w:vAlign w:val="center"/>
          </w:tcPr>
          <w:p>
            <w:pPr>
              <w:snapToGrid w:val="0"/>
              <w:spacing w:line="380" w:lineRule="exact"/>
              <w:jc w:val="center"/>
              <w:rPr>
                <w:rFonts w:hint="default"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45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80" w:lineRule="exact"/>
              <w:ind w:firstLine="0" w:firstLineChars="0"/>
              <w:textAlignment w:val="auto"/>
              <w:outlineLvl w:val="9"/>
              <w:rPr>
                <w:rFonts w:hint="eastAsia" w:ascii="宋体" w:hAnsi="宋体" w:cs="宋体"/>
                <w:color w:val="000000" w:themeColor="text1"/>
                <w:kern w:val="0"/>
                <w:sz w:val="24"/>
                <w:szCs w:val="24"/>
                <w:highlight w:val="none"/>
                <w:lang w:val="en-US" w:eastAsia="zh-CN"/>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80" w:lineRule="exact"/>
              <w:ind w:firstLine="0" w:firstLineChars="0"/>
              <w:textAlignment w:val="auto"/>
              <w:outlineLvl w:val="9"/>
              <w:rPr>
                <w:rFonts w:hint="eastAsia" w:ascii="宋体" w:hAnsi="宋体" w:cs="宋体"/>
                <w:color w:val="000000" w:themeColor="text1"/>
                <w:kern w:val="0"/>
                <w:sz w:val="24"/>
                <w:szCs w:val="24"/>
                <w:highlight w:val="none"/>
                <w:lang w:val="en-US" w:eastAsia="zh-CN"/>
                <w14:textFill>
                  <w14:solidFill>
                    <w14:schemeClr w14:val="tx1"/>
                  </w14:solidFill>
                </w14:textFill>
              </w:rPr>
            </w:pPr>
          </w:p>
        </w:tc>
        <w:tc>
          <w:tcPr>
            <w:tcW w:w="8078" w:type="dxa"/>
            <w:shd w:val="clear" w:color="auto" w:fill="auto"/>
            <w:vAlign w:val="center"/>
          </w:tcPr>
          <w:p>
            <w:pPr>
              <w:keepNext w:val="0"/>
              <w:keepLines w:val="0"/>
              <w:pageBreakBefore w:val="0"/>
              <w:kinsoku/>
              <w:wordWrap/>
              <w:overflowPunct/>
              <w:topLinePunct w:val="0"/>
              <w:bidi w:val="0"/>
              <w:snapToGrid w:val="0"/>
              <w:spacing w:line="380" w:lineRule="exact"/>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投标人参加过国家级大型活动保障食品安全检测服务并获得书面肯定的，在投标文件中提供相关证明材料复印件。</w:t>
            </w:r>
          </w:p>
          <w:p>
            <w:pPr>
              <w:keepNext w:val="0"/>
              <w:keepLines w:val="0"/>
              <w:pageBreakBefore w:val="0"/>
              <w:kinsoku/>
              <w:wordWrap/>
              <w:overflowPunct/>
              <w:topLinePunct w:val="0"/>
              <w:bidi w:val="0"/>
              <w:snapToGrid w:val="0"/>
              <w:spacing w:line="380" w:lineRule="exact"/>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本项最高得2分，最低得0分。</w:t>
            </w:r>
          </w:p>
        </w:tc>
        <w:tc>
          <w:tcPr>
            <w:tcW w:w="1000" w:type="dxa"/>
            <w:shd w:val="clear" w:color="auto" w:fill="auto"/>
            <w:vAlign w:val="center"/>
          </w:tcPr>
          <w:p>
            <w:pPr>
              <w:snapToGrid w:val="0"/>
              <w:spacing w:line="380" w:lineRule="exact"/>
              <w:jc w:val="center"/>
              <w:rPr>
                <w:rFonts w:hint="default"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456"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80" w:lineRule="exact"/>
              <w:ind w:firstLine="0" w:firstLineChars="0"/>
              <w:textAlignment w:val="auto"/>
              <w:outlineLvl w:val="9"/>
              <w:rPr>
                <w:rFonts w:hint="eastAsia" w:ascii="宋体" w:hAnsi="宋体" w:cs="宋体"/>
                <w:color w:val="000000" w:themeColor="text1"/>
                <w:kern w:val="0"/>
                <w:sz w:val="24"/>
                <w:szCs w:val="24"/>
                <w:highlight w:val="none"/>
                <w:lang w:val="en-US" w:eastAsia="zh-CN"/>
                <w14:textFill>
                  <w14:solidFill>
                    <w14:schemeClr w14:val="tx1"/>
                  </w14:solidFill>
                </w14:textFill>
              </w:rPr>
            </w:pPr>
          </w:p>
        </w:tc>
        <w:tc>
          <w:tcPr>
            <w:tcW w:w="72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80" w:lineRule="exact"/>
              <w:ind w:firstLine="0" w:firstLineChars="0"/>
              <w:textAlignment w:val="auto"/>
              <w:outlineLvl w:val="9"/>
              <w:rPr>
                <w:rFonts w:hint="eastAsia" w:ascii="宋体" w:hAnsi="宋体" w:cs="宋体"/>
                <w:color w:val="000000" w:themeColor="text1"/>
                <w:kern w:val="0"/>
                <w:sz w:val="24"/>
                <w:szCs w:val="24"/>
                <w:highlight w:val="none"/>
                <w:lang w:val="en-US" w:eastAsia="zh-CN"/>
                <w14:textFill>
                  <w14:solidFill>
                    <w14:schemeClr w14:val="tx1"/>
                  </w14:solidFill>
                </w14:textFill>
              </w:rPr>
            </w:pPr>
          </w:p>
        </w:tc>
        <w:tc>
          <w:tcPr>
            <w:tcW w:w="8078" w:type="dxa"/>
            <w:shd w:val="clear" w:color="auto" w:fill="auto"/>
            <w:vAlign w:val="center"/>
          </w:tcPr>
          <w:p>
            <w:pPr>
              <w:keepNext w:val="0"/>
              <w:keepLines w:val="0"/>
              <w:pageBreakBefore w:val="0"/>
              <w:kinsoku/>
              <w:wordWrap/>
              <w:overflowPunct/>
              <w:topLinePunct w:val="0"/>
              <w:bidi w:val="0"/>
              <w:snapToGrid w:val="0"/>
              <w:spacing w:line="380" w:lineRule="exact"/>
              <w:ind w:firstLine="0"/>
              <w:textAlignment w:val="auto"/>
              <w:rPr>
                <w:rFonts w:hint="eastAsia" w:ascii="宋体" w:hAnsi="宋体" w:eastAsia="宋体" w:cs="宋体"/>
                <w:color w:val="auto"/>
                <w:sz w:val="24"/>
                <w:szCs w:val="24"/>
                <w:highlight w:val="none"/>
                <w:lang w:val="zh-TW" w:eastAsia="zh-CN"/>
              </w:rPr>
            </w:pPr>
            <w:r>
              <w:rPr>
                <w:rFonts w:hint="eastAsia" w:ascii="宋体" w:hAnsi="宋体" w:eastAsia="宋体" w:cs="宋体"/>
                <w:color w:val="auto"/>
                <w:sz w:val="24"/>
                <w:szCs w:val="24"/>
                <w:highlight w:val="none"/>
                <w:lang w:val="en-US" w:eastAsia="zh-CN"/>
              </w:rPr>
              <w:t>投标人所使用的食品安全快检试剂具有国家级权威机构出具的评价报告，提供相关证明材料复印件并加盖投标人单位公章。</w:t>
            </w:r>
          </w:p>
          <w:p>
            <w:pPr>
              <w:keepNext w:val="0"/>
              <w:keepLines w:val="0"/>
              <w:pageBreakBefore w:val="0"/>
              <w:kinsoku/>
              <w:wordWrap/>
              <w:overflowPunct/>
              <w:topLinePunct w:val="0"/>
              <w:bidi w:val="0"/>
              <w:snapToGrid w:val="0"/>
              <w:spacing w:line="380" w:lineRule="exact"/>
              <w:ind w:firstLine="0"/>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CN"/>
              </w:rPr>
              <w:t>投标人未提供或其他情况的</w:t>
            </w:r>
            <w:r>
              <w:rPr>
                <w:rFonts w:hint="eastAsia" w:ascii="宋体" w:hAnsi="宋体" w:eastAsia="宋体" w:cs="宋体"/>
                <w:color w:val="auto"/>
                <w:sz w:val="24"/>
                <w:szCs w:val="24"/>
                <w:highlight w:val="none"/>
                <w:lang w:val="zh-TW" w:eastAsia="zh-TW"/>
              </w:rPr>
              <w:t>，得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val="zh-TW" w:eastAsia="zh-TW"/>
              </w:rPr>
              <w:t>分。</w:t>
            </w:r>
          </w:p>
          <w:p>
            <w:pPr>
              <w:keepNext w:val="0"/>
              <w:keepLines w:val="0"/>
              <w:pageBreakBefore w:val="0"/>
              <w:kinsoku/>
              <w:wordWrap/>
              <w:overflowPunct/>
              <w:topLinePunct w:val="0"/>
              <w:bidi w:val="0"/>
              <w:snapToGrid w:val="0"/>
              <w:spacing w:line="380" w:lineRule="exact"/>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TW" w:eastAsia="zh-CN"/>
              </w:rPr>
              <w:t>本项最高得</w:t>
            </w:r>
            <w:r>
              <w:rPr>
                <w:rFonts w:hint="eastAsia" w:ascii="宋体" w:hAnsi="宋体" w:eastAsia="宋体" w:cs="宋体"/>
                <w:color w:val="auto"/>
                <w:sz w:val="24"/>
                <w:szCs w:val="24"/>
                <w:highlight w:val="none"/>
                <w:lang w:val="en-US" w:eastAsia="zh-CN"/>
              </w:rPr>
              <w:t>2分</w:t>
            </w:r>
            <w:r>
              <w:rPr>
                <w:rFonts w:hint="eastAsia" w:ascii="宋体" w:hAnsi="宋体" w:eastAsia="宋体" w:cs="宋体"/>
                <w:color w:val="auto"/>
                <w:sz w:val="24"/>
                <w:szCs w:val="24"/>
                <w:highlight w:val="none"/>
                <w:lang w:val="zh-TW" w:eastAsia="zh-TW"/>
              </w:rPr>
              <w:t>，</w:t>
            </w:r>
            <w:r>
              <w:rPr>
                <w:rFonts w:hint="eastAsia" w:ascii="宋体" w:hAnsi="宋体" w:eastAsia="宋体" w:cs="宋体"/>
                <w:color w:val="auto"/>
                <w:sz w:val="24"/>
                <w:szCs w:val="24"/>
                <w:highlight w:val="none"/>
                <w:lang w:val="zh-TW" w:eastAsia="zh-CN"/>
              </w:rPr>
              <w:t>最低得</w:t>
            </w:r>
            <w:r>
              <w:rPr>
                <w:rFonts w:hint="eastAsia" w:ascii="宋体" w:hAnsi="宋体" w:eastAsia="宋体" w:cs="宋体"/>
                <w:color w:val="auto"/>
                <w:sz w:val="24"/>
                <w:szCs w:val="24"/>
                <w:highlight w:val="none"/>
                <w:lang w:val="en-US" w:eastAsia="zh-CN"/>
              </w:rPr>
              <w:t>0分。</w:t>
            </w:r>
          </w:p>
        </w:tc>
        <w:tc>
          <w:tcPr>
            <w:tcW w:w="100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80" w:lineRule="exact"/>
              <w:ind w:firstLine="0" w:firstLineChars="0"/>
              <w:jc w:val="center"/>
              <w:textAlignment w:val="auto"/>
              <w:outlineLvl w:val="9"/>
              <w:rPr>
                <w:rFonts w:hint="default"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260" w:type="dxa"/>
            <w:gridSpan w:val="3"/>
            <w:shd w:val="clear" w:color="auto" w:fill="auto"/>
            <w:noWrap/>
            <w:vAlign w:val="center"/>
          </w:tcPr>
          <w:p>
            <w:pPr>
              <w:snapToGrid w:val="0"/>
              <w:spacing w:line="24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lang w:eastAsia="zh-CN"/>
              </w:rPr>
              <w:t>第三部分</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技术</w:t>
            </w:r>
            <w:r>
              <w:rPr>
                <w:rFonts w:hint="eastAsia" w:ascii="宋体" w:hAnsi="宋体" w:eastAsia="宋体" w:cs="宋体"/>
                <w:sz w:val="24"/>
                <w:szCs w:val="24"/>
                <w:highlight w:val="none"/>
                <w:lang w:val="en-US" w:eastAsia="zh-CN"/>
              </w:rPr>
              <w:t>部</w:t>
            </w:r>
            <w:r>
              <w:rPr>
                <w:rFonts w:hint="eastAsia" w:ascii="宋体" w:hAnsi="宋体" w:eastAsia="宋体" w:cs="宋体"/>
                <w:sz w:val="24"/>
                <w:szCs w:val="24"/>
                <w:highlight w:val="none"/>
                <w:lang w:eastAsia="zh-CN"/>
              </w:rPr>
              <w:t>分（</w:t>
            </w:r>
            <w:r>
              <w:rPr>
                <w:rFonts w:hint="eastAsia" w:ascii="宋体" w:hAnsi="宋体" w:cs="宋体"/>
                <w:sz w:val="24"/>
                <w:szCs w:val="24"/>
                <w:highlight w:val="none"/>
                <w:lang w:val="en-US" w:eastAsia="zh-CN"/>
              </w:rPr>
              <w:t>65</w:t>
            </w:r>
            <w:r>
              <w:rPr>
                <w:rFonts w:hint="eastAsia" w:ascii="宋体" w:hAnsi="宋体" w:eastAsia="宋体" w:cs="宋体"/>
                <w:sz w:val="24"/>
                <w:szCs w:val="24"/>
                <w:highlight w:val="none"/>
                <w:lang w:eastAsia="zh-CN"/>
              </w:rPr>
              <w:t>分）</w:t>
            </w:r>
          </w:p>
        </w:tc>
        <w:tc>
          <w:tcPr>
            <w:tcW w:w="1000" w:type="dxa"/>
            <w:shd w:val="clear" w:color="auto" w:fill="auto"/>
            <w:vAlign w:val="center"/>
          </w:tcPr>
          <w:p>
            <w:pPr>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shd w:val="clear" w:color="auto" w:fill="auto"/>
            <w:noWrap/>
            <w:vAlign w:val="center"/>
          </w:tcPr>
          <w:p>
            <w:pPr>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sz w:val="24"/>
                <w:szCs w:val="24"/>
                <w:highlight w:val="none"/>
                <w:lang w:eastAsia="zh-CN"/>
              </w:rPr>
              <w:t>1</w:t>
            </w:r>
          </w:p>
        </w:tc>
        <w:tc>
          <w:tcPr>
            <w:tcW w:w="726" w:type="dxa"/>
            <w:shd w:val="clear" w:color="auto" w:fill="auto"/>
            <w:vAlign w:val="center"/>
          </w:tcPr>
          <w:p>
            <w:pPr>
              <w:snapToGrid w:val="0"/>
              <w:spacing w:line="24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bCs/>
                <w:color w:val="auto"/>
                <w:sz w:val="24"/>
                <w:szCs w:val="24"/>
                <w:highlight w:val="none"/>
                <w:lang w:eastAsia="zh-CN"/>
              </w:rPr>
              <w:t>实施方案评价</w:t>
            </w:r>
          </w:p>
        </w:tc>
        <w:tc>
          <w:tcPr>
            <w:tcW w:w="8078" w:type="dxa"/>
            <w:shd w:val="clear" w:color="auto" w:fill="auto"/>
            <w:vAlign w:val="center"/>
          </w:tcPr>
          <w:p>
            <w:pPr>
              <w:keepNext w:val="0"/>
              <w:keepLines w:val="0"/>
              <w:pageBreakBefore w:val="0"/>
              <w:kinsoku/>
              <w:wordWrap/>
              <w:overflowPunct/>
              <w:topLinePunct w:val="0"/>
              <w:bidi w:val="0"/>
              <w:snapToGrid w:val="0"/>
              <w:spacing w:line="380" w:lineRule="exact"/>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项目实施方案考虑全面，条理清晰，专业性、系统性强，操作可行性强，能够完全满足项目需求的，得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w:t>
            </w:r>
          </w:p>
          <w:p>
            <w:pPr>
              <w:keepNext w:val="0"/>
              <w:keepLines w:val="0"/>
              <w:pageBreakBefore w:val="0"/>
              <w:kinsoku/>
              <w:wordWrap/>
              <w:overflowPunct/>
              <w:topLinePunct w:val="0"/>
              <w:bidi w:val="0"/>
              <w:snapToGrid w:val="0"/>
              <w:spacing w:line="380" w:lineRule="exact"/>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项目实施方案</w:t>
            </w:r>
            <w:r>
              <w:rPr>
                <w:rFonts w:hint="eastAsia" w:ascii="宋体" w:hAnsi="宋体" w:eastAsia="宋体" w:cs="宋体"/>
                <w:color w:val="auto"/>
                <w:sz w:val="24"/>
                <w:szCs w:val="24"/>
                <w:highlight w:val="none"/>
                <w:lang w:val="en-US" w:eastAsia="zh-CN"/>
              </w:rPr>
              <w:t>能达到本项目80%的要求</w:t>
            </w:r>
            <w:r>
              <w:rPr>
                <w:rFonts w:hint="eastAsia" w:ascii="宋体" w:hAnsi="宋体" w:eastAsia="宋体" w:cs="宋体"/>
                <w:color w:val="auto"/>
                <w:sz w:val="24"/>
                <w:szCs w:val="24"/>
                <w:highlight w:val="none"/>
                <w:lang w:eastAsia="zh-CN"/>
              </w:rPr>
              <w:t>，有</w:t>
            </w:r>
            <w:r>
              <w:rPr>
                <w:rFonts w:hint="eastAsia" w:ascii="宋体" w:hAnsi="宋体" w:eastAsia="宋体" w:cs="宋体"/>
                <w:color w:val="auto"/>
                <w:sz w:val="24"/>
                <w:szCs w:val="24"/>
                <w:highlight w:val="none"/>
                <w:lang w:val="en-US" w:eastAsia="zh-CN"/>
              </w:rPr>
              <w:t>一定</w:t>
            </w:r>
            <w:r>
              <w:rPr>
                <w:rFonts w:hint="eastAsia" w:ascii="宋体" w:hAnsi="宋体" w:eastAsia="宋体" w:cs="宋体"/>
                <w:color w:val="auto"/>
                <w:sz w:val="24"/>
                <w:szCs w:val="24"/>
                <w:highlight w:val="none"/>
                <w:lang w:eastAsia="zh-CN"/>
              </w:rPr>
              <w:t>条理，专业性、系统性较强，操作可行性较强，能够满足项目需求的</w:t>
            </w:r>
            <w:r>
              <w:rPr>
                <w:rFonts w:hint="eastAsia" w:ascii="宋体" w:hAnsi="宋体" w:eastAsia="宋体" w:cs="宋体"/>
                <w:color w:val="auto"/>
                <w:sz w:val="24"/>
                <w:szCs w:val="24"/>
                <w:highlight w:val="none"/>
                <w:lang w:val="en-US" w:eastAsia="zh-CN"/>
              </w:rPr>
              <w:t>70%-80%</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w:t>
            </w:r>
          </w:p>
          <w:p>
            <w:pPr>
              <w:keepNext w:val="0"/>
              <w:keepLines w:val="0"/>
              <w:pageBreakBefore w:val="0"/>
              <w:kinsoku/>
              <w:wordWrap/>
              <w:overflowPunct/>
              <w:topLinePunct w:val="0"/>
              <w:bidi w:val="0"/>
              <w:snapToGrid w:val="0"/>
              <w:spacing w:line="380" w:lineRule="exact"/>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项目实施方案考虑一般，专业性、系统性一般，操作可行性一般，</w:t>
            </w:r>
            <w:r>
              <w:rPr>
                <w:rFonts w:hint="eastAsia" w:ascii="宋体" w:hAnsi="宋体" w:eastAsia="宋体" w:cs="宋体"/>
                <w:color w:val="auto"/>
                <w:sz w:val="24"/>
                <w:szCs w:val="24"/>
                <w:highlight w:val="none"/>
                <w:lang w:val="en-US" w:eastAsia="zh-CN"/>
              </w:rPr>
              <w:t>能</w:t>
            </w:r>
            <w:r>
              <w:rPr>
                <w:rFonts w:hint="eastAsia" w:ascii="宋体" w:hAnsi="宋体" w:eastAsia="宋体" w:cs="宋体"/>
                <w:color w:val="auto"/>
                <w:sz w:val="24"/>
                <w:szCs w:val="24"/>
                <w:highlight w:val="none"/>
                <w:lang w:eastAsia="zh-CN"/>
              </w:rPr>
              <w:t>满足项目需求</w:t>
            </w:r>
            <w:r>
              <w:rPr>
                <w:rFonts w:hint="eastAsia" w:ascii="宋体" w:hAnsi="宋体" w:eastAsia="宋体" w:cs="宋体"/>
                <w:color w:val="auto"/>
                <w:sz w:val="24"/>
                <w:szCs w:val="24"/>
                <w:highlight w:val="none"/>
                <w:lang w:val="en-US" w:eastAsia="zh-CN"/>
              </w:rPr>
              <w:t>50%-60%</w:t>
            </w:r>
            <w:r>
              <w:rPr>
                <w:rFonts w:hint="eastAsia" w:ascii="宋体" w:hAnsi="宋体" w:eastAsia="宋体" w:cs="宋体"/>
                <w:color w:val="auto"/>
                <w:sz w:val="24"/>
                <w:szCs w:val="24"/>
                <w:highlight w:val="none"/>
                <w:lang w:eastAsia="zh-CN"/>
              </w:rPr>
              <w:t>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w:t>
            </w:r>
          </w:p>
          <w:p>
            <w:pPr>
              <w:keepNext w:val="0"/>
              <w:keepLines w:val="0"/>
              <w:pageBreakBefore w:val="0"/>
              <w:kinsoku/>
              <w:wordWrap/>
              <w:overflowPunct/>
              <w:topLinePunct w:val="0"/>
              <w:bidi w:val="0"/>
              <w:snapToGrid w:val="0"/>
              <w:spacing w:line="380" w:lineRule="exact"/>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项目实施方案有但不全面，操作性不强，得1分；</w:t>
            </w:r>
          </w:p>
          <w:p>
            <w:pPr>
              <w:keepNext w:val="0"/>
              <w:keepLines w:val="0"/>
              <w:pageBreakBefore w:val="0"/>
              <w:kinsoku/>
              <w:wordWrap/>
              <w:overflowPunct/>
              <w:topLinePunct w:val="0"/>
              <w:bidi w:val="0"/>
              <w:snapToGrid w:val="0"/>
              <w:spacing w:line="380" w:lineRule="exact"/>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其他得0分。</w:t>
            </w:r>
          </w:p>
        </w:tc>
        <w:tc>
          <w:tcPr>
            <w:tcW w:w="1000" w:type="dxa"/>
            <w:shd w:val="clear" w:color="auto" w:fill="auto"/>
            <w:vAlign w:val="center"/>
          </w:tcPr>
          <w:p>
            <w:pPr>
              <w:snapToGrid w:val="0"/>
              <w:spacing w:line="24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shd w:val="clear" w:color="auto" w:fill="auto"/>
            <w:noWrap/>
            <w:vAlign w:val="center"/>
          </w:tcPr>
          <w:p>
            <w:pPr>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sz w:val="24"/>
                <w:szCs w:val="24"/>
                <w:highlight w:val="none"/>
                <w:lang w:eastAsia="zh-CN"/>
              </w:rPr>
              <w:t>2</w:t>
            </w:r>
          </w:p>
        </w:tc>
        <w:tc>
          <w:tcPr>
            <w:tcW w:w="726" w:type="dxa"/>
            <w:shd w:val="clear" w:color="auto" w:fill="auto"/>
            <w:vAlign w:val="center"/>
          </w:tcPr>
          <w:p>
            <w:pPr>
              <w:snapToGrid w:val="0"/>
              <w:spacing w:line="24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auto"/>
                <w:sz w:val="24"/>
                <w:szCs w:val="24"/>
                <w:highlight w:val="none"/>
                <w:lang w:eastAsia="zh-CN"/>
              </w:rPr>
              <w:t>抽检流程评价</w:t>
            </w:r>
          </w:p>
        </w:tc>
        <w:tc>
          <w:tcPr>
            <w:tcW w:w="8078" w:type="dxa"/>
            <w:shd w:val="clear" w:color="auto" w:fill="auto"/>
            <w:vAlign w:val="center"/>
          </w:tcPr>
          <w:p>
            <w:pPr>
              <w:keepNext w:val="0"/>
              <w:keepLines w:val="0"/>
              <w:pageBreakBefore w:val="0"/>
              <w:kinsoku/>
              <w:wordWrap/>
              <w:overflowPunct/>
              <w:topLinePunct w:val="0"/>
              <w:bidi w:val="0"/>
              <w:snapToGrid w:val="0"/>
              <w:spacing w:line="380" w:lineRule="exact"/>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针对本项目的</w:t>
            </w:r>
            <w:r>
              <w:rPr>
                <w:rFonts w:hint="eastAsia" w:ascii="宋体" w:hAnsi="宋体" w:eastAsia="宋体" w:cs="宋体"/>
                <w:color w:val="auto"/>
                <w:sz w:val="24"/>
                <w:szCs w:val="24"/>
                <w:highlight w:val="none"/>
                <w:lang w:eastAsia="zh-CN"/>
              </w:rPr>
              <w:t>抽检流程</w:t>
            </w:r>
            <w:r>
              <w:rPr>
                <w:rFonts w:hint="eastAsia" w:ascii="宋体" w:hAnsi="宋体" w:eastAsia="宋体" w:cs="宋体"/>
                <w:color w:val="auto"/>
                <w:sz w:val="24"/>
                <w:szCs w:val="24"/>
                <w:highlight w:val="none"/>
                <w:lang w:val="en-US" w:eastAsia="zh-CN"/>
              </w:rPr>
              <w:t>进行评价：</w:t>
            </w:r>
          </w:p>
          <w:p>
            <w:pPr>
              <w:keepNext w:val="0"/>
              <w:keepLines w:val="0"/>
              <w:pageBreakBefore w:val="0"/>
              <w:kinsoku/>
              <w:wordWrap/>
              <w:overflowPunct/>
              <w:topLinePunct w:val="0"/>
              <w:bidi w:val="0"/>
              <w:snapToGrid w:val="0"/>
              <w:spacing w:line="380" w:lineRule="exact"/>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抽检流程</w:t>
            </w:r>
            <w:r>
              <w:rPr>
                <w:rFonts w:hint="eastAsia" w:ascii="宋体" w:hAnsi="宋体" w:eastAsia="宋体" w:cs="宋体"/>
                <w:color w:val="auto"/>
                <w:sz w:val="24"/>
                <w:szCs w:val="24"/>
                <w:highlight w:val="none"/>
                <w:lang w:eastAsia="zh-CN"/>
              </w:rPr>
              <w:t>全面，合理，有针对性，切实可行的，</w:t>
            </w:r>
            <w:r>
              <w:rPr>
                <w:rFonts w:hint="eastAsia" w:ascii="宋体" w:hAnsi="宋体" w:eastAsia="宋体" w:cs="宋体"/>
                <w:color w:val="auto"/>
                <w:sz w:val="24"/>
                <w:szCs w:val="24"/>
                <w:highlight w:val="none"/>
                <w:lang w:val="en-US" w:eastAsia="zh-CN"/>
              </w:rPr>
              <w:t>能100%满足本项目需求的，</w:t>
            </w:r>
            <w:r>
              <w:rPr>
                <w:rFonts w:hint="eastAsia" w:ascii="宋体" w:hAnsi="宋体" w:eastAsia="宋体" w:cs="宋体"/>
                <w:color w:val="auto"/>
                <w:sz w:val="24"/>
                <w:szCs w:val="24"/>
                <w:highlight w:val="none"/>
                <w:lang w:eastAsia="zh-CN"/>
              </w:rPr>
              <w:t>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分；</w:t>
            </w:r>
          </w:p>
          <w:p>
            <w:pPr>
              <w:keepNext w:val="0"/>
              <w:keepLines w:val="0"/>
              <w:pageBreakBefore w:val="0"/>
              <w:kinsoku/>
              <w:wordWrap/>
              <w:overflowPunct/>
              <w:topLinePunct w:val="0"/>
              <w:bidi w:val="0"/>
              <w:snapToGrid w:val="0"/>
              <w:spacing w:line="380" w:lineRule="exact"/>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抽检流程较全面、较合理、较有针对性，基本可行的，</w:t>
            </w:r>
            <w:r>
              <w:rPr>
                <w:rFonts w:hint="eastAsia" w:ascii="宋体" w:hAnsi="宋体" w:eastAsia="宋体" w:cs="宋体"/>
                <w:color w:val="auto"/>
                <w:sz w:val="24"/>
                <w:szCs w:val="24"/>
                <w:highlight w:val="none"/>
                <w:lang w:val="en-US" w:eastAsia="zh-CN"/>
              </w:rPr>
              <w:t>能80%满足本项目需求的，</w:t>
            </w:r>
            <w:r>
              <w:rPr>
                <w:rFonts w:hint="eastAsia" w:ascii="宋体" w:hAnsi="宋体" w:eastAsia="宋体" w:cs="宋体"/>
                <w:color w:val="auto"/>
                <w:sz w:val="24"/>
                <w:szCs w:val="24"/>
                <w:highlight w:val="none"/>
                <w:lang w:eastAsia="zh-CN"/>
              </w:rPr>
              <w:t>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w:t>
            </w:r>
          </w:p>
          <w:p>
            <w:pPr>
              <w:keepNext w:val="0"/>
              <w:keepLines w:val="0"/>
              <w:pageBreakBefore w:val="0"/>
              <w:kinsoku/>
              <w:wordWrap/>
              <w:overflowPunct/>
              <w:topLinePunct w:val="0"/>
              <w:bidi w:val="0"/>
              <w:snapToGrid w:val="0"/>
              <w:spacing w:line="380" w:lineRule="exact"/>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抽检流程基本全面、针对性一般，一般可行的，</w:t>
            </w:r>
            <w:r>
              <w:rPr>
                <w:rFonts w:hint="eastAsia" w:ascii="宋体" w:hAnsi="宋体" w:eastAsia="宋体" w:cs="宋体"/>
                <w:color w:val="auto"/>
                <w:sz w:val="24"/>
                <w:szCs w:val="24"/>
                <w:highlight w:val="none"/>
                <w:lang w:val="en-US" w:eastAsia="zh-CN"/>
              </w:rPr>
              <w:t>能60%满足本项目需求的，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w:t>
            </w:r>
          </w:p>
          <w:p>
            <w:pPr>
              <w:keepNext w:val="0"/>
              <w:keepLines w:val="0"/>
              <w:pageBreakBefore w:val="0"/>
              <w:kinsoku/>
              <w:wordWrap/>
              <w:overflowPunct/>
              <w:topLinePunct w:val="0"/>
              <w:bidi w:val="0"/>
              <w:snapToGrid w:val="0"/>
              <w:spacing w:line="380" w:lineRule="exact"/>
              <w:ind w:firstLine="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有抽检流程，但不全面，针对性不强的，得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pPr>
              <w:keepNext w:val="0"/>
              <w:keepLines w:val="0"/>
              <w:pageBreakBefore w:val="0"/>
              <w:kinsoku/>
              <w:wordWrap/>
              <w:overflowPunct/>
              <w:topLinePunct w:val="0"/>
              <w:bidi w:val="0"/>
              <w:snapToGrid w:val="0"/>
              <w:spacing w:line="380" w:lineRule="exact"/>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得0分。</w:t>
            </w:r>
          </w:p>
        </w:tc>
        <w:tc>
          <w:tcPr>
            <w:tcW w:w="1000" w:type="dxa"/>
            <w:shd w:val="clear" w:color="auto" w:fill="auto"/>
            <w:vAlign w:val="center"/>
          </w:tcPr>
          <w:p>
            <w:pPr>
              <w:snapToGrid w:val="0"/>
              <w:spacing w:line="240" w:lineRule="auto"/>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auto"/>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shd w:val="clear" w:color="auto" w:fill="auto"/>
            <w:noWrap/>
            <w:vAlign w:val="center"/>
          </w:tcPr>
          <w:p>
            <w:pPr>
              <w:snapToGrid w:val="0"/>
              <w:spacing w:line="24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sz w:val="24"/>
                <w:szCs w:val="24"/>
                <w:highlight w:val="none"/>
                <w:lang w:val="en-US" w:eastAsia="zh-CN"/>
              </w:rPr>
              <w:t>3</w:t>
            </w:r>
          </w:p>
        </w:tc>
        <w:tc>
          <w:tcPr>
            <w:tcW w:w="726" w:type="dxa"/>
            <w:shd w:val="clear" w:color="auto" w:fill="auto"/>
            <w:vAlign w:val="center"/>
          </w:tcPr>
          <w:p>
            <w:pPr>
              <w:snapToGrid w:val="0"/>
              <w:spacing w:line="24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auto"/>
                <w:sz w:val="24"/>
                <w:szCs w:val="24"/>
                <w:highlight w:val="none"/>
              </w:rPr>
              <w:t>进度安排评价</w:t>
            </w:r>
          </w:p>
        </w:tc>
        <w:tc>
          <w:tcPr>
            <w:tcW w:w="8078" w:type="dxa"/>
            <w:shd w:val="clear" w:color="auto" w:fill="auto"/>
            <w:vAlign w:val="center"/>
          </w:tcPr>
          <w:p>
            <w:pPr>
              <w:keepNext w:val="0"/>
              <w:keepLines w:val="0"/>
              <w:pageBreakBefore w:val="0"/>
              <w:kinsoku/>
              <w:wordWrap/>
              <w:overflowPunct/>
              <w:topLinePunct w:val="0"/>
              <w:bidi w:val="0"/>
              <w:snapToGrid w:val="0"/>
              <w:spacing w:line="380" w:lineRule="exact"/>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进度计划安排合理，阶段</w:t>
            </w:r>
            <w:r>
              <w:rPr>
                <w:rFonts w:hint="eastAsia" w:ascii="宋体" w:hAnsi="宋体" w:eastAsia="宋体" w:cs="宋体"/>
                <w:color w:val="auto"/>
                <w:sz w:val="24"/>
                <w:szCs w:val="24"/>
                <w:highlight w:val="none"/>
                <w:lang w:val="en-US" w:eastAsia="zh-CN"/>
              </w:rPr>
              <w:t>安排清晰完全符合项目要求</w:t>
            </w:r>
            <w:r>
              <w:rPr>
                <w:rFonts w:hint="eastAsia" w:ascii="宋体" w:hAnsi="宋体" w:eastAsia="宋体" w:cs="宋体"/>
                <w:color w:val="auto"/>
                <w:sz w:val="24"/>
                <w:szCs w:val="24"/>
                <w:highlight w:val="none"/>
                <w:lang w:eastAsia="zh-CN"/>
              </w:rPr>
              <w:t>，能提供完整的工作任务表及组织保证措施的，得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分；</w:t>
            </w:r>
          </w:p>
          <w:p>
            <w:pPr>
              <w:keepNext w:val="0"/>
              <w:keepLines w:val="0"/>
              <w:pageBreakBefore w:val="0"/>
              <w:kinsoku/>
              <w:wordWrap/>
              <w:overflowPunct/>
              <w:topLinePunct w:val="0"/>
              <w:bidi w:val="0"/>
              <w:snapToGrid w:val="0"/>
              <w:spacing w:line="380" w:lineRule="exact"/>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进度计划安排基本合理，阶段</w:t>
            </w:r>
            <w:r>
              <w:rPr>
                <w:rFonts w:hint="eastAsia" w:ascii="宋体" w:hAnsi="宋体" w:eastAsia="宋体" w:cs="宋体"/>
                <w:color w:val="auto"/>
                <w:sz w:val="24"/>
                <w:szCs w:val="24"/>
                <w:highlight w:val="none"/>
                <w:lang w:val="en-US" w:eastAsia="zh-CN"/>
              </w:rPr>
              <w:t>安排能满足基本要求</w:t>
            </w:r>
            <w:r>
              <w:rPr>
                <w:rFonts w:hint="eastAsia" w:ascii="宋体" w:hAnsi="宋体" w:eastAsia="宋体" w:cs="宋体"/>
                <w:color w:val="auto"/>
                <w:sz w:val="24"/>
                <w:szCs w:val="24"/>
                <w:highlight w:val="none"/>
                <w:lang w:eastAsia="zh-CN"/>
              </w:rPr>
              <w:t>，能提供工作任务表及组织保证措施的，得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w:t>
            </w:r>
          </w:p>
          <w:p>
            <w:pPr>
              <w:keepNext w:val="0"/>
              <w:keepLines w:val="0"/>
              <w:pageBreakBefore w:val="0"/>
              <w:kinsoku/>
              <w:wordWrap/>
              <w:overflowPunct/>
              <w:topLinePunct w:val="0"/>
              <w:bidi w:val="0"/>
              <w:snapToGrid w:val="0"/>
              <w:spacing w:line="380" w:lineRule="exact"/>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lang w:eastAsia="zh-CN"/>
              </w:rPr>
              <w:t>进度计划安排，阶段</w:t>
            </w:r>
            <w:r>
              <w:rPr>
                <w:rFonts w:hint="eastAsia" w:ascii="宋体" w:hAnsi="宋体" w:eastAsia="宋体" w:cs="宋体"/>
                <w:color w:val="auto"/>
                <w:sz w:val="24"/>
                <w:szCs w:val="24"/>
                <w:highlight w:val="none"/>
                <w:lang w:val="en-US" w:eastAsia="zh-CN"/>
              </w:rPr>
              <w:t>安排不充分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lang w:eastAsia="zh-CN"/>
              </w:rPr>
              <w:t>工作任务表及组织保证措施但不全面的，得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pPr>
              <w:keepNext w:val="0"/>
              <w:keepLines w:val="0"/>
              <w:pageBreakBefore w:val="0"/>
              <w:kinsoku/>
              <w:wordWrap/>
              <w:overflowPunct/>
              <w:topLinePunct w:val="0"/>
              <w:bidi w:val="0"/>
              <w:snapToGrid w:val="0"/>
              <w:spacing w:line="380" w:lineRule="exact"/>
              <w:ind w:firstLine="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lang w:eastAsia="zh-CN"/>
              </w:rPr>
              <w:t>其他得0分。</w:t>
            </w:r>
          </w:p>
        </w:tc>
        <w:tc>
          <w:tcPr>
            <w:tcW w:w="1000" w:type="dxa"/>
            <w:shd w:val="clear" w:color="auto" w:fill="auto"/>
            <w:vAlign w:val="center"/>
          </w:tcPr>
          <w:p>
            <w:pPr>
              <w:snapToGrid w:val="0"/>
              <w:spacing w:line="240" w:lineRule="auto"/>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shd w:val="clear" w:color="auto" w:fill="auto"/>
            <w:noWrap/>
            <w:vAlign w:val="center"/>
          </w:tcPr>
          <w:p>
            <w:pPr>
              <w:snapToGrid w:val="0"/>
              <w:spacing w:line="24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4</w:t>
            </w:r>
          </w:p>
        </w:tc>
        <w:tc>
          <w:tcPr>
            <w:tcW w:w="726" w:type="dxa"/>
            <w:shd w:val="clear" w:color="auto" w:fill="auto"/>
            <w:vAlign w:val="center"/>
          </w:tcPr>
          <w:p>
            <w:pPr>
              <w:snapToGrid w:val="0"/>
              <w:spacing w:line="24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auto"/>
                <w:sz w:val="24"/>
                <w:szCs w:val="24"/>
                <w:highlight w:val="none"/>
                <w:lang w:eastAsia="zh-CN"/>
              </w:rPr>
              <w:t>人员组织评价</w:t>
            </w:r>
          </w:p>
        </w:tc>
        <w:tc>
          <w:tcPr>
            <w:tcW w:w="8078" w:type="dxa"/>
            <w:shd w:val="clear" w:color="auto" w:fill="auto"/>
            <w:vAlign w:val="center"/>
          </w:tcPr>
          <w:p>
            <w:pPr>
              <w:keepNext w:val="0"/>
              <w:keepLines w:val="0"/>
              <w:pageBreakBefore w:val="0"/>
              <w:kinsoku/>
              <w:wordWrap/>
              <w:overflowPunct/>
              <w:topLinePunct w:val="0"/>
              <w:bidi w:val="0"/>
              <w:snapToGrid w:val="0"/>
              <w:spacing w:line="380" w:lineRule="exact"/>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人员组织架构设置与管理科学合理，各岗位人员配置齐全，分工明确，符合本项目实际情况，针对性强的，得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w:t>
            </w:r>
          </w:p>
          <w:p>
            <w:pPr>
              <w:keepNext w:val="0"/>
              <w:keepLines w:val="0"/>
              <w:pageBreakBefore w:val="0"/>
              <w:kinsoku/>
              <w:wordWrap/>
              <w:overflowPunct/>
              <w:topLinePunct w:val="0"/>
              <w:bidi w:val="0"/>
              <w:snapToGrid w:val="0"/>
              <w:spacing w:line="380" w:lineRule="exact"/>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人员组织架构设置与管理基本科学合理，各岗位人员配置比较齐全，分工较明确，较符合本项目实际情况，针对性较强的，得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w:t>
            </w:r>
          </w:p>
          <w:p>
            <w:pPr>
              <w:keepNext w:val="0"/>
              <w:keepLines w:val="0"/>
              <w:pageBreakBefore w:val="0"/>
              <w:kinsoku/>
              <w:wordWrap/>
              <w:overflowPunct/>
              <w:topLinePunct w:val="0"/>
              <w:bidi w:val="0"/>
              <w:snapToGrid w:val="0"/>
              <w:spacing w:line="380" w:lineRule="exact"/>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人员组织架构设置与管理科学合理性一般，各岗位人员配置基本齐全，分工基本明确，基本符合本项目实际情况，针对性一般的，得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pPr>
              <w:keepNext w:val="0"/>
              <w:keepLines w:val="0"/>
              <w:pageBreakBefore w:val="0"/>
              <w:kinsoku/>
              <w:wordWrap/>
              <w:overflowPunct/>
              <w:topLinePunct w:val="0"/>
              <w:bidi w:val="0"/>
              <w:snapToGrid w:val="0"/>
              <w:spacing w:line="380" w:lineRule="exact"/>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其他得0分。</w:t>
            </w:r>
          </w:p>
        </w:tc>
        <w:tc>
          <w:tcPr>
            <w:tcW w:w="1000" w:type="dxa"/>
            <w:shd w:val="clear" w:color="auto" w:fill="auto"/>
            <w:vAlign w:val="center"/>
          </w:tcPr>
          <w:p>
            <w:pPr>
              <w:snapToGrid w:val="0"/>
              <w:spacing w:line="240" w:lineRule="auto"/>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shd w:val="clear" w:color="auto" w:fill="auto"/>
            <w:noWrap/>
            <w:vAlign w:val="center"/>
          </w:tcPr>
          <w:p>
            <w:pPr>
              <w:snapToGrid w:val="0"/>
              <w:spacing w:line="24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5</w:t>
            </w:r>
          </w:p>
        </w:tc>
        <w:tc>
          <w:tcPr>
            <w:tcW w:w="726" w:type="dxa"/>
            <w:shd w:val="clear" w:color="auto" w:fill="auto"/>
            <w:vAlign w:val="center"/>
          </w:tcPr>
          <w:p>
            <w:pPr>
              <w:keepNext w:val="0"/>
              <w:keepLines w:val="0"/>
              <w:pageBreakBefore w:val="0"/>
              <w:kinsoku/>
              <w:wordWrap/>
              <w:overflowPunct/>
              <w:topLinePunct w:val="0"/>
              <w:bidi w:val="0"/>
              <w:snapToGrid w:val="0"/>
              <w:spacing w:line="380" w:lineRule="exact"/>
              <w:ind w:firstLine="0" w:firstLineChars="0"/>
              <w:jc w:val="center"/>
              <w:textAlignment w:val="auto"/>
              <w:rPr>
                <w:rFonts w:hint="eastAsia" w:ascii="宋体" w:hAnsi="宋体" w:eastAsia="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auto"/>
                <w:sz w:val="24"/>
                <w:szCs w:val="24"/>
                <w:highlight w:val="none"/>
                <w:lang w:eastAsia="zh-CN"/>
              </w:rPr>
              <w:t>档案管理措施</w:t>
            </w:r>
          </w:p>
        </w:tc>
        <w:tc>
          <w:tcPr>
            <w:tcW w:w="8078" w:type="dxa"/>
            <w:shd w:val="clear" w:color="auto" w:fill="auto"/>
            <w:vAlign w:val="center"/>
          </w:tcPr>
          <w:p>
            <w:pPr>
              <w:keepNext w:val="0"/>
              <w:keepLines w:val="0"/>
              <w:pageBreakBefore w:val="0"/>
              <w:kinsoku/>
              <w:wordWrap/>
              <w:overflowPunct/>
              <w:topLinePunct w:val="0"/>
              <w:bidi w:val="0"/>
              <w:snapToGrid w:val="0"/>
              <w:spacing w:line="380" w:lineRule="exact"/>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能提供完整的档案管理措施，档案管理措施思路清晰，包括档案的收集、整理、保管、拆分、统计、检索、编码、利用、保密、保护措施，完整准确，可实施性强的，</w:t>
            </w:r>
            <w:r>
              <w:rPr>
                <w:rFonts w:hint="eastAsia" w:ascii="宋体" w:hAnsi="宋体" w:eastAsia="宋体" w:cs="宋体"/>
                <w:color w:val="auto"/>
                <w:sz w:val="24"/>
                <w:szCs w:val="24"/>
                <w:highlight w:val="none"/>
                <w:lang w:val="en-US" w:eastAsia="zh-CN"/>
              </w:rPr>
              <w:t>能在项目完成后一个月内交付完整档案的，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w:t>
            </w:r>
          </w:p>
          <w:p>
            <w:pPr>
              <w:keepNext w:val="0"/>
              <w:keepLines w:val="0"/>
              <w:pageBreakBefore w:val="0"/>
              <w:kinsoku/>
              <w:wordWrap/>
              <w:overflowPunct/>
              <w:topLinePunct w:val="0"/>
              <w:bidi w:val="0"/>
              <w:snapToGrid w:val="0"/>
              <w:spacing w:line="380" w:lineRule="exact"/>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能提供档案管理措施，档案管理措施思路一般，各环节设置较合理，可实施性较强的，</w:t>
            </w:r>
            <w:r>
              <w:rPr>
                <w:rFonts w:hint="eastAsia" w:ascii="宋体" w:hAnsi="宋体" w:eastAsia="宋体" w:cs="宋体"/>
                <w:color w:val="auto"/>
                <w:sz w:val="24"/>
                <w:szCs w:val="24"/>
                <w:highlight w:val="none"/>
                <w:lang w:val="en-US" w:eastAsia="zh-CN"/>
              </w:rPr>
              <w:t>能在项目完成后40天内交付完整档案的，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w:t>
            </w:r>
          </w:p>
          <w:p>
            <w:pPr>
              <w:keepNext w:val="0"/>
              <w:keepLines w:val="0"/>
              <w:pageBreakBefore w:val="0"/>
              <w:kinsoku/>
              <w:wordWrap/>
              <w:overflowPunct/>
              <w:topLinePunct w:val="0"/>
              <w:bidi w:val="0"/>
              <w:snapToGrid w:val="0"/>
              <w:spacing w:line="380" w:lineRule="exact"/>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提供的档案管理措施一般，档案管理措施思路一般，基本可行的，</w:t>
            </w:r>
            <w:r>
              <w:rPr>
                <w:rFonts w:hint="eastAsia" w:ascii="宋体" w:hAnsi="宋体" w:eastAsia="宋体" w:cs="宋体"/>
                <w:color w:val="auto"/>
                <w:sz w:val="24"/>
                <w:szCs w:val="24"/>
                <w:highlight w:val="none"/>
                <w:lang w:val="en-US" w:eastAsia="zh-CN"/>
              </w:rPr>
              <w:t>能在项目完成后50天内交付完整档案的，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p>
          <w:p>
            <w:pPr>
              <w:keepNext w:val="0"/>
              <w:keepLines w:val="0"/>
              <w:pageBreakBefore w:val="0"/>
              <w:kinsoku/>
              <w:wordWrap/>
              <w:overflowPunct/>
              <w:topLinePunct w:val="0"/>
              <w:bidi w:val="0"/>
              <w:snapToGrid w:val="0"/>
              <w:spacing w:line="380" w:lineRule="exact"/>
              <w:ind w:firstLine="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其他得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分。</w:t>
            </w:r>
          </w:p>
        </w:tc>
        <w:tc>
          <w:tcPr>
            <w:tcW w:w="100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80" w:lineRule="exact"/>
              <w:ind w:firstLine="0" w:firstLineChars="0"/>
              <w:jc w:val="center"/>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shd w:val="clear" w:color="auto" w:fill="auto"/>
            <w:noWrap/>
            <w:vAlign w:val="center"/>
          </w:tcPr>
          <w:p>
            <w:pPr>
              <w:snapToGrid w:val="0"/>
              <w:spacing w:line="240" w:lineRule="auto"/>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6</w:t>
            </w:r>
          </w:p>
        </w:tc>
        <w:tc>
          <w:tcPr>
            <w:tcW w:w="726" w:type="dxa"/>
            <w:shd w:val="clear" w:color="auto" w:fill="auto"/>
            <w:vAlign w:val="center"/>
          </w:tcPr>
          <w:p>
            <w:pPr>
              <w:spacing w:line="24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auto"/>
                <w:sz w:val="24"/>
                <w:szCs w:val="24"/>
                <w:highlight w:val="none"/>
                <w:lang w:eastAsia="zh-CN"/>
              </w:rPr>
              <w:t>服务承诺评价</w:t>
            </w:r>
          </w:p>
        </w:tc>
        <w:tc>
          <w:tcPr>
            <w:tcW w:w="8078" w:type="dxa"/>
            <w:shd w:val="clear" w:color="auto" w:fill="auto"/>
            <w:vAlign w:val="top"/>
          </w:tcPr>
          <w:p>
            <w:pPr>
              <w:keepNext w:val="0"/>
              <w:keepLines w:val="0"/>
              <w:pageBreakBefore w:val="0"/>
              <w:kinsoku/>
              <w:wordWrap/>
              <w:overflowPunct/>
              <w:topLinePunct w:val="0"/>
              <w:autoSpaceDE w:val="0"/>
              <w:autoSpaceDN w:val="0"/>
              <w:bidi w:val="0"/>
              <w:adjustRightInd w:val="0"/>
              <w:snapToGrid w:val="0"/>
              <w:spacing w:line="38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能够在规定时限内完成检测任务，并按时报送相关数据，提供承诺书</w:t>
            </w:r>
            <w:r>
              <w:rPr>
                <w:rFonts w:hint="eastAsia" w:ascii="宋体" w:hAnsi="宋体" w:eastAsia="宋体" w:cs="宋体"/>
                <w:color w:val="auto"/>
                <w:sz w:val="24"/>
                <w:szCs w:val="24"/>
                <w:highlight w:val="none"/>
                <w:lang w:val="en-US" w:eastAsia="zh-CN"/>
              </w:rPr>
              <w:t>及相关方案</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val="0"/>
              <w:autoSpaceDN w:val="0"/>
              <w:bidi w:val="0"/>
              <w:adjustRightInd w:val="0"/>
              <w:snapToGrid w:val="0"/>
              <w:spacing w:line="38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承诺的内容详尽、合理、切实可行、</w:t>
            </w:r>
            <w:r>
              <w:rPr>
                <w:rFonts w:hint="eastAsia" w:ascii="宋体" w:hAnsi="宋体" w:eastAsia="宋体" w:cs="宋体"/>
                <w:color w:val="auto"/>
                <w:sz w:val="24"/>
                <w:szCs w:val="24"/>
                <w:highlight w:val="none"/>
                <w:lang w:eastAsia="zh-CN"/>
              </w:rPr>
              <w:t>效率高的，得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autoSpaceDE w:val="0"/>
              <w:autoSpaceDN w:val="0"/>
              <w:bidi w:val="0"/>
              <w:adjustRightInd w:val="0"/>
              <w:snapToGrid w:val="0"/>
              <w:spacing w:line="38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承诺的内容较详尽、较合理、基本可行、效率较高</w:t>
            </w:r>
            <w:r>
              <w:rPr>
                <w:rFonts w:hint="eastAsia" w:ascii="宋体" w:hAnsi="宋体" w:eastAsia="宋体" w:cs="宋体"/>
                <w:color w:val="auto"/>
                <w:sz w:val="24"/>
                <w:szCs w:val="24"/>
                <w:highlight w:val="none"/>
                <w:lang w:eastAsia="zh-CN"/>
              </w:rPr>
              <w:t>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autoSpaceDE w:val="0"/>
              <w:autoSpaceDN w:val="0"/>
              <w:bidi w:val="0"/>
              <w:adjustRightInd w:val="0"/>
              <w:snapToGrid w:val="0"/>
              <w:spacing w:line="380" w:lineRule="exact"/>
              <w:ind w:firstLine="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承诺的内容不太详尽、不太合理、不太可行、效率一般</w:t>
            </w:r>
            <w:r>
              <w:rPr>
                <w:rFonts w:hint="eastAsia" w:ascii="宋体" w:hAnsi="宋体" w:eastAsia="宋体" w:cs="宋体"/>
                <w:color w:val="auto"/>
                <w:sz w:val="24"/>
                <w:szCs w:val="24"/>
                <w:highlight w:val="none"/>
                <w:lang w:eastAsia="zh-CN"/>
              </w:rPr>
              <w:t>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pPr>
              <w:keepNext w:val="0"/>
              <w:keepLines w:val="0"/>
              <w:pageBreakBefore w:val="0"/>
              <w:kinsoku/>
              <w:wordWrap/>
              <w:overflowPunct/>
              <w:topLinePunct w:val="0"/>
              <w:bidi w:val="0"/>
              <w:snapToGrid w:val="0"/>
              <w:spacing w:line="3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lang w:eastAsia="zh-CN"/>
              </w:rPr>
              <w:t>其他得0分。</w:t>
            </w:r>
          </w:p>
        </w:tc>
        <w:tc>
          <w:tcPr>
            <w:tcW w:w="100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80" w:lineRule="exact"/>
              <w:ind w:firstLine="0" w:firstLineChars="0"/>
              <w:jc w:val="center"/>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shd w:val="clear" w:color="auto" w:fill="auto"/>
            <w:noWrap/>
            <w:vAlign w:val="center"/>
          </w:tcPr>
          <w:p>
            <w:pPr>
              <w:snapToGrid w:val="0"/>
              <w:spacing w:line="240" w:lineRule="auto"/>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7</w:t>
            </w:r>
          </w:p>
        </w:tc>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80" w:lineRule="exact"/>
              <w:ind w:firstLine="0" w:firstLineChars="0"/>
              <w:jc w:val="center"/>
              <w:textAlignment w:val="auto"/>
              <w:outlineLvl w:val="9"/>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auto"/>
                <w:kern w:val="0"/>
                <w:sz w:val="24"/>
                <w:szCs w:val="24"/>
                <w:highlight w:val="none"/>
              </w:rPr>
              <w:t>人员保密管理方案</w:t>
            </w:r>
          </w:p>
        </w:tc>
        <w:tc>
          <w:tcPr>
            <w:tcW w:w="8078" w:type="dxa"/>
            <w:shd w:val="clear" w:color="auto" w:fill="auto"/>
            <w:vAlign w:val="center"/>
          </w:tcPr>
          <w:p>
            <w:pPr>
              <w:keepNext w:val="0"/>
              <w:keepLines w:val="0"/>
              <w:pageBreakBefore w:val="0"/>
              <w:widowControl/>
              <w:kinsoku/>
              <w:wordWrap/>
              <w:overflowPunct/>
              <w:topLinePunct w:val="0"/>
              <w:autoSpaceDE/>
              <w:autoSpaceDN/>
              <w:bidi w:val="0"/>
              <w:adjustRightInd/>
              <w:spacing w:line="380" w:lineRule="exact"/>
              <w:ind w:firstLine="0"/>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人员保密管理方案规范、切实可行</w:t>
            </w:r>
            <w:r>
              <w:rPr>
                <w:rFonts w:hint="eastAsia" w:ascii="宋体" w:hAnsi="宋体" w:eastAsia="宋体" w:cs="宋体"/>
                <w:color w:val="auto"/>
                <w:sz w:val="24"/>
                <w:szCs w:val="24"/>
                <w:highlight w:val="none"/>
                <w:lang w:eastAsia="zh-CN"/>
              </w:rPr>
              <w:t>的，得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r>
              <w:rPr>
                <w:rFonts w:hint="eastAsia" w:ascii="宋体" w:hAnsi="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pacing w:line="380" w:lineRule="exact"/>
              <w:ind w:firstLine="0"/>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人员保密管理方案较为规范、可行性较强</w:t>
            </w:r>
            <w:r>
              <w:rPr>
                <w:rFonts w:hint="eastAsia" w:ascii="宋体" w:hAnsi="宋体" w:eastAsia="宋体" w:cs="宋体"/>
                <w:color w:val="auto"/>
                <w:sz w:val="24"/>
                <w:szCs w:val="24"/>
                <w:highlight w:val="none"/>
                <w:lang w:eastAsia="zh-CN"/>
              </w:rPr>
              <w:t>的，得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pacing w:line="380" w:lineRule="exact"/>
              <w:ind w:firstLine="0"/>
              <w:textAlignment w:val="auto"/>
              <w:outlineLvl w:val="9"/>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人员保密管理方案规范性一般、可行性一般</w:t>
            </w:r>
            <w:r>
              <w:rPr>
                <w:rFonts w:hint="eastAsia" w:ascii="宋体" w:hAnsi="宋体" w:eastAsia="宋体" w:cs="宋体"/>
                <w:color w:val="auto"/>
                <w:sz w:val="24"/>
                <w:szCs w:val="24"/>
                <w:highlight w:val="none"/>
                <w:lang w:eastAsia="zh-CN"/>
              </w:rPr>
              <w:t>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r>
              <w:rPr>
                <w:rFonts w:hint="eastAsia" w:ascii="宋体" w:hAnsi="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pacing w:line="380" w:lineRule="exact"/>
              <w:ind w:firstLine="0" w:firstLineChars="0"/>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lang w:eastAsia="zh-CN"/>
              </w:rPr>
              <w:t>其他得0分。</w:t>
            </w:r>
          </w:p>
        </w:tc>
        <w:tc>
          <w:tcPr>
            <w:tcW w:w="100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80" w:lineRule="exact"/>
              <w:ind w:firstLine="0" w:firstLineChars="0"/>
              <w:jc w:val="center"/>
              <w:textAlignment w:val="auto"/>
              <w:outlineLvl w:val="9"/>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shd w:val="clear" w:color="auto" w:fill="auto"/>
            <w:noWrap/>
            <w:vAlign w:val="center"/>
          </w:tcPr>
          <w:p>
            <w:pPr>
              <w:snapToGrid w:val="0"/>
              <w:spacing w:line="240" w:lineRule="auto"/>
              <w:jc w:val="center"/>
              <w:rPr>
                <w:rFonts w:hint="default"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8</w:t>
            </w:r>
          </w:p>
        </w:tc>
        <w:tc>
          <w:tcPr>
            <w:tcW w:w="726"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80" w:lineRule="exact"/>
              <w:ind w:firstLine="0" w:firstLineChars="0"/>
              <w:jc w:val="center"/>
              <w:textAlignment w:val="auto"/>
              <w:outlineLvl w:val="9"/>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宋体"/>
                <w:color w:val="auto"/>
                <w:kern w:val="0"/>
                <w:sz w:val="24"/>
                <w:szCs w:val="24"/>
                <w:highlight w:val="none"/>
              </w:rPr>
              <w:t>人员培训方案</w:t>
            </w:r>
          </w:p>
        </w:tc>
        <w:tc>
          <w:tcPr>
            <w:tcW w:w="8078" w:type="dxa"/>
            <w:shd w:val="clear" w:color="auto" w:fill="auto"/>
            <w:vAlign w:val="center"/>
          </w:tcPr>
          <w:p>
            <w:pPr>
              <w:keepNext w:val="0"/>
              <w:keepLines w:val="0"/>
              <w:pageBreakBefore w:val="0"/>
              <w:kinsoku/>
              <w:wordWrap/>
              <w:overflowPunct/>
              <w:topLinePunct w:val="0"/>
              <w:bidi w:val="0"/>
              <w:spacing w:line="380" w:lineRule="exact"/>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对检测人员的专业技术</w:t>
            </w:r>
            <w:r>
              <w:rPr>
                <w:rFonts w:hint="eastAsia" w:ascii="宋体" w:hAnsi="宋体" w:eastAsia="宋体" w:cs="宋体"/>
                <w:color w:val="auto"/>
                <w:sz w:val="24"/>
                <w:szCs w:val="24"/>
                <w:highlight w:val="none"/>
              </w:rPr>
              <w:t>培训方案全面、完善详尽</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覆盖率达100%</w:t>
            </w:r>
            <w:r>
              <w:rPr>
                <w:rFonts w:hint="eastAsia" w:ascii="宋体" w:hAnsi="宋体" w:eastAsia="宋体" w:cs="宋体"/>
                <w:color w:val="auto"/>
                <w:sz w:val="24"/>
                <w:szCs w:val="24"/>
                <w:highlight w:val="none"/>
                <w:lang w:eastAsia="zh-CN"/>
              </w:rPr>
              <w:t>，得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pPr>
              <w:keepNext w:val="0"/>
              <w:keepLines w:val="0"/>
              <w:pageBreakBefore w:val="0"/>
              <w:kinsoku/>
              <w:wordWrap/>
              <w:overflowPunct/>
              <w:topLinePunct w:val="0"/>
              <w:bidi w:val="0"/>
              <w:spacing w:line="380" w:lineRule="exact"/>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对检测人员的专业技术</w:t>
            </w:r>
            <w:r>
              <w:rPr>
                <w:rFonts w:hint="eastAsia" w:ascii="宋体" w:hAnsi="宋体" w:eastAsia="宋体" w:cs="宋体"/>
                <w:color w:val="auto"/>
                <w:sz w:val="24"/>
                <w:szCs w:val="24"/>
                <w:highlight w:val="none"/>
              </w:rPr>
              <w:t>培训方案</w:t>
            </w:r>
            <w:r>
              <w:rPr>
                <w:rFonts w:hint="eastAsia" w:ascii="宋体" w:hAnsi="宋体" w:eastAsia="宋体" w:cs="宋体"/>
                <w:color w:val="auto"/>
                <w:sz w:val="24"/>
                <w:szCs w:val="24"/>
                <w:highlight w:val="none"/>
                <w:lang w:eastAsia="zh-CN"/>
              </w:rPr>
              <w:t>较全面、</w:t>
            </w:r>
            <w:r>
              <w:rPr>
                <w:rFonts w:hint="eastAsia" w:ascii="宋体" w:hAnsi="宋体" w:eastAsia="宋体" w:cs="宋体"/>
                <w:color w:val="auto"/>
                <w:sz w:val="24"/>
                <w:szCs w:val="24"/>
                <w:highlight w:val="none"/>
              </w:rPr>
              <w:t>完善</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覆盖率达80%</w:t>
            </w:r>
            <w:r>
              <w:rPr>
                <w:rFonts w:hint="eastAsia" w:ascii="宋体" w:hAnsi="宋体" w:eastAsia="宋体" w:cs="宋体"/>
                <w:color w:val="auto"/>
                <w:sz w:val="24"/>
                <w:szCs w:val="24"/>
                <w:highlight w:val="none"/>
                <w:lang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pPr>
              <w:keepNext w:val="0"/>
              <w:keepLines w:val="0"/>
              <w:pageBreakBefore w:val="0"/>
              <w:kinsoku/>
              <w:wordWrap/>
              <w:overflowPunct/>
              <w:topLinePunct w:val="0"/>
              <w:bidi w:val="0"/>
              <w:spacing w:line="380" w:lineRule="exact"/>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对检测人员的专业技术</w:t>
            </w:r>
            <w:r>
              <w:rPr>
                <w:rFonts w:hint="eastAsia" w:ascii="宋体" w:hAnsi="宋体" w:eastAsia="宋体" w:cs="宋体"/>
                <w:color w:val="auto"/>
                <w:sz w:val="24"/>
                <w:szCs w:val="24"/>
                <w:highlight w:val="none"/>
              </w:rPr>
              <w:t>培训方案</w:t>
            </w:r>
            <w:r>
              <w:rPr>
                <w:rFonts w:hint="eastAsia" w:ascii="宋体" w:hAnsi="宋体" w:eastAsia="宋体" w:cs="宋体"/>
                <w:color w:val="auto"/>
                <w:sz w:val="24"/>
                <w:szCs w:val="24"/>
                <w:highlight w:val="none"/>
                <w:lang w:val="en-US" w:eastAsia="zh-CN"/>
              </w:rPr>
              <w:t>基本全面、</w:t>
            </w:r>
            <w:r>
              <w:rPr>
                <w:rFonts w:hint="eastAsia" w:ascii="宋体" w:hAnsi="宋体" w:eastAsia="宋体" w:cs="宋体"/>
                <w:color w:val="auto"/>
                <w:sz w:val="24"/>
                <w:szCs w:val="24"/>
                <w:highlight w:val="none"/>
              </w:rPr>
              <w:t>完善</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lang w:val="en-US" w:eastAsia="zh-CN"/>
              </w:rPr>
              <w:t>覆盖率达30%</w:t>
            </w:r>
            <w:r>
              <w:rPr>
                <w:rFonts w:hint="eastAsia" w:ascii="宋体" w:hAnsi="宋体" w:eastAsia="宋体" w:cs="宋体"/>
                <w:color w:val="auto"/>
                <w:sz w:val="24"/>
                <w:szCs w:val="24"/>
                <w:highlight w:val="none"/>
                <w:lang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pPr>
              <w:keepNext w:val="0"/>
              <w:keepLines w:val="0"/>
              <w:pageBreakBefore w:val="0"/>
              <w:kinsoku/>
              <w:wordWrap/>
              <w:overflowPunct/>
              <w:topLinePunct w:val="0"/>
              <w:bidi w:val="0"/>
              <w:spacing w:line="3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lang w:eastAsia="zh-CN"/>
              </w:rPr>
              <w:t>其他得0分。</w:t>
            </w:r>
          </w:p>
        </w:tc>
        <w:tc>
          <w:tcPr>
            <w:tcW w:w="1000" w:type="dxa"/>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80" w:lineRule="exact"/>
              <w:ind w:firstLine="0" w:firstLineChars="0"/>
              <w:jc w:val="center"/>
              <w:textAlignment w:val="auto"/>
              <w:outlineLvl w:val="9"/>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shd w:val="clear" w:color="auto" w:fill="auto"/>
            <w:noWrap/>
            <w:vAlign w:val="center"/>
          </w:tcPr>
          <w:p>
            <w:pPr>
              <w:snapToGrid w:val="0"/>
              <w:spacing w:line="240" w:lineRule="auto"/>
              <w:jc w:val="center"/>
              <w:rPr>
                <w:rFonts w:hint="default"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9</w:t>
            </w:r>
          </w:p>
        </w:tc>
        <w:tc>
          <w:tcPr>
            <w:tcW w:w="726" w:type="dxa"/>
            <w:shd w:val="clear" w:color="auto" w:fill="auto"/>
            <w:vAlign w:val="center"/>
          </w:tcPr>
          <w:p>
            <w:pPr>
              <w:spacing w:line="240" w:lineRule="auto"/>
              <w:jc w:val="center"/>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宋体"/>
                <w:color w:val="auto"/>
                <w:sz w:val="24"/>
                <w:szCs w:val="24"/>
                <w:highlight w:val="none"/>
                <w:lang w:eastAsia="zh-CN"/>
              </w:rPr>
              <w:t>紧急预案评价</w:t>
            </w:r>
          </w:p>
        </w:tc>
        <w:tc>
          <w:tcPr>
            <w:tcW w:w="8078" w:type="dxa"/>
            <w:shd w:val="clear" w:color="auto" w:fill="auto"/>
            <w:vAlign w:val="center"/>
          </w:tcPr>
          <w:p>
            <w:pPr>
              <w:snapToGrid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方案中紧急预案实用、经济，充分考虑项目特点，切实可行的，得6分；</w:t>
            </w:r>
          </w:p>
          <w:p>
            <w:pPr>
              <w:snapToGrid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方案中紧急预案基本实用、经济，较多地考虑了项目的特点，较可行的，得4分；</w:t>
            </w:r>
          </w:p>
          <w:p>
            <w:pPr>
              <w:snapToGrid w:val="0"/>
              <w:spacing w:line="24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方案中紧急预案实用性、经济性一般，项目特点考虑一般，基本可行的，得2分；</w:t>
            </w:r>
          </w:p>
          <w:p>
            <w:pPr>
              <w:snapToGrid w:val="0"/>
              <w:spacing w:line="24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lang w:eastAsia="zh-CN"/>
              </w:rPr>
              <w:t>其他得0分。</w:t>
            </w:r>
          </w:p>
        </w:tc>
        <w:tc>
          <w:tcPr>
            <w:tcW w:w="1000" w:type="dxa"/>
            <w:shd w:val="clear" w:color="auto" w:fill="auto"/>
            <w:vAlign w:val="center"/>
          </w:tcPr>
          <w:p>
            <w:pPr>
              <w:snapToGrid w:val="0"/>
              <w:spacing w:line="240" w:lineRule="auto"/>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shd w:val="clear" w:color="auto" w:fill="auto"/>
            <w:noWrap/>
            <w:vAlign w:val="center"/>
          </w:tcPr>
          <w:p>
            <w:pPr>
              <w:snapToGrid w:val="0"/>
              <w:spacing w:line="240" w:lineRule="auto"/>
              <w:jc w:val="center"/>
              <w:rPr>
                <w:rFonts w:hint="default"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en-US" w:eastAsia="zh-CN"/>
              </w:rPr>
              <w:t>10</w:t>
            </w:r>
          </w:p>
        </w:tc>
        <w:tc>
          <w:tcPr>
            <w:tcW w:w="726" w:type="dxa"/>
            <w:shd w:val="clear" w:color="auto" w:fill="auto"/>
            <w:vAlign w:val="center"/>
          </w:tcPr>
          <w:p>
            <w:pPr>
              <w:keepNext w:val="0"/>
              <w:keepLines w:val="0"/>
              <w:pageBreakBefore w:val="0"/>
              <w:kinsoku/>
              <w:wordWrap/>
              <w:overflowPunct/>
              <w:topLinePunct w:val="0"/>
              <w:bidi w:val="0"/>
              <w:snapToGrid w:val="0"/>
              <w:spacing w:line="380" w:lineRule="exact"/>
              <w:ind w:firstLine="0" w:firstLineChars="0"/>
              <w:jc w:val="center"/>
              <w:textAlignment w:val="auto"/>
              <w:rPr>
                <w:rFonts w:hint="eastAsia" w:ascii="宋体" w:hAnsi="宋体" w:eastAsia="宋体" w:cs="Times New Roman"/>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auto"/>
                <w:sz w:val="24"/>
                <w:szCs w:val="24"/>
                <w:highlight w:val="none"/>
                <w:lang w:eastAsia="zh-CN"/>
              </w:rPr>
              <w:t>与采购人沟通方案</w:t>
            </w:r>
          </w:p>
        </w:tc>
        <w:tc>
          <w:tcPr>
            <w:tcW w:w="8078" w:type="dxa"/>
            <w:shd w:val="clear" w:color="auto" w:fill="auto"/>
            <w:vAlign w:val="center"/>
          </w:tcPr>
          <w:p>
            <w:pPr>
              <w:keepNext w:val="0"/>
              <w:keepLines w:val="0"/>
              <w:pageBreakBefore w:val="0"/>
              <w:kinsoku/>
              <w:wordWrap/>
              <w:overflowPunct/>
              <w:topLinePunct w:val="0"/>
              <w:bidi w:val="0"/>
              <w:snapToGrid w:val="0"/>
              <w:spacing w:line="380" w:lineRule="exact"/>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有专人定期与采购人沟通，并接受采购人现场指导监督，配合采购人随时进行抽测比对，配合、沟通方案详细、可行性强的，得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w:t>
            </w:r>
          </w:p>
          <w:p>
            <w:pPr>
              <w:keepNext w:val="0"/>
              <w:keepLines w:val="0"/>
              <w:pageBreakBefore w:val="0"/>
              <w:kinsoku/>
              <w:wordWrap/>
              <w:overflowPunct/>
              <w:topLinePunct w:val="0"/>
              <w:bidi w:val="0"/>
              <w:snapToGrid w:val="0"/>
              <w:spacing w:line="380" w:lineRule="exact"/>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有专人定期与采购人沟通，并接受配合采购人现场指导监督，配合、沟通方案较详细、较可行性的，得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w:t>
            </w:r>
          </w:p>
          <w:p>
            <w:pPr>
              <w:keepNext w:val="0"/>
              <w:keepLines w:val="0"/>
              <w:pageBreakBefore w:val="0"/>
              <w:kinsoku/>
              <w:wordWrap/>
              <w:overflowPunct/>
              <w:topLinePunct w:val="0"/>
              <w:bidi w:val="0"/>
              <w:snapToGrid w:val="0"/>
              <w:spacing w:line="380" w:lineRule="exact"/>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提供了配合、沟通方案，但与采购人沟通方案一般的，得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w:t>
            </w:r>
          </w:p>
          <w:p>
            <w:pPr>
              <w:keepNext w:val="0"/>
              <w:keepLines w:val="0"/>
              <w:pageBreakBefore w:val="0"/>
              <w:kinsoku/>
              <w:wordWrap/>
              <w:overflowPunct/>
              <w:topLinePunct w:val="0"/>
              <w:bidi w:val="0"/>
              <w:snapToGrid w:val="0"/>
              <w:spacing w:line="380" w:lineRule="exact"/>
              <w:ind w:firstLine="0" w:firstLine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lang w:eastAsia="zh-CN"/>
              </w:rPr>
              <w:t>其他得0分。</w:t>
            </w:r>
          </w:p>
        </w:tc>
        <w:tc>
          <w:tcPr>
            <w:tcW w:w="1000" w:type="dxa"/>
            <w:shd w:val="clear" w:color="auto" w:fill="auto"/>
            <w:vAlign w:val="center"/>
          </w:tcPr>
          <w:p>
            <w:pPr>
              <w:keepNext w:val="0"/>
              <w:keepLines w:val="0"/>
              <w:pageBreakBefore w:val="0"/>
              <w:kinsoku/>
              <w:wordWrap/>
              <w:overflowPunct/>
              <w:topLinePunct w:val="0"/>
              <w:bidi w:val="0"/>
              <w:snapToGrid w:val="0"/>
              <w:spacing w:line="380" w:lineRule="exact"/>
              <w:ind w:firstLine="0" w:firstLineChars="0"/>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auto"/>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0" w:type="dxa"/>
            <w:gridSpan w:val="4"/>
            <w:shd w:val="clear" w:color="auto" w:fill="auto"/>
            <w:noWrap/>
            <w:vAlign w:val="center"/>
          </w:tcPr>
          <w:p>
            <w:pPr>
              <w:keepNext w:val="0"/>
              <w:keepLines w:val="0"/>
              <w:pageBreakBefore w:val="0"/>
              <w:widowControl/>
              <w:kinsoku/>
              <w:wordWrap/>
              <w:overflowPunct/>
              <w:topLinePunct w:val="0"/>
              <w:autoSpaceDE/>
              <w:autoSpaceDN/>
              <w:bidi w:val="0"/>
              <w:snapToGrid w:val="0"/>
              <w:spacing w:line="240" w:lineRule="auto"/>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auto"/>
                <w:sz w:val="24"/>
                <w:szCs w:val="24"/>
                <w:highlight w:val="none"/>
                <w:lang w:eastAsia="zh-CN"/>
              </w:rPr>
              <w:t>第四部分</w:t>
            </w:r>
            <w:r>
              <w:rPr>
                <w:rFonts w:hint="eastAsia" w:ascii="宋体" w:hAnsi="宋体" w:eastAsia="宋体" w:cs="宋体"/>
                <w:color w:val="auto"/>
                <w:sz w:val="24"/>
                <w:szCs w:val="24"/>
                <w:highlight w:val="none"/>
                <w:lang w:val="en-US" w:eastAsia="zh-CN"/>
              </w:rPr>
              <w:t xml:space="preserve">  扣分条款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60" w:type="dxa"/>
            <w:gridSpan w:val="4"/>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TW" w:eastAsia="zh-CN"/>
              </w:rPr>
              <w:t>经评标委员会认定有下列情形之一的，减</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lang w:val="zh-TW" w:eastAsia="zh-CN"/>
              </w:rPr>
              <w:t>分，最多减</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TW" w:eastAsia="zh-CN"/>
              </w:rPr>
              <w:t>分：</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文件不完整，缺页的；</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文件无页码、无目录、目录所示页码与</w:t>
            </w:r>
            <w:r>
              <w:rPr>
                <w:rFonts w:hint="eastAsia" w:ascii="宋体" w:hAnsi="宋体" w:cs="宋体"/>
                <w:color w:val="000000" w:themeColor="text1"/>
                <w:sz w:val="24"/>
                <w:szCs w:val="24"/>
                <w:highlight w:val="none"/>
                <w:lang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文件内容页码不对应的；</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文件未装订、装订有误的；</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cs="宋体"/>
                <w:color w:val="000000" w:themeColor="text1"/>
                <w:sz w:val="24"/>
                <w:szCs w:val="24"/>
                <w:highlight w:val="none"/>
                <w:lang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文件正本文件、副本文件内容不一致的；</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.不按照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文件要求制作</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文件，复制</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文件的相关部分内容作为其</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文件的一部分的；</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文件内容无法辨认的，包括盖章不清楚、印刷不清楚、字迹模糊等情形的；</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文件对同一问题的前后表述不一致的；</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.未在规定时间内答复</w:t>
            </w:r>
            <w:r>
              <w:rPr>
                <w:rFonts w:hint="eastAsia" w:ascii="宋体" w:hAnsi="宋体" w:eastAsia="宋体" w:cs="宋体"/>
                <w:color w:val="000000" w:themeColor="text1"/>
                <w:sz w:val="24"/>
                <w:szCs w:val="24"/>
                <w:highlight w:val="none"/>
                <w:lang w:val="en-US" w:eastAsia="zh-CN"/>
                <w14:textFill>
                  <w14:solidFill>
                    <w14:schemeClr w14:val="tx1"/>
                  </w14:solidFill>
                </w14:textFill>
              </w:rPr>
              <w:t>评标委员会</w:t>
            </w:r>
            <w:r>
              <w:rPr>
                <w:rFonts w:hint="eastAsia" w:ascii="宋体" w:hAnsi="宋体" w:eastAsia="宋体" w:cs="宋体"/>
                <w:color w:val="000000" w:themeColor="text1"/>
                <w:sz w:val="24"/>
                <w:szCs w:val="24"/>
                <w:highlight w:val="none"/>
                <w14:textFill>
                  <w14:solidFill>
                    <w14:schemeClr w14:val="tx1"/>
                  </w14:solidFill>
                </w14:textFill>
              </w:rPr>
              <w:t>提出的问题。</w:t>
            </w:r>
          </w:p>
        </w:tc>
      </w:tr>
    </w:tbl>
    <w:p>
      <w:pPr>
        <w:spacing w:line="360" w:lineRule="auto"/>
        <w:outlineLvl w:val="0"/>
        <w:rPr>
          <w:rFonts w:hint="eastAsia" w:ascii="宋体" w:hAnsi="宋体" w:eastAsia="宋体" w:cs="宋体"/>
          <w:sz w:val="24"/>
          <w:highlight w:val="none"/>
        </w:rPr>
      </w:pPr>
      <w:bookmarkStart w:id="16" w:name="_Toc26703"/>
      <w:bookmarkStart w:id="17" w:name="_Toc27368"/>
      <w:bookmarkStart w:id="18" w:name="_Toc26654"/>
      <w:r>
        <w:rPr>
          <w:rFonts w:hint="eastAsia" w:ascii="宋体" w:hAnsi="宋体" w:eastAsia="宋体" w:cs="宋体"/>
          <w:sz w:val="24"/>
          <w:highlight w:val="none"/>
        </w:rPr>
        <w:t>四、投标文件内容要求</w:t>
      </w:r>
      <w:bookmarkEnd w:id="16"/>
      <w:bookmarkEnd w:id="17"/>
      <w:bookmarkEnd w:id="18"/>
    </w:p>
    <w:p>
      <w:pPr>
        <w:pStyle w:val="34"/>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密封方法如下图所示：</w:t>
      </w:r>
    </w:p>
    <w:tbl>
      <w:tblPr>
        <w:tblStyle w:val="23"/>
        <w:tblpPr w:leftFromText="180" w:rightFromText="180" w:vertAnchor="text" w:horzAnchor="page" w:tblpX="4492" w:tblpY="211"/>
        <w:tblOverlap w:val="never"/>
        <w:tblW w:w="2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2880" w:type="dxa"/>
            <w:noWrap w:val="0"/>
            <w:vAlign w:val="center"/>
          </w:tcPr>
          <w:p>
            <w:pPr>
              <w:pStyle w:val="34"/>
              <w:snapToGrid w:val="0"/>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投标文件</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1正2副</w:t>
            </w:r>
            <w:r>
              <w:rPr>
                <w:rFonts w:hint="eastAsia" w:ascii="宋体" w:hAnsi="宋体" w:eastAsia="宋体" w:cs="宋体"/>
                <w:color w:val="auto"/>
                <w:highlight w:val="none"/>
                <w:lang w:eastAsia="zh-CN"/>
              </w:rPr>
              <w:t>）</w:t>
            </w:r>
          </w:p>
          <w:p>
            <w:pPr>
              <w:pStyle w:val="34"/>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highlight w:val="none"/>
                <w:lang w:val="en-US" w:eastAsia="zh-CN"/>
              </w:rPr>
              <w:t>电子版光盘文件3份</w:t>
            </w:r>
          </w:p>
        </w:tc>
      </w:tr>
    </w:tbl>
    <w:p>
      <w:pPr>
        <w:spacing w:line="360" w:lineRule="auto"/>
        <w:ind w:firstLine="480" w:firstLineChars="200"/>
        <w:rPr>
          <w:rFonts w:hint="eastAsia" w:ascii="宋体" w:hAnsi="宋体" w:eastAsia="宋体" w:cs="宋体"/>
          <w:sz w:val="24"/>
          <w:szCs w:val="24"/>
          <w:highlight w:val="none"/>
        </w:rPr>
      </w:pPr>
    </w:p>
    <w:p>
      <w:pPr>
        <w:pStyle w:val="9"/>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9"/>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9"/>
        <w:rPr>
          <w:rFonts w:hint="eastAsia" w:ascii="宋体" w:hAnsi="宋体" w:eastAsia="宋体" w:cs="宋体"/>
          <w:sz w:val="24"/>
          <w:szCs w:val="24"/>
          <w:highlight w:val="none"/>
        </w:rPr>
      </w:pPr>
    </w:p>
    <w:p>
      <w:pPr>
        <w:rPr>
          <w:rFonts w:hint="eastAsia" w:ascii="宋体" w:hAnsi="宋体" w:eastAsia="宋体" w:cs="宋体"/>
          <w:highlight w:val="none"/>
        </w:rPr>
      </w:pP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（一）本项目须提交纸质投标文件，包括</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正</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副纸质投标文件</w:t>
      </w:r>
      <w:r>
        <w:rPr>
          <w:rFonts w:hint="eastAsia" w:ascii="宋体" w:hAnsi="宋体" w:eastAsia="宋体" w:cs="宋体"/>
          <w:sz w:val="24"/>
          <w:szCs w:val="24"/>
          <w:highlight w:val="none"/>
        </w:rPr>
        <w:t>，</w:t>
      </w:r>
      <w:r>
        <w:rPr>
          <w:rFonts w:hint="eastAsia" w:ascii="宋体" w:hAnsi="宋体" w:eastAsia="宋体" w:cs="宋体"/>
          <w:kern w:val="2"/>
          <w:sz w:val="24"/>
          <w:szCs w:val="24"/>
          <w:highlight w:val="none"/>
          <w:lang w:val="en-US" w:eastAsia="zh-CN" w:bidi="ar-SA"/>
        </w:rPr>
        <w:t>电子版光盘文件</w:t>
      </w:r>
      <w:r>
        <w:rPr>
          <w:rFonts w:hint="eastAsia" w:ascii="宋体" w:hAnsi="宋体" w:cs="宋体"/>
          <w:kern w:val="2"/>
          <w:sz w:val="24"/>
          <w:szCs w:val="24"/>
          <w:highlight w:val="none"/>
          <w:lang w:val="en-US" w:eastAsia="zh-CN" w:bidi="ar-SA"/>
        </w:rPr>
        <w:t>3份</w:t>
      </w:r>
      <w:r>
        <w:rPr>
          <w:rFonts w:hint="eastAsia" w:ascii="宋体" w:hAnsi="宋体" w:eastAsia="宋体" w:cs="宋体"/>
          <w:sz w:val="24"/>
          <w:szCs w:val="24"/>
          <w:highlight w:val="none"/>
          <w:lang w:val="en-US" w:eastAsia="zh-CN"/>
        </w:rPr>
        <w:t>（word无加密格式）一起</w:t>
      </w:r>
      <w:r>
        <w:rPr>
          <w:rFonts w:hint="eastAsia" w:ascii="宋体" w:hAnsi="宋体" w:eastAsia="宋体" w:cs="宋体"/>
          <w:sz w:val="24"/>
          <w:szCs w:val="24"/>
          <w:highlight w:val="none"/>
        </w:rPr>
        <w:t>密封</w:t>
      </w:r>
      <w:r>
        <w:rPr>
          <w:rFonts w:hint="eastAsia" w:ascii="宋体" w:hAnsi="宋体" w:eastAsia="宋体" w:cs="宋体"/>
          <w:sz w:val="24"/>
          <w:szCs w:val="24"/>
          <w:highlight w:val="none"/>
          <w:lang w:val="en-US" w:eastAsia="zh-CN"/>
        </w:rPr>
        <w:t>成为一包</w:t>
      </w:r>
      <w:r>
        <w:rPr>
          <w:rFonts w:hint="eastAsia" w:ascii="宋体" w:hAnsi="宋体" w:eastAsia="宋体" w:cs="宋体"/>
          <w:sz w:val="24"/>
          <w:szCs w:val="24"/>
          <w:highlight w:val="none"/>
        </w:rPr>
        <w:t>。需在密封处加盖单位公章。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（二）电子版文件应与纸质版文件一致，电子版光盘表面应注明（可加贴光盘贴）：投标项目名称、</w:t>
      </w:r>
      <w:r>
        <w:rPr>
          <w:rFonts w:hint="eastAsia" w:ascii="宋体" w:hAnsi="宋体" w:cs="宋体"/>
          <w:kern w:val="2"/>
          <w:sz w:val="24"/>
          <w:szCs w:val="24"/>
          <w:highlight w:val="none"/>
          <w:lang w:val="en-US" w:eastAsia="zh-CN" w:bidi="ar-SA"/>
        </w:rPr>
        <w:t>项目</w:t>
      </w:r>
      <w:r>
        <w:rPr>
          <w:rFonts w:hint="eastAsia" w:ascii="宋体" w:hAnsi="宋体" w:eastAsia="宋体" w:cs="宋体"/>
          <w:kern w:val="2"/>
          <w:sz w:val="24"/>
          <w:szCs w:val="24"/>
          <w:highlight w:val="none"/>
          <w:lang w:val="en-US" w:eastAsia="zh-CN" w:bidi="ar-SA"/>
        </w:rPr>
        <w:t>编号、投标人名称</w:t>
      </w:r>
      <w:r>
        <w:rPr>
          <w:rFonts w:hint="eastAsia" w:ascii="宋体" w:hAnsi="宋体" w:cs="宋体"/>
          <w:kern w:val="2"/>
          <w:sz w:val="24"/>
          <w:szCs w:val="24"/>
          <w:highlight w:val="none"/>
          <w:lang w:val="en-US" w:eastAsia="zh-CN" w:bidi="ar-SA"/>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eastAsia="zh-CN"/>
        </w:rPr>
        <w:t>三</w:t>
      </w:r>
      <w:r>
        <w:rPr>
          <w:rFonts w:hint="eastAsia" w:ascii="宋体" w:hAnsi="宋体" w:eastAsia="宋体" w:cs="宋体"/>
          <w:sz w:val="24"/>
          <w:szCs w:val="24"/>
          <w:highlight w:val="none"/>
        </w:rPr>
        <w:t>）</w:t>
      </w:r>
      <w:r>
        <w:rPr>
          <w:rFonts w:hint="eastAsia" w:ascii="宋体" w:hAnsi="宋体" w:eastAsia="宋体" w:cs="宋体"/>
          <w:color w:val="auto"/>
          <w:sz w:val="24"/>
          <w:szCs w:val="24"/>
          <w:highlight w:val="none"/>
        </w:rPr>
        <w:t>投标人应在信封上注明投标项目名称、项目编号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投标人名称、投标人地址、邮编、联系电话、投标人代表、法定代表人，并在每一密封信封上注明“于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正式开标之前（指</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邀请中规定的开标日期及时间）不准启封”的字样</w:t>
      </w:r>
      <w:r>
        <w:rPr>
          <w:rFonts w:hint="eastAsia" w:ascii="宋体" w:hAnsi="宋体" w:eastAsia="宋体" w:cs="宋体"/>
          <w:sz w:val="24"/>
          <w:szCs w:val="24"/>
          <w:highlight w:val="none"/>
        </w:rPr>
        <w:t>。</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eastAsia="zh-CN"/>
        </w:rPr>
        <w:t>四</w:t>
      </w:r>
      <w:r>
        <w:rPr>
          <w:rFonts w:hint="eastAsia" w:ascii="宋体" w:hAnsi="宋体" w:eastAsia="宋体" w:cs="宋体"/>
          <w:sz w:val="24"/>
          <w:szCs w:val="24"/>
          <w:highlight w:val="none"/>
        </w:rPr>
        <w:t>）如果包封没有按上述规定密封并加写标志，招标单位将不承担投标文件错放或提前开封的责任，由此造成的提前开封的投标文件将予以拒绝，并退还给投标单位。</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eastAsia="zh-CN"/>
        </w:rPr>
        <w:t>五</w:t>
      </w:r>
      <w:r>
        <w:rPr>
          <w:rFonts w:hint="eastAsia" w:ascii="宋体" w:hAnsi="宋体" w:eastAsia="宋体" w:cs="宋体"/>
          <w:sz w:val="24"/>
          <w:szCs w:val="24"/>
          <w:highlight w:val="none"/>
        </w:rPr>
        <w:t>）投标文件应胶装装订，未装订或活页装订为无效投标。</w:t>
      </w:r>
    </w:p>
    <w:p>
      <w:pPr>
        <w:spacing w:line="360" w:lineRule="auto"/>
        <w:ind w:firstLine="480" w:firstLineChars="200"/>
        <w:outlineLvl w:val="0"/>
        <w:rPr>
          <w:rFonts w:hint="eastAsia" w:ascii="宋体" w:hAnsi="宋体" w:eastAsia="宋体" w:cs="宋体"/>
          <w:sz w:val="24"/>
          <w:highlight w:val="none"/>
        </w:rPr>
      </w:pPr>
      <w:bookmarkStart w:id="19" w:name="_Toc5216"/>
      <w:bookmarkStart w:id="20" w:name="_Toc11097"/>
      <w:bookmarkStart w:id="21" w:name="_Toc26826"/>
      <w:r>
        <w:rPr>
          <w:rFonts w:hint="eastAsia" w:ascii="宋体" w:hAnsi="宋体" w:eastAsia="宋体" w:cs="宋体"/>
          <w:sz w:val="24"/>
          <w:highlight w:val="none"/>
        </w:rPr>
        <w:t>（</w:t>
      </w:r>
      <w:r>
        <w:rPr>
          <w:rFonts w:hint="eastAsia" w:ascii="宋体" w:hAnsi="宋体" w:cs="宋体"/>
          <w:sz w:val="24"/>
          <w:highlight w:val="none"/>
          <w:lang w:eastAsia="zh-CN"/>
        </w:rPr>
        <w:t>六</w:t>
      </w:r>
      <w:r>
        <w:rPr>
          <w:rFonts w:hint="eastAsia" w:ascii="宋体" w:hAnsi="宋体" w:eastAsia="宋体" w:cs="宋体"/>
          <w:sz w:val="24"/>
          <w:highlight w:val="none"/>
        </w:rPr>
        <w:t>）投标文件格式参照第五部分“投标文件格式”。</w:t>
      </w:r>
      <w:bookmarkEnd w:id="19"/>
      <w:bookmarkEnd w:id="20"/>
      <w:bookmarkEnd w:id="21"/>
    </w:p>
    <w:p>
      <w:pPr>
        <w:tabs>
          <w:tab w:val="left" w:pos="210"/>
        </w:tabs>
        <w:autoSpaceDE w:val="0"/>
        <w:autoSpaceDN w:val="0"/>
        <w:adjustRightIn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eastAsia="zh-CN"/>
        </w:rPr>
        <w:t>七</w:t>
      </w:r>
      <w:r>
        <w:rPr>
          <w:rFonts w:hint="eastAsia" w:ascii="宋体" w:hAnsi="宋体" w:eastAsia="宋体" w:cs="宋体"/>
          <w:sz w:val="24"/>
          <w:szCs w:val="24"/>
          <w:highlight w:val="none"/>
        </w:rPr>
        <w:t>）本部分如与招标文件第三部分至第五部分有不同之处，以本部分内容为准</w:t>
      </w:r>
    </w:p>
    <w:p>
      <w:pPr>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z w:val="24"/>
          <w:highlight w:val="none"/>
        </w:rPr>
        <w:t>（</w:t>
      </w:r>
      <w:r>
        <w:rPr>
          <w:rFonts w:hint="eastAsia" w:ascii="宋体" w:hAnsi="宋体" w:cs="宋体"/>
          <w:sz w:val="24"/>
          <w:highlight w:val="none"/>
          <w:lang w:eastAsia="zh-CN"/>
        </w:rPr>
        <w:t>八</w:t>
      </w:r>
      <w:r>
        <w:rPr>
          <w:rFonts w:hint="eastAsia" w:ascii="宋体" w:hAnsi="宋体" w:eastAsia="宋体" w:cs="宋体"/>
          <w:sz w:val="24"/>
          <w:highlight w:val="none"/>
        </w:rPr>
        <w:t>）中标</w:t>
      </w:r>
      <w:r>
        <w:rPr>
          <w:rFonts w:hint="eastAsia" w:ascii="宋体" w:hAnsi="宋体" w:cs="宋体"/>
          <w:sz w:val="24"/>
          <w:highlight w:val="none"/>
          <w:lang w:eastAsia="zh-CN"/>
        </w:rPr>
        <w:t>人</w:t>
      </w:r>
      <w:r>
        <w:rPr>
          <w:rFonts w:hint="eastAsia" w:ascii="宋体" w:hAnsi="宋体" w:eastAsia="宋体" w:cs="宋体"/>
          <w:sz w:val="24"/>
          <w:highlight w:val="none"/>
        </w:rPr>
        <w:t>须于中标公告发布之日起两个工作日内到</w:t>
      </w:r>
      <w:r>
        <w:rPr>
          <w:rFonts w:hint="eastAsia" w:ascii="宋体" w:hAnsi="宋体" w:eastAsia="宋体" w:cs="宋体"/>
          <w:sz w:val="24"/>
          <w:highlight w:val="none"/>
          <w:lang w:eastAsia="zh-CN"/>
        </w:rPr>
        <w:t>中易（天津）工程咨询有限公司</w:t>
      </w:r>
      <w:r>
        <w:rPr>
          <w:rFonts w:hint="eastAsia" w:ascii="宋体" w:hAnsi="宋体" w:eastAsia="宋体" w:cs="宋体"/>
          <w:sz w:val="24"/>
          <w:highlight w:val="none"/>
        </w:rPr>
        <w:t>领取中标通知书，逾期未领取者视同领取；采购人与中标</w:t>
      </w:r>
      <w:r>
        <w:rPr>
          <w:rFonts w:hint="eastAsia" w:ascii="宋体" w:hAnsi="宋体" w:cs="宋体"/>
          <w:sz w:val="24"/>
          <w:highlight w:val="none"/>
          <w:lang w:eastAsia="zh-CN"/>
        </w:rPr>
        <w:t>人</w:t>
      </w:r>
      <w:r>
        <w:rPr>
          <w:rFonts w:hint="eastAsia" w:ascii="宋体" w:hAnsi="宋体" w:eastAsia="宋体" w:cs="宋体"/>
          <w:sz w:val="24"/>
          <w:highlight w:val="none"/>
        </w:rPr>
        <w:t>应当在中标通知书发出之日起三十日内，按照招标文件确定的事项签订政府采购合同,采购人需将采购合同在天津市政府采购网上公示，并将其合同副本一份送</w:t>
      </w:r>
      <w:r>
        <w:rPr>
          <w:rFonts w:hint="eastAsia" w:ascii="宋体" w:hAnsi="宋体" w:eastAsia="宋体" w:cs="宋体"/>
          <w:color w:val="000000" w:themeColor="text1"/>
          <w:sz w:val="24"/>
          <w:highlight w:val="none"/>
          <w14:textFill>
            <w14:solidFill>
              <w14:schemeClr w14:val="tx1"/>
            </w14:solidFill>
          </w14:textFill>
        </w:rPr>
        <w:t>达</w:t>
      </w:r>
      <w:r>
        <w:rPr>
          <w:rFonts w:hint="eastAsia" w:ascii="宋体" w:hAnsi="宋体" w:eastAsia="宋体" w:cs="宋体"/>
          <w:color w:val="000000" w:themeColor="text1"/>
          <w:sz w:val="24"/>
          <w:highlight w:val="none"/>
          <w:lang w:eastAsia="zh-CN"/>
          <w14:textFill>
            <w14:solidFill>
              <w14:schemeClr w14:val="tx1"/>
            </w14:solidFill>
          </w14:textFill>
        </w:rPr>
        <w:t>中易（天津）工程咨询有限公司</w:t>
      </w:r>
      <w:r>
        <w:rPr>
          <w:rFonts w:hint="eastAsia" w:ascii="宋体" w:hAnsi="宋体" w:eastAsia="宋体" w:cs="宋体"/>
          <w:color w:val="000000" w:themeColor="text1"/>
          <w:sz w:val="24"/>
          <w:highlight w:val="none"/>
          <w14:textFill>
            <w14:solidFill>
              <w14:schemeClr w14:val="tx1"/>
            </w14:solidFill>
          </w14:textFill>
        </w:rPr>
        <w:t>进行备案。</w:t>
      </w:r>
    </w:p>
    <w:p>
      <w:pPr>
        <w:pStyle w:val="34"/>
        <w:keepNext w:val="0"/>
        <w:keepLines w:val="0"/>
        <w:pageBreakBefore w:val="0"/>
        <w:kinsoku/>
        <w:wordWrap/>
        <w:overflowPunct/>
        <w:topLinePunct w:val="0"/>
        <w:bidi w:val="0"/>
        <w:snapToGrid/>
        <w:spacing w:line="360" w:lineRule="auto"/>
        <w:ind w:firstLine="480" w:firstLineChars="200"/>
        <w:jc w:val="both"/>
        <w:textAlignment w:val="auto"/>
        <w:rPr>
          <w:rFonts w:hint="default" w:ascii="宋体" w:hAnsi="宋体" w:eastAsia="宋体" w:cs="宋体"/>
          <w:color w:val="000000" w:themeColor="text1"/>
          <w:kern w:val="2"/>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五、其他注意事项</w:t>
      </w:r>
    </w:p>
    <w:p>
      <w:pPr>
        <w:pStyle w:val="34"/>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（一）代理服务费</w:t>
      </w:r>
    </w:p>
    <w:p>
      <w:pPr>
        <w:pStyle w:val="34"/>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14:textFill>
            <w14:solidFill>
              <w14:schemeClr w14:val="tx1"/>
            </w14:solidFill>
          </w14:textFill>
        </w:rPr>
        <w:t>1.根据国家计委关于印发《招标代理服务收费管理暂行办法的通知（计价格[2002]1980号）》和发改办价格[2003]857号规定作为计价依据</w:t>
      </w:r>
      <w:r>
        <w:rPr>
          <w:rFonts w:hint="eastAsia" w:ascii="宋体" w:hAnsi="宋体" w:eastAsia="宋体" w:cs="宋体"/>
          <w:color w:val="000000" w:themeColor="text1"/>
          <w:kern w:val="2"/>
          <w:sz w:val="24"/>
          <w:szCs w:val="24"/>
          <w:highlight w:val="none"/>
          <w:lang w:val="en-US" w:eastAsia="zh-CN"/>
          <w14:textFill>
            <w14:solidFill>
              <w14:schemeClr w14:val="tx1"/>
            </w14:solidFill>
          </w14:textFill>
        </w:rPr>
        <w:t>收取服务费</w:t>
      </w:r>
      <w:r>
        <w:rPr>
          <w:rFonts w:hint="eastAsia" w:ascii="宋体" w:hAnsi="宋体" w:eastAsia="宋体" w:cs="宋体"/>
          <w:color w:val="000000" w:themeColor="text1"/>
          <w:kern w:val="2"/>
          <w:sz w:val="24"/>
          <w:szCs w:val="24"/>
          <w:highlight w:val="none"/>
          <w14:textFill>
            <w14:solidFill>
              <w14:schemeClr w14:val="tx1"/>
            </w14:solidFill>
          </w14:textFill>
        </w:rPr>
        <w:t>，本次项目向成交供应商收取</w:t>
      </w:r>
      <w:r>
        <w:rPr>
          <w:rFonts w:hint="eastAsia" w:ascii="宋体" w:hAnsi="宋体" w:eastAsia="宋体" w:cs="宋体"/>
          <w:color w:val="000000" w:themeColor="text1"/>
          <w:kern w:val="2"/>
          <w:sz w:val="24"/>
          <w:szCs w:val="24"/>
          <w:highlight w:val="none"/>
          <w:lang w:eastAsia="zh-CN"/>
          <w14:textFill>
            <w14:solidFill>
              <w14:schemeClr w14:val="tx1"/>
            </w14:solidFill>
          </w14:textFill>
        </w:rPr>
        <w:t>代理</w:t>
      </w:r>
      <w:r>
        <w:rPr>
          <w:rFonts w:hint="eastAsia" w:ascii="宋体" w:hAnsi="宋体" w:eastAsia="宋体" w:cs="宋体"/>
          <w:color w:val="000000" w:themeColor="text1"/>
          <w:kern w:val="2"/>
          <w:sz w:val="24"/>
          <w:szCs w:val="24"/>
          <w:highlight w:val="none"/>
          <w14:textFill>
            <w14:solidFill>
              <w14:schemeClr w14:val="tx1"/>
            </w14:solidFill>
          </w14:textFill>
        </w:rPr>
        <w:t>服务费</w:t>
      </w:r>
      <w:r>
        <w:rPr>
          <w:rFonts w:hint="eastAsia" w:ascii="宋体" w:hAnsi="宋体" w:eastAsia="宋体" w:cs="宋体"/>
          <w:color w:val="000000" w:themeColor="text1"/>
          <w:kern w:val="2"/>
          <w:sz w:val="24"/>
          <w:szCs w:val="24"/>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如本项目发生论证、公证、造价等其他费用，由</w:t>
      </w:r>
      <w:r>
        <w:rPr>
          <w:rFonts w:hint="eastAsia" w:ascii="宋体" w:hAnsi="宋体" w:eastAsia="宋体" w:cs="宋体"/>
          <w:color w:val="000000" w:themeColor="text1"/>
          <w:highlight w:val="none"/>
          <w:lang w:val="en-US" w:eastAsia="zh-CN"/>
          <w14:textFill>
            <w14:solidFill>
              <w14:schemeClr w14:val="tx1"/>
            </w14:solidFill>
          </w14:textFill>
        </w:rPr>
        <w:t>中标人</w:t>
      </w:r>
      <w:r>
        <w:rPr>
          <w:rFonts w:hint="eastAsia" w:ascii="宋体" w:hAnsi="宋体" w:eastAsia="宋体" w:cs="宋体"/>
          <w:color w:val="000000" w:themeColor="text1"/>
          <w:highlight w:val="none"/>
          <w14:textFill>
            <w14:solidFill>
              <w14:schemeClr w14:val="tx1"/>
            </w14:solidFill>
          </w14:textFill>
        </w:rPr>
        <w:t>一并支付</w:t>
      </w:r>
      <w:r>
        <w:rPr>
          <w:rFonts w:hint="eastAsia" w:ascii="宋体" w:hAnsi="宋体" w:eastAsia="宋体" w:cs="宋体"/>
          <w:color w:val="000000" w:themeColor="text1"/>
          <w:kern w:val="2"/>
          <w:sz w:val="24"/>
          <w:szCs w:val="24"/>
          <w:highlight w:val="none"/>
          <w14:textFill>
            <w14:solidFill>
              <w14:schemeClr w14:val="tx1"/>
            </w14:solidFill>
          </w14:textFill>
        </w:rPr>
        <w:t>。</w:t>
      </w:r>
    </w:p>
    <w:tbl>
      <w:tblPr>
        <w:tblStyle w:val="24"/>
        <w:tblW w:w="83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29"/>
        <w:gridCol w:w="41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4229" w:type="dxa"/>
            <w:tcBorders>
              <w:tl2br w:val="nil"/>
              <w:tr2bl w:val="nil"/>
            </w:tcBorders>
            <w:vAlign w:val="center"/>
          </w:tcPr>
          <w:p>
            <w:pPr>
              <w:pStyle w:val="9"/>
              <w:spacing w:after="0" w:line="360" w:lineRule="auto"/>
              <w:jc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成交金额（万元）</w:t>
            </w:r>
          </w:p>
        </w:tc>
        <w:tc>
          <w:tcPr>
            <w:tcW w:w="4150" w:type="dxa"/>
            <w:tcBorders>
              <w:tl2br w:val="nil"/>
              <w:tr2bl w:val="nil"/>
            </w:tcBorders>
            <w:vAlign w:val="center"/>
          </w:tcPr>
          <w:p>
            <w:pPr>
              <w:pStyle w:val="9"/>
              <w:spacing w:after="0" w:line="360" w:lineRule="auto"/>
              <w:jc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服务招标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29" w:type="dxa"/>
            <w:tcBorders>
              <w:tl2br w:val="nil"/>
              <w:tr2bl w:val="nil"/>
            </w:tcBorders>
            <w:vAlign w:val="center"/>
          </w:tcPr>
          <w:p>
            <w:pPr>
              <w:pStyle w:val="9"/>
              <w:spacing w:after="0" w:line="360" w:lineRule="auto"/>
              <w:jc w:val="center"/>
              <w:rPr>
                <w:rFonts w:ascii="宋体" w:hAnsi="宋体" w:eastAsia="宋体" w:cs="宋体"/>
                <w:sz w:val="24"/>
                <w:highlight w:val="none"/>
              </w:rPr>
            </w:pPr>
            <w:r>
              <w:rPr>
                <w:rFonts w:hint="eastAsia" w:ascii="宋体" w:hAnsi="宋体" w:cs="宋体"/>
                <w:sz w:val="24"/>
                <w:highlight w:val="none"/>
              </w:rPr>
              <w:t>100以下</w:t>
            </w:r>
          </w:p>
        </w:tc>
        <w:tc>
          <w:tcPr>
            <w:tcW w:w="4150" w:type="dxa"/>
            <w:tcBorders>
              <w:tl2br w:val="nil"/>
              <w:tr2bl w:val="nil"/>
            </w:tcBorders>
            <w:vAlign w:val="center"/>
          </w:tcPr>
          <w:p>
            <w:pPr>
              <w:pStyle w:val="9"/>
              <w:spacing w:after="0" w:line="360" w:lineRule="auto"/>
              <w:jc w:val="center"/>
              <w:rPr>
                <w:rFonts w:ascii="宋体" w:hAnsi="宋体" w:eastAsia="宋体" w:cs="宋体"/>
                <w:sz w:val="24"/>
                <w:highlight w:val="none"/>
              </w:rPr>
            </w:pPr>
            <w:r>
              <w:rPr>
                <w:rFonts w:hint="eastAsia" w:ascii="宋体" w:hAnsi="宋体" w:cs="宋体"/>
                <w:sz w:val="24"/>
                <w:highlight w:val="none"/>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29" w:type="dxa"/>
            <w:tcBorders>
              <w:tl2br w:val="nil"/>
              <w:tr2bl w:val="nil"/>
            </w:tcBorders>
            <w:vAlign w:val="center"/>
          </w:tcPr>
          <w:p>
            <w:pPr>
              <w:pStyle w:val="9"/>
              <w:spacing w:after="0" w:line="360" w:lineRule="auto"/>
              <w:jc w:val="center"/>
              <w:rPr>
                <w:rFonts w:ascii="宋体" w:hAnsi="宋体" w:eastAsia="宋体" w:cs="宋体"/>
                <w:sz w:val="24"/>
                <w:highlight w:val="none"/>
              </w:rPr>
            </w:pPr>
            <w:r>
              <w:rPr>
                <w:rFonts w:hint="eastAsia" w:ascii="宋体" w:hAnsi="宋体" w:cs="宋体"/>
                <w:sz w:val="24"/>
                <w:highlight w:val="none"/>
              </w:rPr>
              <w:t>100-500</w:t>
            </w:r>
          </w:p>
        </w:tc>
        <w:tc>
          <w:tcPr>
            <w:tcW w:w="4150" w:type="dxa"/>
            <w:tcBorders>
              <w:tl2br w:val="nil"/>
              <w:tr2bl w:val="nil"/>
            </w:tcBorders>
            <w:vAlign w:val="center"/>
          </w:tcPr>
          <w:p>
            <w:pPr>
              <w:pStyle w:val="9"/>
              <w:spacing w:after="0" w:line="360" w:lineRule="auto"/>
              <w:jc w:val="center"/>
              <w:rPr>
                <w:rFonts w:ascii="宋体" w:hAnsi="宋体" w:eastAsia="宋体" w:cs="宋体"/>
                <w:sz w:val="24"/>
                <w:highlight w:val="none"/>
              </w:rPr>
            </w:pPr>
            <w:r>
              <w:rPr>
                <w:rFonts w:hint="eastAsia" w:ascii="宋体" w:hAnsi="宋体" w:cs="宋体"/>
                <w:sz w:val="24"/>
                <w:highlight w:val="none"/>
              </w:rPr>
              <w:t>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229" w:type="dxa"/>
            <w:tcBorders>
              <w:tl2br w:val="nil"/>
              <w:tr2bl w:val="nil"/>
            </w:tcBorders>
            <w:vAlign w:val="center"/>
          </w:tcPr>
          <w:p>
            <w:pPr>
              <w:pStyle w:val="9"/>
              <w:spacing w:after="0" w:line="360" w:lineRule="auto"/>
              <w:jc w:val="center"/>
              <w:rPr>
                <w:rFonts w:ascii="宋体" w:hAnsi="宋体" w:eastAsia="宋体" w:cs="宋体"/>
                <w:sz w:val="24"/>
                <w:highlight w:val="none"/>
              </w:rPr>
            </w:pPr>
            <w:r>
              <w:rPr>
                <w:rFonts w:hint="eastAsia" w:ascii="宋体" w:hAnsi="宋体" w:cs="宋体"/>
                <w:sz w:val="24"/>
                <w:highlight w:val="none"/>
              </w:rPr>
              <w:t>500-1000</w:t>
            </w:r>
          </w:p>
        </w:tc>
        <w:tc>
          <w:tcPr>
            <w:tcW w:w="4150" w:type="dxa"/>
            <w:tcBorders>
              <w:tl2br w:val="nil"/>
              <w:tr2bl w:val="nil"/>
            </w:tcBorders>
            <w:vAlign w:val="center"/>
          </w:tcPr>
          <w:p>
            <w:pPr>
              <w:pStyle w:val="9"/>
              <w:spacing w:after="0" w:line="360" w:lineRule="auto"/>
              <w:jc w:val="center"/>
              <w:rPr>
                <w:rFonts w:ascii="宋体" w:hAnsi="宋体" w:eastAsia="宋体" w:cs="宋体"/>
                <w:sz w:val="24"/>
                <w:highlight w:val="none"/>
              </w:rPr>
            </w:pPr>
            <w:r>
              <w:rPr>
                <w:rFonts w:hint="eastAsia" w:ascii="宋体" w:hAnsi="宋体" w:cs="宋体"/>
                <w:sz w:val="24"/>
                <w:highlight w:val="none"/>
              </w:rPr>
              <w:t>0.45%</w:t>
            </w:r>
          </w:p>
        </w:tc>
      </w:tr>
    </w:tbl>
    <w:p>
      <w:pPr>
        <w:pStyle w:val="34"/>
        <w:snapToGrid w:val="0"/>
        <w:spacing w:line="360" w:lineRule="auto"/>
        <w:ind w:firstLine="480" w:firstLineChars="2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服务费按差额定率累进法计算。例如项目的中标金额为680万元，则应缴服务费等于100×1.5%+(500-100)×0.8%+(680-500)×0.45%=5.51万元，其中中标金额以《中标通知书》为准。</w:t>
      </w:r>
    </w:p>
    <w:p>
      <w:pPr>
        <w:pStyle w:val="34"/>
        <w:snapToGrid w:val="0"/>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招标代理服务费的缴纳时间：中标人在领取《</w:t>
      </w:r>
      <w:r>
        <w:rPr>
          <w:rFonts w:hint="eastAsia" w:ascii="宋体" w:hAnsi="宋体" w:eastAsia="宋体" w:cs="宋体"/>
          <w:color w:val="auto"/>
          <w:highlight w:val="none"/>
          <w:lang w:val="en-US" w:eastAsia="zh-CN"/>
        </w:rPr>
        <w:t>中标</w:t>
      </w:r>
      <w:r>
        <w:rPr>
          <w:rFonts w:hint="eastAsia" w:ascii="宋体" w:hAnsi="宋体" w:eastAsia="宋体" w:cs="宋体"/>
          <w:color w:val="auto"/>
          <w:highlight w:val="none"/>
        </w:rPr>
        <w:t>通知书》时，一次性支付给采购代理机构；</w:t>
      </w:r>
    </w:p>
    <w:p>
      <w:pPr>
        <w:pStyle w:val="34"/>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服务费支付方式：电汇或现金支付。</w:t>
      </w:r>
    </w:p>
    <w:p>
      <w:pPr>
        <w:pStyle w:val="34"/>
        <w:keepNext w:val="0"/>
        <w:keepLines w:val="0"/>
        <w:pageBreakBefore w:val="0"/>
        <w:kinsoku/>
        <w:wordWrap/>
        <w:overflowPunct/>
        <w:topLinePunct w:val="0"/>
        <w:bidi w:val="0"/>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w:t>
      </w:r>
      <w:r>
        <w:rPr>
          <w:rFonts w:hint="eastAsia" w:ascii="宋体" w:hAnsi="宋体" w:eastAsia="宋体" w:cs="宋体"/>
          <w:color w:val="auto"/>
          <w:sz w:val="24"/>
          <w:szCs w:val="24"/>
          <w:highlight w:val="none"/>
        </w:rPr>
        <w:t>无论</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过程中的做法和结果如何，供应商自行承担所有与参加</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有关的费用。</w:t>
      </w:r>
    </w:p>
    <w:p>
      <w:pPr>
        <w:pStyle w:val="9"/>
        <w:keepNext w:val="0"/>
        <w:keepLines w:val="0"/>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（二）请供应商在提交</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文件截止时间前随时关注本次公告发布媒介。若有更正公告，请供应商将“更正公告回执”下载后盖上公章，扫描件传至代理机构邮箱：</w:t>
      </w:r>
      <w:r>
        <w:rPr>
          <w:rFonts w:hint="eastAsia" w:ascii="宋体" w:hAnsi="宋体" w:cs="宋体"/>
          <w:b/>
          <w:bCs/>
          <w:sz w:val="24"/>
          <w:szCs w:val="24"/>
          <w:highlight w:val="none"/>
        </w:rPr>
        <w:t>tjzygczx@126.com</w:t>
      </w:r>
      <w:r>
        <w:rPr>
          <w:rFonts w:hint="eastAsia" w:ascii="宋体" w:hAnsi="宋体" w:eastAsia="宋体" w:cs="宋体"/>
          <w:sz w:val="24"/>
          <w:szCs w:val="24"/>
          <w:highlight w:val="none"/>
        </w:rPr>
        <w:t>，至提交</w:t>
      </w:r>
      <w:r>
        <w:rPr>
          <w:rFonts w:hint="eastAsia" w:ascii="宋体" w:hAnsi="宋体" w:eastAsia="宋体" w:cs="宋体"/>
          <w:sz w:val="24"/>
          <w:szCs w:val="24"/>
          <w:highlight w:val="none"/>
          <w:lang w:eastAsia="zh-CN"/>
        </w:rPr>
        <w:t>投标</w:t>
      </w:r>
      <w:r>
        <w:rPr>
          <w:rFonts w:hint="eastAsia" w:ascii="宋体" w:hAnsi="宋体" w:eastAsia="宋体" w:cs="宋体"/>
          <w:sz w:val="24"/>
          <w:szCs w:val="24"/>
          <w:highlight w:val="none"/>
        </w:rPr>
        <w:t>文件截止时间前仍未收到“更正公告回执”的视为已熟知更正公告内容，接受更正公告所表述的内容，并承担由此可能产生的风险。</w:t>
      </w:r>
    </w:p>
    <w:p>
      <w:pPr>
        <w:pStyle w:val="9"/>
        <w:keepNext w:val="0"/>
        <w:keepLines w:val="0"/>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（三）踏勘现场、</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预备会及答疑会</w:t>
      </w:r>
    </w:p>
    <w:p>
      <w:pPr>
        <w:pStyle w:val="9"/>
        <w:keepNext w:val="0"/>
        <w:keepLines w:val="0"/>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1.本项目不组织踏勘现场、</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预备会及答疑会。</w:t>
      </w:r>
    </w:p>
    <w:p>
      <w:pPr>
        <w:pStyle w:val="9"/>
        <w:keepNext w:val="0"/>
        <w:keepLines w:val="0"/>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（四）其他</w:t>
      </w:r>
    </w:p>
    <w:p>
      <w:pPr>
        <w:pStyle w:val="9"/>
        <w:keepNext w:val="0"/>
        <w:keepLines w:val="0"/>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rPr>
        <w:t>开始后，不接受供应商及供应商有关的任何一方递交的材料（</w:t>
      </w:r>
      <w:r>
        <w:rPr>
          <w:rFonts w:hint="eastAsia" w:ascii="宋体" w:hAnsi="宋体" w:eastAsia="宋体" w:cs="宋体"/>
          <w:sz w:val="24"/>
          <w:szCs w:val="24"/>
          <w:highlight w:val="none"/>
          <w:lang w:val="en-US" w:eastAsia="zh-CN"/>
        </w:rPr>
        <w:t>评审委员会</w:t>
      </w:r>
      <w:r>
        <w:rPr>
          <w:rFonts w:hint="eastAsia" w:ascii="宋体" w:hAnsi="宋体" w:eastAsia="宋体" w:cs="宋体"/>
          <w:sz w:val="24"/>
          <w:szCs w:val="24"/>
          <w:highlight w:val="none"/>
        </w:rPr>
        <w:t>要求提供的除外）。</w:t>
      </w:r>
    </w:p>
    <w:p>
      <w:pPr>
        <w:pStyle w:val="9"/>
        <w:keepNext w:val="0"/>
        <w:keepLines w:val="0"/>
        <w:pageBreakBefore w:val="0"/>
        <w:kinsoku/>
        <w:wordWrap/>
        <w:overflowPunct/>
        <w:topLinePunct w:val="0"/>
        <w:bidi w:val="0"/>
        <w:snapToGrid/>
        <w:spacing w:after="0"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.不能满足</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rPr>
        <w:t>文件中任何一条实质性要求（或★号条款），按无效</w:t>
      </w:r>
      <w:r>
        <w:rPr>
          <w:rFonts w:hint="eastAsia" w:ascii="宋体" w:hAnsi="宋体" w:eastAsia="宋体" w:cs="宋体"/>
          <w:sz w:val="24"/>
          <w:szCs w:val="24"/>
          <w:highlight w:val="none"/>
          <w:lang w:val="en-US" w:eastAsia="zh-CN"/>
        </w:rPr>
        <w:t>标</w:t>
      </w:r>
      <w:r>
        <w:rPr>
          <w:rFonts w:hint="eastAsia" w:ascii="宋体" w:hAnsi="宋体" w:eastAsia="宋体" w:cs="宋体"/>
          <w:sz w:val="24"/>
          <w:szCs w:val="24"/>
          <w:highlight w:val="none"/>
        </w:rPr>
        <w:t>处理。</w:t>
      </w:r>
    </w:p>
    <w:p>
      <w:pPr>
        <w:pStyle w:val="9"/>
        <w:rPr>
          <w:rFonts w:hint="eastAsia"/>
          <w:highlight w:val="none"/>
        </w:rPr>
      </w:pPr>
    </w:p>
    <w:p>
      <w:pPr>
        <w:pStyle w:val="9"/>
        <w:rPr>
          <w:rFonts w:hint="eastAsia"/>
          <w:highlight w:val="none"/>
        </w:rPr>
        <w:sectPr>
          <w:footerReference r:id="rId5" w:type="default"/>
          <w:pgSz w:w="11906" w:h="16838"/>
          <w:pgMar w:top="1440" w:right="1797" w:bottom="1440" w:left="1797" w:header="851" w:footer="992" w:gutter="0"/>
          <w:pgNumType w:fmt="decimal"/>
          <w:cols w:space="425" w:num="1"/>
          <w:docGrid w:linePitch="286" w:charSpace="-3449"/>
        </w:sectPr>
      </w:pPr>
    </w:p>
    <w:p>
      <w:pPr>
        <w:pStyle w:val="9"/>
        <w:numPr>
          <w:ilvl w:val="0"/>
          <w:numId w:val="0"/>
        </w:numPr>
        <w:tabs>
          <w:tab w:val="left" w:pos="1819"/>
        </w:tabs>
        <w:spacing w:before="0" w:after="0" w:line="360" w:lineRule="auto"/>
        <w:ind w:right="0" w:rightChars="0"/>
        <w:jc w:val="center"/>
        <w:rPr>
          <w:highlight w:val="none"/>
        </w:rPr>
      </w:pPr>
      <w:r>
        <w:rPr>
          <w:rFonts w:hint="eastAsia" w:ascii="宋体" w:hAnsi="宋体" w:eastAsia="宋体" w:cs="宋体"/>
          <w:b/>
          <w:color w:val="000000" w:themeColor="text1"/>
          <w:sz w:val="28"/>
          <w:szCs w:val="28"/>
          <w:highlight w:val="none"/>
          <w14:textFill>
            <w14:solidFill>
              <w14:schemeClr w14:val="tx1"/>
            </w14:solidFill>
          </w14:textFill>
        </w:rPr>
        <w:t>项目需求书</w:t>
      </w:r>
    </w:p>
    <w:p>
      <w:pPr>
        <w:pStyle w:val="34"/>
        <w:keepNext w:val="0"/>
        <w:keepLines w:val="0"/>
        <w:pageBreakBefore w:val="0"/>
        <w:kinsoku/>
        <w:wordWrap/>
        <w:overflowPunct/>
        <w:topLinePunct w:val="0"/>
        <w:autoSpaceDE/>
        <w:autoSpaceDN/>
        <w:bidi w:val="0"/>
        <w:adjustRightInd/>
        <w:snapToGrid/>
        <w:ind w:left="0" w:leftChars="0" w:firstLine="0" w:firstLineChars="0"/>
        <w:jc w:val="both"/>
        <w:textAlignment w:val="auto"/>
        <w:rPr>
          <w:rFonts w:hint="eastAsia" w:ascii="宋体" w:hAnsi="宋体" w:eastAsia="宋体" w:cs="宋体"/>
          <w:b/>
          <w:bCs/>
          <w:color w:val="auto"/>
          <w:highlight w:val="none"/>
          <w:lang w:val="zh-TW"/>
        </w:rPr>
      </w:pPr>
      <w:bookmarkStart w:id="22" w:name="_Toc21373"/>
      <w:bookmarkStart w:id="23" w:name="_Toc10535"/>
      <w:r>
        <w:rPr>
          <w:rFonts w:hint="eastAsia" w:ascii="宋体" w:hAnsi="宋体" w:eastAsia="宋体" w:cs="宋体"/>
          <w:b/>
          <w:bCs/>
          <w:color w:val="auto"/>
          <w:highlight w:val="none"/>
          <w:lang w:val="zh-TW" w:eastAsia="zh-CN"/>
        </w:rPr>
        <w:t>（一）</w:t>
      </w:r>
      <w:r>
        <w:rPr>
          <w:rFonts w:hint="eastAsia" w:ascii="宋体" w:hAnsi="宋体" w:eastAsia="宋体" w:cs="宋体"/>
          <w:b/>
          <w:bCs/>
          <w:color w:val="auto"/>
          <w:highlight w:val="none"/>
          <w:lang w:val="zh-TW"/>
        </w:rPr>
        <w:t>项目背景</w:t>
      </w:r>
    </w:p>
    <w:p>
      <w:pPr>
        <w:pStyle w:val="21"/>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val="zh-TW" w:eastAsia="zh-CN"/>
        </w:rPr>
      </w:pPr>
      <w:r>
        <w:rPr>
          <w:rFonts w:hint="eastAsia" w:ascii="宋体" w:hAnsi="宋体" w:eastAsia="宋体" w:cs="宋体"/>
          <w:sz w:val="24"/>
          <w:szCs w:val="24"/>
          <w:highlight w:val="none"/>
          <w:lang w:val="zh-TW" w:eastAsia="zh-CN"/>
        </w:rPr>
        <w:t>为进一步持续推进及规范东丽区在创建食品安全示范区工作，继续开展农贸市场快检室快检工作，提高销售环节食用农产品质量安全风险隐患排查和防范能力，确保农贸市场销售质量安全，把食品安全工作落到实处。在遵循统一领导、统一规范、客观公正、科学准确、公平公开原则的基础上，东丽区市场监管局计划继续委托第三方检测机构在天津市东丽区</w:t>
      </w:r>
      <w:r>
        <w:rPr>
          <w:rFonts w:hint="eastAsia" w:ascii="宋体" w:hAnsi="宋体" w:eastAsia="宋体" w:cs="宋体"/>
          <w:sz w:val="24"/>
          <w:szCs w:val="24"/>
          <w:highlight w:val="none"/>
          <w:lang w:val="en-US" w:eastAsia="zh-CN"/>
        </w:rPr>
        <w:t>32</w:t>
      </w:r>
      <w:r>
        <w:rPr>
          <w:rFonts w:hint="eastAsia" w:ascii="宋体" w:hAnsi="宋体" w:eastAsia="宋体" w:cs="宋体"/>
          <w:sz w:val="24"/>
          <w:szCs w:val="24"/>
          <w:highlight w:val="none"/>
          <w:lang w:val="zh-TW" w:eastAsia="zh-CN"/>
        </w:rPr>
        <w:t>个农贸市场快检室开展食品快检服务工作。</w:t>
      </w:r>
    </w:p>
    <w:p>
      <w:pPr>
        <w:pStyle w:val="2"/>
        <w:keepNext w:val="0"/>
        <w:keepLines w:val="0"/>
        <w:pageBreakBefore w:val="0"/>
        <w:widowControl w:val="0"/>
        <w:kinsoku/>
        <w:wordWrap/>
        <w:overflowPunct/>
        <w:topLinePunct w:val="0"/>
        <w:autoSpaceDE/>
        <w:autoSpaceDN/>
        <w:bidi w:val="0"/>
        <w:adjustRightInd/>
        <w:snapToGrid/>
        <w:spacing w:before="144" w:beforeLines="50" w:after="144" w:afterLines="50"/>
        <w:ind w:left="0" w:leftChars="0" w:firstLine="0" w:firstLineChars="0"/>
        <w:jc w:val="both"/>
        <w:textAlignment w:val="auto"/>
        <w:rPr>
          <w:rFonts w:hint="eastAsia" w:ascii="宋体" w:hAnsi="宋体" w:eastAsia="宋体" w:cs="宋体"/>
          <w:b/>
          <w:bCs/>
          <w:color w:val="auto"/>
          <w:sz w:val="24"/>
          <w:szCs w:val="24"/>
          <w:highlight w:val="none"/>
          <w:lang w:val="zh-TW" w:eastAsia="zh-CN" w:bidi="ar-SA"/>
        </w:rPr>
      </w:pPr>
      <w:r>
        <w:rPr>
          <w:rFonts w:hint="eastAsia" w:ascii="宋体" w:hAnsi="宋体" w:eastAsia="宋体" w:cs="宋体"/>
          <w:b/>
          <w:bCs/>
          <w:color w:val="auto"/>
          <w:sz w:val="24"/>
          <w:szCs w:val="24"/>
          <w:highlight w:val="none"/>
          <w:lang w:val="zh-TW" w:eastAsia="zh-CN" w:bidi="ar-SA"/>
        </w:rPr>
        <w:t>（</w:t>
      </w:r>
      <w:r>
        <w:rPr>
          <w:rFonts w:hint="eastAsia" w:ascii="宋体" w:hAnsi="宋体" w:eastAsia="宋体" w:cs="宋体"/>
          <w:b/>
          <w:bCs/>
          <w:color w:val="auto"/>
          <w:sz w:val="24"/>
          <w:szCs w:val="24"/>
          <w:highlight w:val="none"/>
          <w:lang w:val="en-US" w:eastAsia="zh-CN" w:bidi="ar-SA"/>
        </w:rPr>
        <w:t>二）</w:t>
      </w:r>
      <w:r>
        <w:rPr>
          <w:rFonts w:hint="eastAsia" w:ascii="宋体" w:hAnsi="宋体" w:eastAsia="宋体" w:cs="宋体"/>
          <w:b/>
          <w:bCs/>
          <w:color w:val="auto"/>
          <w:sz w:val="24"/>
          <w:szCs w:val="24"/>
          <w:highlight w:val="none"/>
          <w:lang w:val="zh-TW" w:eastAsia="zh-CN" w:bidi="ar-SA"/>
        </w:rPr>
        <w:t>本项目所属行业为：</w:t>
      </w:r>
      <w:r>
        <w:rPr>
          <w:rFonts w:hint="eastAsia" w:ascii="宋体" w:hAnsi="宋体" w:eastAsia="宋体" w:cs="宋体"/>
          <w:b/>
          <w:bCs/>
          <w:color w:val="auto"/>
          <w:sz w:val="24"/>
          <w:szCs w:val="24"/>
          <w:highlight w:val="none"/>
          <w:lang w:val="en-US" w:eastAsia="zh-CN" w:bidi="ar-SA"/>
        </w:rPr>
        <w:t>其它未列明行业</w:t>
      </w:r>
      <w:r>
        <w:rPr>
          <w:rFonts w:hint="eastAsia" w:ascii="宋体" w:hAnsi="宋体" w:eastAsia="宋体" w:cs="宋体"/>
          <w:b/>
          <w:bCs/>
          <w:color w:val="auto"/>
          <w:sz w:val="24"/>
          <w:szCs w:val="24"/>
          <w:highlight w:val="none"/>
          <w:lang w:val="zh-TW" w:eastAsia="zh-CN" w:bidi="ar-SA"/>
        </w:rPr>
        <w:t>。</w:t>
      </w:r>
    </w:p>
    <w:p>
      <w:pPr>
        <w:pStyle w:val="34"/>
        <w:keepNext w:val="0"/>
        <w:keepLines w:val="0"/>
        <w:pageBreakBefore w:val="0"/>
        <w:widowControl w:val="0"/>
        <w:kinsoku/>
        <w:wordWrap/>
        <w:overflowPunct/>
        <w:topLinePunct w:val="0"/>
        <w:autoSpaceDE/>
        <w:autoSpaceDN/>
        <w:bidi w:val="0"/>
        <w:adjustRightInd/>
        <w:snapToGrid/>
        <w:spacing w:before="144" w:beforeLines="50" w:after="144" w:afterLines="50"/>
        <w:ind w:left="0" w:leftChars="0" w:firstLine="0" w:firstLineChars="0"/>
        <w:jc w:val="both"/>
        <w:textAlignment w:val="auto"/>
        <w:rPr>
          <w:rFonts w:hint="eastAsia" w:ascii="宋体" w:hAnsi="宋体" w:eastAsia="宋体" w:cs="宋体"/>
          <w:b/>
          <w:bCs/>
          <w:color w:val="auto"/>
          <w:sz w:val="24"/>
          <w:szCs w:val="24"/>
          <w:highlight w:val="none"/>
          <w:lang w:val="zh-TW" w:eastAsia="zh-CN" w:bidi="ar-SA"/>
        </w:rPr>
      </w:pPr>
      <w:r>
        <w:rPr>
          <w:rFonts w:hint="eastAsia" w:ascii="宋体" w:hAnsi="宋体" w:eastAsia="宋体" w:cs="宋体"/>
          <w:b/>
          <w:bCs/>
          <w:color w:val="auto"/>
          <w:sz w:val="24"/>
          <w:szCs w:val="24"/>
          <w:highlight w:val="none"/>
          <w:lang w:val="zh-TW" w:eastAsia="zh-CN" w:bidi="ar-SA"/>
        </w:rPr>
        <w:t>（</w:t>
      </w:r>
      <w:r>
        <w:rPr>
          <w:rFonts w:hint="eastAsia" w:ascii="宋体" w:hAnsi="宋体" w:eastAsia="宋体" w:cs="宋体"/>
          <w:b/>
          <w:bCs/>
          <w:color w:val="auto"/>
          <w:sz w:val="24"/>
          <w:szCs w:val="24"/>
          <w:highlight w:val="none"/>
          <w:lang w:val="en-US" w:eastAsia="zh-CN" w:bidi="ar-SA"/>
        </w:rPr>
        <w:t>三</w:t>
      </w:r>
      <w:r>
        <w:rPr>
          <w:rFonts w:hint="eastAsia" w:ascii="宋体" w:hAnsi="宋体" w:eastAsia="宋体" w:cs="宋体"/>
          <w:b/>
          <w:bCs/>
          <w:color w:val="auto"/>
          <w:sz w:val="24"/>
          <w:szCs w:val="24"/>
          <w:highlight w:val="none"/>
          <w:lang w:val="zh-TW" w:eastAsia="zh-CN" w:bidi="ar-SA"/>
        </w:rPr>
        <w:t>）项目实施的任务说明</w:t>
      </w:r>
    </w:p>
    <w:p>
      <w:pPr>
        <w:pStyle w:val="21"/>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1.服务范围</w:t>
      </w:r>
    </w:p>
    <w:p>
      <w:pPr>
        <w:pStyle w:val="21"/>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东丽区</w:t>
      </w:r>
      <w:r>
        <w:rPr>
          <w:rFonts w:hint="eastAsia" w:ascii="宋体" w:hAnsi="宋体" w:eastAsia="宋体" w:cs="宋体"/>
          <w:sz w:val="24"/>
          <w:szCs w:val="24"/>
          <w:highlight w:val="none"/>
          <w:lang w:val="en-US" w:eastAsia="zh-CN"/>
        </w:rPr>
        <w:t>32</w:t>
      </w:r>
      <w:r>
        <w:rPr>
          <w:rFonts w:hint="eastAsia" w:ascii="宋体" w:hAnsi="宋体" w:eastAsia="宋体" w:cs="宋体"/>
          <w:sz w:val="24"/>
          <w:szCs w:val="24"/>
          <w:highlight w:val="none"/>
          <w:lang w:eastAsia="zh-CN"/>
        </w:rPr>
        <w:t>个农产品批发零售市场快检室（涉及</w:t>
      </w:r>
      <w:r>
        <w:rPr>
          <w:rFonts w:hint="eastAsia" w:ascii="宋体" w:hAnsi="宋体" w:eastAsia="宋体" w:cs="宋体"/>
          <w:sz w:val="24"/>
          <w:szCs w:val="24"/>
          <w:highlight w:val="none"/>
          <w:lang w:val="en-US" w:eastAsia="zh-CN"/>
        </w:rPr>
        <w:t>35个农贸市场，</w:t>
      </w:r>
      <w:r>
        <w:rPr>
          <w:rFonts w:hint="eastAsia" w:ascii="宋体" w:hAnsi="宋体" w:eastAsia="宋体" w:cs="宋体"/>
          <w:sz w:val="24"/>
          <w:szCs w:val="24"/>
          <w:highlight w:val="none"/>
          <w:lang w:eastAsia="zh-CN"/>
        </w:rPr>
        <w:t>其中一个为农产品批发市场）</w:t>
      </w:r>
    </w:p>
    <w:p>
      <w:pPr>
        <w:pStyle w:val="21"/>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2.任务制定原则</w:t>
      </w:r>
    </w:p>
    <w:p>
      <w:pPr>
        <w:pStyle w:val="21"/>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为提高食品快检工作的系统性、针对性和有效性，抽样检验将借助各类快速检测仪器、试剂，对蔬菜、畜禽产品、水产品等保质期短、消费量大、食品安全风险相对较高的食品和农产品进行的快检筛查。</w:t>
      </w:r>
    </w:p>
    <w:p>
      <w:pPr>
        <w:pStyle w:val="21"/>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3.服务标准</w:t>
      </w:r>
    </w:p>
    <w:p>
      <w:pPr>
        <w:pStyle w:val="21"/>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严把进货抽检关，切实保障食品安全。配合市场主办方做好农产品入场查验制度。现场快检结果呈阳性的，中标供应商应立即通知市场管理部门，并按要求将相关信息上报采购人。</w:t>
      </w:r>
    </w:p>
    <w:p>
      <w:pPr>
        <w:pStyle w:val="21"/>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（2）每个月完成月度快检分析报告，为指导下一月度食品安全监管和快检工作提出明确方向。每个自然年提供年度快检分析报告。</w:t>
      </w:r>
    </w:p>
    <w:p>
      <w:pPr>
        <w:pStyle w:val="21"/>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4.服务期限</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sz w:val="24"/>
          <w:szCs w:val="24"/>
          <w:highlight w:val="none"/>
          <w:lang w:eastAsia="zh-CN"/>
        </w:rPr>
        <w:t>服务期：</w:t>
      </w:r>
      <w:r>
        <w:rPr>
          <w:rFonts w:hint="eastAsia" w:ascii="宋体" w:hAnsi="宋体" w:cs="宋体"/>
          <w:color w:val="000000" w:themeColor="text1"/>
          <w:sz w:val="24"/>
          <w:szCs w:val="24"/>
          <w:highlight w:val="none"/>
          <w:lang w:eastAsia="zh-CN"/>
          <w14:textFill>
            <w14:solidFill>
              <w14:schemeClr w14:val="tx1"/>
            </w14:solidFill>
          </w14:textFill>
        </w:rPr>
        <w:t>自签订合同之日起</w:t>
      </w:r>
      <w:r>
        <w:rPr>
          <w:rFonts w:hint="eastAsia" w:ascii="宋体" w:hAnsi="宋体" w:cs="宋体"/>
          <w:spacing w:val="-13"/>
          <w:sz w:val="24"/>
          <w:szCs w:val="24"/>
          <w:highlight w:val="none"/>
          <w:lang w:eastAsia="zh-CN"/>
        </w:rPr>
        <w:t>至</w:t>
      </w:r>
      <w:r>
        <w:rPr>
          <w:rFonts w:ascii="宋体" w:hAnsi="宋体" w:eastAsia="宋体" w:cs="宋体"/>
          <w:spacing w:val="-6"/>
          <w:sz w:val="24"/>
          <w:szCs w:val="24"/>
          <w:highlight w:val="none"/>
        </w:rPr>
        <w:t>202</w:t>
      </w:r>
      <w:r>
        <w:rPr>
          <w:rFonts w:hint="eastAsia" w:ascii="宋体" w:hAnsi="宋体" w:cs="宋体"/>
          <w:spacing w:val="-6"/>
          <w:sz w:val="24"/>
          <w:szCs w:val="24"/>
          <w:highlight w:val="none"/>
          <w:lang w:val="en-US" w:eastAsia="zh-CN"/>
        </w:rPr>
        <w:t>3</w:t>
      </w:r>
      <w:r>
        <w:rPr>
          <w:rFonts w:ascii="宋体" w:hAnsi="宋体" w:eastAsia="宋体" w:cs="宋体"/>
          <w:spacing w:val="-13"/>
          <w:sz w:val="24"/>
          <w:szCs w:val="24"/>
          <w:highlight w:val="none"/>
        </w:rPr>
        <w:t>年</w:t>
      </w:r>
      <w:r>
        <w:rPr>
          <w:rFonts w:ascii="宋体" w:hAnsi="宋体" w:eastAsia="宋体" w:cs="宋体"/>
          <w:spacing w:val="-6"/>
          <w:sz w:val="24"/>
          <w:szCs w:val="24"/>
          <w:highlight w:val="none"/>
        </w:rPr>
        <w:t>12</w:t>
      </w:r>
      <w:r>
        <w:rPr>
          <w:rFonts w:ascii="宋体" w:hAnsi="宋体" w:eastAsia="宋体" w:cs="宋体"/>
          <w:spacing w:val="-12"/>
          <w:sz w:val="24"/>
          <w:szCs w:val="24"/>
          <w:highlight w:val="none"/>
        </w:rPr>
        <w:t>月</w:t>
      </w:r>
      <w:r>
        <w:rPr>
          <w:rFonts w:ascii="宋体" w:hAnsi="宋体" w:eastAsia="宋体" w:cs="宋体"/>
          <w:spacing w:val="-6"/>
          <w:sz w:val="24"/>
          <w:szCs w:val="24"/>
          <w:highlight w:val="none"/>
        </w:rPr>
        <w:t>31</w:t>
      </w:r>
      <w:r>
        <w:rPr>
          <w:rFonts w:ascii="宋体" w:hAnsi="宋体" w:eastAsia="宋体" w:cs="宋体"/>
          <w:spacing w:val="-12"/>
          <w:sz w:val="24"/>
          <w:szCs w:val="24"/>
          <w:highlight w:val="none"/>
        </w:rPr>
        <w:t>日。</w:t>
      </w:r>
      <w:r>
        <w:rPr>
          <w:rFonts w:hint="eastAsia" w:ascii="宋体" w:hAnsi="宋体" w:eastAsia="宋体" w:cs="宋体"/>
          <w:color w:val="000000" w:themeColor="text1"/>
          <w:kern w:val="0"/>
          <w:sz w:val="24"/>
          <w:szCs w:val="24"/>
          <w:highlight w:val="none"/>
          <w14:textFill>
            <w14:solidFill>
              <w14:schemeClr w14:val="tx1"/>
            </w14:solidFill>
          </w14:textFill>
        </w:rPr>
        <w:t>（特殊情况以</w:t>
      </w:r>
      <w:r>
        <w:rPr>
          <w:rFonts w:hint="eastAsia" w:ascii="宋体" w:hAnsi="宋体" w:eastAsia="宋体" w:cs="宋体"/>
          <w:color w:val="000000" w:themeColor="text1"/>
          <w:sz w:val="24"/>
          <w:szCs w:val="24"/>
          <w:highlight w:val="none"/>
          <w14:textFill>
            <w14:solidFill>
              <w14:schemeClr w14:val="tx1"/>
            </w14:solidFill>
          </w14:textFill>
        </w:rPr>
        <w:t>合同为准）</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因上一轮快检委托服务期限</w:t>
      </w:r>
      <w:r>
        <w:rPr>
          <w:rFonts w:hint="eastAsia" w:ascii="宋体" w:hAnsi="宋体" w:eastAsia="宋体" w:cs="宋体"/>
          <w:sz w:val="24"/>
          <w:szCs w:val="24"/>
          <w:highlight w:val="none"/>
          <w:lang w:val="en-US" w:eastAsia="zh-CN"/>
        </w:rPr>
        <w:t>已</w:t>
      </w:r>
      <w:r>
        <w:rPr>
          <w:rFonts w:hint="eastAsia" w:ascii="宋体" w:hAnsi="宋体" w:eastAsia="宋体" w:cs="宋体"/>
          <w:sz w:val="24"/>
          <w:szCs w:val="24"/>
          <w:highlight w:val="none"/>
          <w:lang w:eastAsia="zh-CN"/>
        </w:rPr>
        <w:t>到期，可能在原服务到期和签订新一轮服务合同之间存在过渡期，为保证快检服务工作的延续性，经公开招标后本项目中标单位与原中标单位非同一主体的，由原中标单位继续服务并做好交接，服务费用按照本项目中标金额和服务期限，计算出单位时间服务单价标准，按照过渡期实际时间，由中标单位在合同签订以后采购方支付的第一笔费用中支付给原中标单位，过渡期时间计入</w:t>
      </w:r>
      <w:r>
        <w:rPr>
          <w:rFonts w:hint="eastAsia" w:ascii="宋体" w:hAnsi="宋体" w:eastAsia="宋体" w:cs="宋体"/>
          <w:sz w:val="24"/>
          <w:szCs w:val="24"/>
          <w:highlight w:val="none"/>
          <w:lang w:val="en-US" w:eastAsia="zh-CN"/>
        </w:rPr>
        <w:t>新一年度</w:t>
      </w:r>
      <w:r>
        <w:rPr>
          <w:rFonts w:hint="eastAsia" w:ascii="宋体" w:hAnsi="宋体" w:eastAsia="宋体" w:cs="宋体"/>
          <w:sz w:val="24"/>
          <w:szCs w:val="24"/>
          <w:highlight w:val="none"/>
          <w:lang w:eastAsia="zh-CN"/>
        </w:rPr>
        <w:t>服务期限内。中标单位不同意上述要求，视作自行放弃中标资格，采购人有权另行择定本次招标综合评分得分排序第二的投标人递补</w:t>
      </w:r>
      <w:r>
        <w:rPr>
          <w:rFonts w:hint="eastAsia" w:ascii="宋体" w:hAnsi="宋体" w:eastAsia="宋体" w:cs="宋体"/>
          <w:sz w:val="24"/>
          <w:szCs w:val="24"/>
          <w:highlight w:val="none"/>
          <w:lang w:val="en-US" w:eastAsia="zh-CN"/>
        </w:rPr>
        <w:t>或重新招标</w:t>
      </w:r>
      <w:r>
        <w:rPr>
          <w:rFonts w:hint="eastAsia" w:ascii="宋体" w:hAnsi="宋体" w:eastAsia="宋体" w:cs="宋体"/>
          <w:sz w:val="24"/>
          <w:szCs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before="144" w:beforeLines="50" w:after="144" w:afterLines="50"/>
        <w:ind w:left="0" w:leftChars="0" w:firstLine="0" w:firstLineChars="0"/>
        <w:jc w:val="both"/>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（四）抽检数量及频次要求</w:t>
      </w:r>
    </w:p>
    <w:p>
      <w:pPr>
        <w:pStyle w:val="21"/>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根据年度计划安排，对东丽区农贸市场每天进行抽样检测，保证每日检测</w:t>
      </w:r>
      <w:r>
        <w:rPr>
          <w:rFonts w:hint="eastAsia" w:ascii="宋体" w:hAnsi="宋体" w:eastAsia="宋体" w:cs="宋体"/>
          <w:color w:val="000000" w:themeColor="text1"/>
          <w:sz w:val="24"/>
          <w:szCs w:val="24"/>
          <w:highlight w:val="none"/>
          <w:lang w:eastAsia="zh-CN"/>
          <w14:textFill>
            <w14:solidFill>
              <w14:schemeClr w14:val="tx1"/>
            </w14:solidFill>
          </w14:textFill>
        </w:rPr>
        <w:t>总</w:t>
      </w:r>
      <w:r>
        <w:rPr>
          <w:rFonts w:hint="eastAsia" w:ascii="宋体" w:hAnsi="宋体" w:eastAsia="宋体" w:cs="宋体"/>
          <w:color w:val="000000" w:themeColor="text1"/>
          <w:sz w:val="24"/>
          <w:szCs w:val="24"/>
          <w:highlight w:val="none"/>
          <w14:textFill>
            <w14:solidFill>
              <w14:schemeClr w14:val="tx1"/>
            </w14:solidFill>
          </w14:textFill>
        </w:rPr>
        <w:t>批次</w:t>
      </w:r>
      <w:r>
        <w:rPr>
          <w:rFonts w:hint="eastAsia" w:ascii="宋体" w:hAnsi="宋体" w:eastAsia="宋体" w:cs="宋体"/>
          <w:color w:val="000000" w:themeColor="text1"/>
          <w:sz w:val="24"/>
          <w:szCs w:val="24"/>
          <w:highlight w:val="none"/>
          <w:lang w:eastAsia="zh-CN"/>
          <w14:textFill>
            <w14:solidFill>
              <w14:schemeClr w14:val="tx1"/>
            </w14:solidFill>
          </w14:textFill>
        </w:rPr>
        <w:t>不少于</w:t>
      </w:r>
      <w:r>
        <w:rPr>
          <w:rFonts w:hint="eastAsia" w:ascii="宋体" w:hAnsi="宋体" w:eastAsia="宋体" w:cs="宋体"/>
          <w:color w:val="000000" w:themeColor="text1"/>
          <w:sz w:val="24"/>
          <w:szCs w:val="24"/>
          <w:highlight w:val="none"/>
          <w:lang w:val="en-US" w:eastAsia="zh-CN"/>
          <w14:textFill>
            <w14:solidFill>
              <w14:schemeClr w14:val="tx1"/>
            </w14:solidFill>
          </w14:textFill>
        </w:rPr>
        <w:t>800批次</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其中</w:t>
      </w:r>
      <w:r>
        <w:rPr>
          <w:rFonts w:hint="eastAsia" w:ascii="宋体" w:hAnsi="宋体" w:eastAsia="宋体" w:cs="宋体"/>
          <w:color w:val="000000" w:themeColor="text1"/>
          <w:sz w:val="24"/>
          <w:szCs w:val="24"/>
          <w:highlight w:val="none"/>
          <w14:textFill>
            <w14:solidFill>
              <w14:schemeClr w14:val="tx1"/>
            </w14:solidFill>
          </w14:textFill>
        </w:rPr>
        <w:t>金钟农贸批发市场每日检测不少于200批次。</w:t>
      </w:r>
    </w:p>
    <w:p>
      <w:pPr>
        <w:pStyle w:val="21"/>
        <w:spacing w:before="156" w:beforeLines="50" w:after="156" w:afterLines="50" w:line="360" w:lineRule="auto"/>
        <w:ind w:left="0" w:leftChars="0" w:firstLine="0" w:firstLineChar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农贸市场快检室明细</w:t>
      </w:r>
    </w:p>
    <w:tbl>
      <w:tblPr>
        <w:tblStyle w:val="23"/>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48"/>
        <w:gridCol w:w="2860"/>
        <w:gridCol w:w="3780"/>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2" w:hRule="atLeast"/>
          <w:jc w:val="center"/>
        </w:trPr>
        <w:tc>
          <w:tcPr>
            <w:tcW w:w="64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序号</w:t>
            </w: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市场名称</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覆盖市场名称</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开展状态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南大桥菜市场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南大桥菜市场，程林东里菜市场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众万新菜市场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众万新菜市场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畅悦华庭菜市场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畅悦华庭菜市场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智慧菜市场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智慧菜市场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张贵庄菜市场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张贵庄一，二菜市场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华明商贸菜市场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华明商贸菜市场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华明第一菜市场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华明第一，第二菜市场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丰年菜市场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丰年菜市场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auto"/>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新立菜市场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新立菜市场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汇海里菜市场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汇海里菜市场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程胜道菜市场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程胜道菜市场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正达菜市场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正达菜市场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东盛园菜市场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东盛园菜市场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天一惠民菜市场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天一惠民菜市场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青青菜市场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青青第二菜市场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华新第一菜市场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华新第一菜市场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军粮城第一菜市场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军粮城第一菜市场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东丽湖万科菜市场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东丽湖万科菜市场、东丽湖菜市场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金钟新城菜市场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金钟新城菜市场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金河家园菜市场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金河家园菜市场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景云轩菜市场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景云轩菜市场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金桥街菜市场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金桥街菜市场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滨霞里菜市场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滨霞里菜市场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新中村菜市场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新中村菜市场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李明庄菜市场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李明庄菜市场，民心菜市场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金钟批发市场（3个检测点）</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金钟批发市场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徐庄子菜市场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徐庄子菜市场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巨禾菜市场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巨禾菜市场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eastAsia="zh-CN"/>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农汇菜市场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农汇菜市场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numPr>
                <w:ilvl w:val="0"/>
                <w:numId w:val="4"/>
              </w:numPr>
              <w:suppressLineNumbers w:val="0"/>
              <w:ind w:left="425" w:leftChars="0" w:hanging="425" w:firstLineChars="0"/>
              <w:jc w:val="center"/>
              <w:textAlignment w:val="center"/>
              <w:rPr>
                <w:rFonts w:hint="eastAsia" w:ascii="宋体" w:hAnsi="宋体" w:eastAsia="宋体" w:cs="宋体"/>
                <w:i w:val="0"/>
                <w:color w:val="000000"/>
                <w:sz w:val="24"/>
                <w:szCs w:val="24"/>
                <w:highlight w:val="none"/>
                <w:u w:val="none"/>
              </w:rPr>
            </w:pP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仰润轩菜市场</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仰润轩菜市场</w:t>
            </w:r>
          </w:p>
        </w:tc>
        <w:tc>
          <w:tcPr>
            <w:tcW w:w="232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jc w:val="center"/>
        </w:trPr>
        <w:tc>
          <w:tcPr>
            <w:tcW w:w="648"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286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bidi="ar"/>
              </w:rPr>
              <w:t>32</w:t>
            </w:r>
          </w:p>
        </w:tc>
        <w:tc>
          <w:tcPr>
            <w:tcW w:w="37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highlight w:val="none"/>
                <w:u w:val="none"/>
                <w:lang w:val="en-US"/>
              </w:rPr>
            </w:pPr>
            <w:r>
              <w:rPr>
                <w:rFonts w:hint="eastAsia" w:ascii="宋体" w:hAnsi="宋体" w:cs="宋体"/>
                <w:i w:val="0"/>
                <w:color w:val="000000"/>
                <w:kern w:val="0"/>
                <w:sz w:val="24"/>
                <w:szCs w:val="24"/>
                <w:highlight w:val="none"/>
                <w:u w:val="none"/>
                <w:lang w:val="en-US" w:eastAsia="zh-CN" w:bidi="ar"/>
              </w:rPr>
              <w:t>35</w:t>
            </w:r>
          </w:p>
        </w:tc>
        <w:tc>
          <w:tcPr>
            <w:tcW w:w="2325" w:type="dxa"/>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highlight w:val="none"/>
                <w:u w:val="none"/>
              </w:rPr>
            </w:pPr>
          </w:p>
        </w:tc>
      </w:tr>
    </w:tbl>
    <w:p>
      <w:pPr>
        <w:rPr>
          <w:rFonts w:hint="eastAsia" w:ascii="宋体" w:hAnsi="宋体" w:eastAsia="宋体" w:cs="宋体"/>
          <w:b/>
          <w:bCs/>
          <w:sz w:val="24"/>
          <w:szCs w:val="24"/>
          <w:highlight w:val="none"/>
          <w:lang w:eastAsia="zh-CN"/>
        </w:rPr>
      </w:pP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lang w:eastAsia="zh-CN"/>
        </w:rPr>
        <w:t>）检测指标</w:t>
      </w:r>
    </w:p>
    <w:p>
      <w:pPr>
        <w:pStyle w:val="21"/>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中标供应商</w:t>
      </w:r>
      <w:r>
        <w:rPr>
          <w:rFonts w:hint="eastAsia" w:ascii="宋体" w:hAnsi="宋体" w:eastAsia="宋体" w:cs="宋体"/>
          <w:sz w:val="24"/>
          <w:szCs w:val="24"/>
          <w:highlight w:val="none"/>
        </w:rPr>
        <w:t>根据不同季节特点以及市场交易等情况制定相应的年度和月度检测计划，报</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rPr>
        <w:t>批准后实施。</w:t>
      </w:r>
    </w:p>
    <w:p>
      <w:pPr>
        <w:pStyle w:val="21"/>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检测项目以国家</w:t>
      </w:r>
      <w:r>
        <w:rPr>
          <w:rFonts w:hint="eastAsia" w:ascii="宋体" w:hAnsi="宋体" w:eastAsia="宋体" w:cs="宋体"/>
          <w:sz w:val="24"/>
          <w:szCs w:val="24"/>
          <w:highlight w:val="none"/>
          <w:lang w:eastAsia="zh-CN"/>
        </w:rPr>
        <w:t>明令</w:t>
      </w:r>
      <w:r>
        <w:rPr>
          <w:rFonts w:hint="eastAsia" w:ascii="宋体" w:hAnsi="宋体" w:eastAsia="宋体" w:cs="宋体"/>
          <w:sz w:val="24"/>
          <w:szCs w:val="24"/>
          <w:highlight w:val="none"/>
        </w:rPr>
        <w:t>禁止使用的农药，以及超范围、超限量使用的农药、兽药、非法添加物等重点指标进行检测，并在年度内至少覆盖下表中所有食品品种和检测项目。</w:t>
      </w:r>
    </w:p>
    <w:p>
      <w:pPr>
        <w:pStyle w:val="21"/>
        <w:keepNext w:val="0"/>
        <w:keepLines w:val="0"/>
        <w:pageBreakBefore w:val="0"/>
        <w:kinsoku/>
        <w:wordWrap/>
        <w:overflowPunct/>
        <w:topLinePunct w:val="0"/>
        <w:bidi w:val="0"/>
        <w:snapToGrid/>
        <w:spacing w:line="360" w:lineRule="auto"/>
        <w:ind w:left="0" w:leftChars="0" w:firstLine="0" w:firstLineChars="0"/>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食品品种及检测项目</w:t>
      </w:r>
    </w:p>
    <w:tbl>
      <w:tblPr>
        <w:tblStyle w:val="2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4"/>
        <w:gridCol w:w="1259"/>
        <w:gridCol w:w="1212"/>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1274"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食品大类（一级）</w:t>
            </w:r>
          </w:p>
        </w:tc>
        <w:tc>
          <w:tcPr>
            <w:tcW w:w="1259"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食品亚类（二级）</w:t>
            </w:r>
          </w:p>
        </w:tc>
        <w:tc>
          <w:tcPr>
            <w:tcW w:w="1212"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食品品种（三级）</w:t>
            </w:r>
          </w:p>
        </w:tc>
        <w:tc>
          <w:tcPr>
            <w:tcW w:w="3842"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restart"/>
            <w:noWrap w:val="0"/>
            <w:vAlign w:val="center"/>
          </w:tcPr>
          <w:p>
            <w:pPr>
              <w:keepNext w:val="0"/>
              <w:keepLines w:val="0"/>
              <w:pageBreakBefore w:val="0"/>
              <w:numPr>
                <w:ilvl w:val="0"/>
                <w:numId w:val="0"/>
              </w:numPr>
              <w:kinsoku/>
              <w:wordWrap/>
              <w:overflowPunct/>
              <w:topLinePunct w:val="0"/>
              <w:autoSpaceDE w:val="0"/>
              <w:autoSpaceDN w:val="0"/>
              <w:bidi w:val="0"/>
              <w:adjustRightInd w:val="0"/>
              <w:snapToGrid/>
              <w:spacing w:line="360" w:lineRule="auto"/>
              <w:ind w:leftChars="0"/>
              <w:jc w:val="center"/>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c>
          <w:tcPr>
            <w:tcW w:w="1274" w:type="dxa"/>
            <w:vMerge w:val="restart"/>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食用农产品</w:t>
            </w:r>
          </w:p>
        </w:tc>
        <w:tc>
          <w:tcPr>
            <w:tcW w:w="1259"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畜禽肉</w:t>
            </w:r>
          </w:p>
        </w:tc>
        <w:tc>
          <w:tcPr>
            <w:tcW w:w="1212"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畜禽肉</w:t>
            </w:r>
          </w:p>
        </w:tc>
        <w:tc>
          <w:tcPr>
            <w:tcW w:w="3842"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克伦特罗、莱克多巴胺、沙丁胺醇、氯霉素、磺胺类、四环素、沙星类，肉类水分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kern w:val="0"/>
                <w:sz w:val="24"/>
                <w:szCs w:val="24"/>
                <w:highlight w:val="none"/>
              </w:rPr>
            </w:pPr>
          </w:p>
        </w:tc>
        <w:tc>
          <w:tcPr>
            <w:tcW w:w="1274" w:type="dxa"/>
            <w:vMerge w:val="continue"/>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kern w:val="0"/>
                <w:sz w:val="24"/>
                <w:szCs w:val="24"/>
                <w:highlight w:val="none"/>
              </w:rPr>
            </w:pPr>
          </w:p>
        </w:tc>
        <w:tc>
          <w:tcPr>
            <w:tcW w:w="1259"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水产品</w:t>
            </w:r>
          </w:p>
        </w:tc>
        <w:tc>
          <w:tcPr>
            <w:tcW w:w="1212"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淡水、海水产品</w:t>
            </w:r>
          </w:p>
        </w:tc>
        <w:tc>
          <w:tcPr>
            <w:tcW w:w="3842" w:type="dxa"/>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甲醛、过氧化氢、</w:t>
            </w:r>
            <w:r>
              <w:rPr>
                <w:rFonts w:hint="eastAsia" w:ascii="宋体" w:hAnsi="宋体" w:eastAsia="宋体" w:cs="宋体"/>
                <w:kern w:val="0"/>
                <w:sz w:val="24"/>
                <w:szCs w:val="24"/>
                <w:highlight w:val="none"/>
                <w:lang w:eastAsia="zh-CN"/>
              </w:rPr>
              <w:t>孔雀石绿</w:t>
            </w:r>
            <w:r>
              <w:rPr>
                <w:rFonts w:hint="eastAsia" w:ascii="宋体" w:hAnsi="宋体" w:eastAsia="宋体" w:cs="宋体"/>
                <w:kern w:val="0"/>
                <w:sz w:val="24"/>
                <w:szCs w:val="24"/>
                <w:highlight w:val="none"/>
              </w:rPr>
              <w:t>、硝基呋喃代谢物（四项）、氯霉素、</w:t>
            </w:r>
            <w:r>
              <w:rPr>
                <w:rFonts w:hint="eastAsia" w:ascii="宋体" w:hAnsi="宋体" w:eastAsia="宋体" w:cs="宋体"/>
                <w:sz w:val="24"/>
                <w:szCs w:val="24"/>
                <w:highlight w:val="none"/>
              </w:rPr>
              <w:t>恩诺沙星、喹乙醇及代谢物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autoSpaceDE w:val="0"/>
              <w:autoSpaceDN w:val="0"/>
              <w:adjustRightInd w:val="0"/>
              <w:spacing w:line="240" w:lineRule="auto"/>
              <w:jc w:val="center"/>
              <w:rPr>
                <w:rFonts w:hint="eastAsia" w:ascii="宋体" w:hAnsi="宋体" w:eastAsia="宋体" w:cs="宋体"/>
                <w:kern w:val="0"/>
                <w:sz w:val="24"/>
                <w:szCs w:val="24"/>
                <w:highlight w:val="none"/>
              </w:rPr>
            </w:pPr>
          </w:p>
        </w:tc>
        <w:tc>
          <w:tcPr>
            <w:tcW w:w="1274" w:type="dxa"/>
            <w:vMerge w:val="continue"/>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p>
        </w:tc>
        <w:tc>
          <w:tcPr>
            <w:tcW w:w="1259"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鲜蛋</w:t>
            </w:r>
          </w:p>
        </w:tc>
        <w:tc>
          <w:tcPr>
            <w:tcW w:w="121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鲜蛋</w:t>
            </w:r>
          </w:p>
        </w:tc>
        <w:tc>
          <w:tcPr>
            <w:tcW w:w="384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磺胺类、喹诺酮类、氯霉素、四环素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autoSpaceDE w:val="0"/>
              <w:autoSpaceDN w:val="0"/>
              <w:adjustRightInd w:val="0"/>
              <w:spacing w:line="240" w:lineRule="auto"/>
              <w:jc w:val="center"/>
              <w:rPr>
                <w:rFonts w:hint="eastAsia" w:ascii="宋体" w:hAnsi="宋体" w:eastAsia="宋体" w:cs="宋体"/>
                <w:kern w:val="0"/>
                <w:sz w:val="24"/>
                <w:szCs w:val="24"/>
                <w:highlight w:val="none"/>
              </w:rPr>
            </w:pPr>
          </w:p>
        </w:tc>
        <w:tc>
          <w:tcPr>
            <w:tcW w:w="1274" w:type="dxa"/>
            <w:vMerge w:val="continue"/>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p>
        </w:tc>
        <w:tc>
          <w:tcPr>
            <w:tcW w:w="1259"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蔬菜类</w:t>
            </w:r>
          </w:p>
        </w:tc>
        <w:tc>
          <w:tcPr>
            <w:tcW w:w="121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蔬菜类</w:t>
            </w:r>
          </w:p>
        </w:tc>
        <w:tc>
          <w:tcPr>
            <w:tcW w:w="384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rPr>
              <w:t>有机磷类、氨基甲酸酯类、菊酯类</w:t>
            </w:r>
            <w:r>
              <w:rPr>
                <w:rFonts w:hint="eastAsia" w:ascii="宋体" w:hAnsi="宋体" w:eastAsia="宋体" w:cs="宋体"/>
                <w:kern w:val="0"/>
                <w:sz w:val="24"/>
                <w:szCs w:val="24"/>
                <w:highlight w:val="none"/>
                <w:lang w:eastAsia="zh-CN"/>
              </w:rPr>
              <w:t>农药残留，腐霉利、多菌灵等农药残留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noWrap w:val="0"/>
            <w:vAlign w:val="center"/>
          </w:tcPr>
          <w:p>
            <w:pPr>
              <w:autoSpaceDE w:val="0"/>
              <w:autoSpaceDN w:val="0"/>
              <w:adjustRightInd w:val="0"/>
              <w:spacing w:line="240" w:lineRule="auto"/>
              <w:jc w:val="center"/>
              <w:rPr>
                <w:rFonts w:hint="eastAsia" w:ascii="宋体" w:hAnsi="宋体" w:eastAsia="宋体" w:cs="宋体"/>
                <w:kern w:val="0"/>
                <w:sz w:val="24"/>
                <w:szCs w:val="24"/>
                <w:highlight w:val="none"/>
              </w:rPr>
            </w:pPr>
          </w:p>
        </w:tc>
        <w:tc>
          <w:tcPr>
            <w:tcW w:w="1274" w:type="dxa"/>
            <w:vMerge w:val="continue"/>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p>
        </w:tc>
        <w:tc>
          <w:tcPr>
            <w:tcW w:w="1259"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水果类</w:t>
            </w:r>
          </w:p>
        </w:tc>
        <w:tc>
          <w:tcPr>
            <w:tcW w:w="121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水果类</w:t>
            </w:r>
          </w:p>
        </w:tc>
        <w:tc>
          <w:tcPr>
            <w:tcW w:w="384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有机磷类、氨基甲酸酯类、菊酯类</w:t>
            </w:r>
            <w:r>
              <w:rPr>
                <w:rFonts w:hint="eastAsia" w:ascii="宋体" w:hAnsi="宋体" w:eastAsia="宋体" w:cs="宋体"/>
                <w:kern w:val="0"/>
                <w:sz w:val="24"/>
                <w:szCs w:val="24"/>
                <w:highlight w:val="none"/>
                <w:lang w:eastAsia="zh-CN"/>
              </w:rPr>
              <w:t>农药残留，腐霉利、多菌灵等农药残留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numPr>
                <w:ilvl w:val="0"/>
                <w:numId w:val="0"/>
              </w:numPr>
              <w:autoSpaceDE w:val="0"/>
              <w:autoSpaceDN w:val="0"/>
              <w:adjustRightInd w:val="0"/>
              <w:spacing w:line="240" w:lineRule="auto"/>
              <w:ind w:left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c>
          <w:tcPr>
            <w:tcW w:w="1274"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肉制品</w:t>
            </w:r>
          </w:p>
        </w:tc>
        <w:tc>
          <w:tcPr>
            <w:tcW w:w="1259"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熟肉制品、调理肉制品、腌腊肉制品</w:t>
            </w:r>
          </w:p>
        </w:tc>
        <w:tc>
          <w:tcPr>
            <w:tcW w:w="121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熟肉制品、调理肉制品、腌腊肉制品</w:t>
            </w:r>
          </w:p>
        </w:tc>
        <w:tc>
          <w:tcPr>
            <w:tcW w:w="384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亚硝酸盐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pPr>
              <w:numPr>
                <w:ilvl w:val="0"/>
                <w:numId w:val="0"/>
              </w:numPr>
              <w:autoSpaceDE w:val="0"/>
              <w:autoSpaceDN w:val="0"/>
              <w:adjustRightInd w:val="0"/>
              <w:spacing w:line="240" w:lineRule="auto"/>
              <w:ind w:left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3</w:t>
            </w:r>
          </w:p>
        </w:tc>
        <w:tc>
          <w:tcPr>
            <w:tcW w:w="1274"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水产制品</w:t>
            </w:r>
          </w:p>
        </w:tc>
        <w:tc>
          <w:tcPr>
            <w:tcW w:w="1259"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水产制品</w:t>
            </w:r>
          </w:p>
        </w:tc>
        <w:tc>
          <w:tcPr>
            <w:tcW w:w="121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干制水产品</w:t>
            </w:r>
          </w:p>
        </w:tc>
        <w:tc>
          <w:tcPr>
            <w:tcW w:w="384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二氧化硫、甲醛、水发产品工业碱、过氧化氢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09" w:type="dxa"/>
            <w:vMerge w:val="restart"/>
            <w:noWrap w:val="0"/>
            <w:vAlign w:val="center"/>
          </w:tcPr>
          <w:p>
            <w:pPr>
              <w:numPr>
                <w:ilvl w:val="0"/>
                <w:numId w:val="0"/>
              </w:numPr>
              <w:autoSpaceDE w:val="0"/>
              <w:autoSpaceDN w:val="0"/>
              <w:adjustRightInd w:val="0"/>
              <w:spacing w:line="240" w:lineRule="auto"/>
              <w:ind w:left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p>
        </w:tc>
        <w:tc>
          <w:tcPr>
            <w:tcW w:w="1274" w:type="dxa"/>
            <w:vMerge w:val="restart"/>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蔬菜制品</w:t>
            </w:r>
          </w:p>
        </w:tc>
        <w:tc>
          <w:tcPr>
            <w:tcW w:w="1259" w:type="dxa"/>
            <w:vMerge w:val="restart"/>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蔬菜制品</w:t>
            </w:r>
          </w:p>
        </w:tc>
        <w:tc>
          <w:tcPr>
            <w:tcW w:w="121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酱腌菜</w:t>
            </w:r>
          </w:p>
        </w:tc>
        <w:tc>
          <w:tcPr>
            <w:tcW w:w="384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苯甲酸、亚硝酸盐，吊白块（限竹笋）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09" w:type="dxa"/>
            <w:vMerge w:val="continue"/>
            <w:noWrap w:val="0"/>
            <w:vAlign w:val="center"/>
          </w:tcPr>
          <w:p>
            <w:pPr>
              <w:autoSpaceDE w:val="0"/>
              <w:autoSpaceDN w:val="0"/>
              <w:adjustRightInd w:val="0"/>
              <w:spacing w:line="240" w:lineRule="auto"/>
              <w:jc w:val="center"/>
              <w:rPr>
                <w:rFonts w:hint="eastAsia" w:ascii="宋体" w:hAnsi="宋体" w:eastAsia="宋体" w:cs="宋体"/>
                <w:kern w:val="0"/>
                <w:sz w:val="24"/>
                <w:szCs w:val="24"/>
                <w:highlight w:val="none"/>
              </w:rPr>
            </w:pPr>
          </w:p>
        </w:tc>
        <w:tc>
          <w:tcPr>
            <w:tcW w:w="1274" w:type="dxa"/>
            <w:vMerge w:val="continue"/>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p>
        </w:tc>
        <w:tc>
          <w:tcPr>
            <w:tcW w:w="1259" w:type="dxa"/>
            <w:vMerge w:val="continue"/>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p>
        </w:tc>
        <w:tc>
          <w:tcPr>
            <w:tcW w:w="121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食用菌制品</w:t>
            </w:r>
          </w:p>
        </w:tc>
        <w:tc>
          <w:tcPr>
            <w:tcW w:w="384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二氧化硫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09" w:type="dxa"/>
            <w:vMerge w:val="restart"/>
            <w:noWrap w:val="0"/>
            <w:vAlign w:val="center"/>
          </w:tcPr>
          <w:p>
            <w:pPr>
              <w:numPr>
                <w:ilvl w:val="0"/>
                <w:numId w:val="0"/>
              </w:numPr>
              <w:autoSpaceDE w:val="0"/>
              <w:autoSpaceDN w:val="0"/>
              <w:adjustRightInd w:val="0"/>
              <w:spacing w:line="240" w:lineRule="auto"/>
              <w:ind w:left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5</w:t>
            </w:r>
          </w:p>
        </w:tc>
        <w:tc>
          <w:tcPr>
            <w:tcW w:w="1274" w:type="dxa"/>
            <w:vMerge w:val="restart"/>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水果制品</w:t>
            </w:r>
          </w:p>
        </w:tc>
        <w:tc>
          <w:tcPr>
            <w:tcW w:w="1259" w:type="dxa"/>
            <w:vMerge w:val="restart"/>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水果制品</w:t>
            </w:r>
          </w:p>
        </w:tc>
        <w:tc>
          <w:tcPr>
            <w:tcW w:w="121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蜜饯</w:t>
            </w:r>
          </w:p>
        </w:tc>
        <w:tc>
          <w:tcPr>
            <w:tcW w:w="384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二氧化硫、苯甲酸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09" w:type="dxa"/>
            <w:vMerge w:val="continue"/>
            <w:noWrap w:val="0"/>
            <w:vAlign w:val="center"/>
          </w:tcPr>
          <w:p>
            <w:pPr>
              <w:autoSpaceDE w:val="0"/>
              <w:autoSpaceDN w:val="0"/>
              <w:adjustRightInd w:val="0"/>
              <w:spacing w:line="240" w:lineRule="auto"/>
              <w:jc w:val="center"/>
              <w:rPr>
                <w:rFonts w:hint="eastAsia" w:ascii="宋体" w:hAnsi="宋体" w:eastAsia="宋体" w:cs="宋体"/>
                <w:kern w:val="0"/>
                <w:sz w:val="24"/>
                <w:szCs w:val="24"/>
                <w:highlight w:val="none"/>
              </w:rPr>
            </w:pPr>
          </w:p>
        </w:tc>
        <w:tc>
          <w:tcPr>
            <w:tcW w:w="1274" w:type="dxa"/>
            <w:vMerge w:val="continue"/>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p>
        </w:tc>
        <w:tc>
          <w:tcPr>
            <w:tcW w:w="1259" w:type="dxa"/>
            <w:vMerge w:val="continue"/>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p>
        </w:tc>
        <w:tc>
          <w:tcPr>
            <w:tcW w:w="121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水果干制品</w:t>
            </w:r>
          </w:p>
        </w:tc>
        <w:tc>
          <w:tcPr>
            <w:tcW w:w="3842" w:type="dxa"/>
            <w:noWrap w:val="0"/>
            <w:vAlign w:val="center"/>
          </w:tcPr>
          <w:p>
            <w:pPr>
              <w:autoSpaceDE w:val="0"/>
              <w:autoSpaceDN w:val="0"/>
              <w:adjustRightInd w:val="0"/>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二氧化硫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09" w:type="dxa"/>
            <w:noWrap w:val="0"/>
            <w:vAlign w:val="center"/>
          </w:tcPr>
          <w:p>
            <w:pPr>
              <w:numPr>
                <w:ilvl w:val="0"/>
                <w:numId w:val="0"/>
              </w:numPr>
              <w:autoSpaceDE w:val="0"/>
              <w:autoSpaceDN w:val="0"/>
              <w:adjustRightInd w:val="0"/>
              <w:spacing w:line="240" w:lineRule="auto"/>
              <w:ind w:left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w:t>
            </w:r>
          </w:p>
        </w:tc>
        <w:tc>
          <w:tcPr>
            <w:tcW w:w="1274"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炒货食品及坚果制品</w:t>
            </w:r>
          </w:p>
        </w:tc>
        <w:tc>
          <w:tcPr>
            <w:tcW w:w="1259"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炒货食品及坚果制品</w:t>
            </w:r>
          </w:p>
        </w:tc>
        <w:tc>
          <w:tcPr>
            <w:tcW w:w="121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炒货食品及坚果制品</w:t>
            </w:r>
          </w:p>
        </w:tc>
        <w:tc>
          <w:tcPr>
            <w:tcW w:w="384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过氧化值、二氧化硫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709" w:type="dxa"/>
            <w:vMerge w:val="restart"/>
            <w:noWrap w:val="0"/>
            <w:vAlign w:val="center"/>
          </w:tcPr>
          <w:p>
            <w:pPr>
              <w:numPr>
                <w:ilvl w:val="0"/>
                <w:numId w:val="0"/>
              </w:numPr>
              <w:autoSpaceDE w:val="0"/>
              <w:autoSpaceDN w:val="0"/>
              <w:adjustRightInd w:val="0"/>
              <w:spacing w:line="240" w:lineRule="auto"/>
              <w:ind w:left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7</w:t>
            </w:r>
          </w:p>
        </w:tc>
        <w:tc>
          <w:tcPr>
            <w:tcW w:w="1274" w:type="dxa"/>
            <w:vMerge w:val="restart"/>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粮食加工品</w:t>
            </w:r>
          </w:p>
        </w:tc>
        <w:tc>
          <w:tcPr>
            <w:tcW w:w="1259"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小麦粉</w:t>
            </w:r>
          </w:p>
        </w:tc>
        <w:tc>
          <w:tcPr>
            <w:tcW w:w="121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小麦粉</w:t>
            </w:r>
          </w:p>
        </w:tc>
        <w:tc>
          <w:tcPr>
            <w:tcW w:w="384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铅、铬、汞、砷化物、过氧化苯甲酰、溴酸钾、吊白块、黄曲霉毒素B</w:t>
            </w:r>
            <w:r>
              <w:rPr>
                <w:rFonts w:hint="eastAsia" w:ascii="宋体" w:hAnsi="宋体" w:eastAsia="宋体" w:cs="宋体"/>
                <w:kern w:val="0"/>
                <w:sz w:val="24"/>
                <w:szCs w:val="24"/>
                <w:highlight w:val="none"/>
                <w:vertAlign w:val="sub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709" w:type="dxa"/>
            <w:vMerge w:val="continue"/>
            <w:noWrap w:val="0"/>
            <w:vAlign w:val="center"/>
          </w:tcPr>
          <w:p>
            <w:pPr>
              <w:autoSpaceDE w:val="0"/>
              <w:autoSpaceDN w:val="0"/>
              <w:adjustRightInd w:val="0"/>
              <w:spacing w:line="240" w:lineRule="auto"/>
              <w:jc w:val="center"/>
              <w:rPr>
                <w:rFonts w:hint="eastAsia" w:ascii="宋体" w:hAnsi="宋体" w:eastAsia="宋体" w:cs="宋体"/>
                <w:kern w:val="0"/>
                <w:sz w:val="24"/>
                <w:szCs w:val="24"/>
                <w:highlight w:val="none"/>
              </w:rPr>
            </w:pPr>
          </w:p>
        </w:tc>
        <w:tc>
          <w:tcPr>
            <w:tcW w:w="1274" w:type="dxa"/>
            <w:vMerge w:val="continue"/>
            <w:noWrap w:val="0"/>
            <w:vAlign w:val="center"/>
          </w:tcPr>
          <w:p>
            <w:pPr>
              <w:widowControl/>
              <w:spacing w:line="240" w:lineRule="auto"/>
              <w:jc w:val="left"/>
              <w:rPr>
                <w:rFonts w:hint="eastAsia" w:ascii="宋体" w:hAnsi="宋体" w:eastAsia="宋体" w:cs="宋体"/>
                <w:kern w:val="0"/>
                <w:sz w:val="24"/>
                <w:szCs w:val="24"/>
                <w:highlight w:val="none"/>
              </w:rPr>
            </w:pPr>
          </w:p>
        </w:tc>
        <w:tc>
          <w:tcPr>
            <w:tcW w:w="1259"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大米</w:t>
            </w:r>
          </w:p>
        </w:tc>
        <w:tc>
          <w:tcPr>
            <w:tcW w:w="121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大米</w:t>
            </w:r>
          </w:p>
        </w:tc>
        <w:tc>
          <w:tcPr>
            <w:tcW w:w="384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铅、铬、镉、汞、砷化物、吊白块、黄曲霉毒素B</w:t>
            </w:r>
            <w:r>
              <w:rPr>
                <w:rFonts w:hint="eastAsia" w:ascii="宋体" w:hAnsi="宋体" w:eastAsia="宋体" w:cs="宋体"/>
                <w:kern w:val="0"/>
                <w:sz w:val="24"/>
                <w:szCs w:val="24"/>
                <w:highlight w:val="none"/>
                <w:vertAlign w:val="sub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09" w:type="dxa"/>
            <w:vMerge w:val="continue"/>
            <w:noWrap w:val="0"/>
            <w:vAlign w:val="center"/>
          </w:tcPr>
          <w:p>
            <w:pPr>
              <w:autoSpaceDE w:val="0"/>
              <w:autoSpaceDN w:val="0"/>
              <w:adjustRightInd w:val="0"/>
              <w:spacing w:line="240" w:lineRule="auto"/>
              <w:jc w:val="center"/>
              <w:rPr>
                <w:rFonts w:hint="eastAsia" w:ascii="宋体" w:hAnsi="宋体" w:eastAsia="宋体" w:cs="宋体"/>
                <w:kern w:val="0"/>
                <w:sz w:val="24"/>
                <w:szCs w:val="24"/>
                <w:highlight w:val="none"/>
              </w:rPr>
            </w:pPr>
          </w:p>
        </w:tc>
        <w:tc>
          <w:tcPr>
            <w:tcW w:w="1274" w:type="dxa"/>
            <w:vMerge w:val="continue"/>
            <w:noWrap w:val="0"/>
            <w:vAlign w:val="center"/>
          </w:tcPr>
          <w:p>
            <w:pPr>
              <w:widowControl/>
              <w:spacing w:line="240" w:lineRule="auto"/>
              <w:jc w:val="left"/>
              <w:rPr>
                <w:rFonts w:hint="eastAsia" w:ascii="宋体" w:hAnsi="宋体" w:eastAsia="宋体" w:cs="宋体"/>
                <w:kern w:val="0"/>
                <w:sz w:val="24"/>
                <w:szCs w:val="24"/>
                <w:highlight w:val="none"/>
              </w:rPr>
            </w:pPr>
          </w:p>
        </w:tc>
        <w:tc>
          <w:tcPr>
            <w:tcW w:w="1259"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挂面</w:t>
            </w:r>
          </w:p>
        </w:tc>
        <w:tc>
          <w:tcPr>
            <w:tcW w:w="121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挂面</w:t>
            </w:r>
          </w:p>
        </w:tc>
        <w:tc>
          <w:tcPr>
            <w:tcW w:w="384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铅、铬、汞、砷化物、硼砂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709" w:type="dxa"/>
            <w:vMerge w:val="continue"/>
            <w:noWrap w:val="0"/>
            <w:vAlign w:val="center"/>
          </w:tcPr>
          <w:p>
            <w:pPr>
              <w:autoSpaceDE w:val="0"/>
              <w:autoSpaceDN w:val="0"/>
              <w:adjustRightInd w:val="0"/>
              <w:spacing w:line="240" w:lineRule="auto"/>
              <w:jc w:val="center"/>
              <w:rPr>
                <w:rFonts w:hint="eastAsia" w:ascii="宋体" w:hAnsi="宋体" w:eastAsia="宋体" w:cs="宋体"/>
                <w:kern w:val="0"/>
                <w:sz w:val="24"/>
                <w:szCs w:val="24"/>
                <w:highlight w:val="none"/>
              </w:rPr>
            </w:pPr>
          </w:p>
        </w:tc>
        <w:tc>
          <w:tcPr>
            <w:tcW w:w="1274" w:type="dxa"/>
            <w:vMerge w:val="continue"/>
            <w:noWrap w:val="0"/>
            <w:vAlign w:val="center"/>
          </w:tcPr>
          <w:p>
            <w:pPr>
              <w:widowControl/>
              <w:spacing w:line="240" w:lineRule="auto"/>
              <w:jc w:val="left"/>
              <w:rPr>
                <w:rFonts w:hint="eastAsia" w:ascii="宋体" w:hAnsi="宋体" w:eastAsia="宋体" w:cs="宋体"/>
                <w:kern w:val="0"/>
                <w:sz w:val="24"/>
                <w:szCs w:val="24"/>
                <w:highlight w:val="none"/>
              </w:rPr>
            </w:pPr>
          </w:p>
        </w:tc>
        <w:tc>
          <w:tcPr>
            <w:tcW w:w="1259" w:type="dxa"/>
            <w:vMerge w:val="restart"/>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其他粮食加工品</w:t>
            </w:r>
          </w:p>
        </w:tc>
        <w:tc>
          <w:tcPr>
            <w:tcW w:w="121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谷物加工品</w:t>
            </w:r>
          </w:p>
        </w:tc>
        <w:tc>
          <w:tcPr>
            <w:tcW w:w="3842" w:type="dxa"/>
            <w:vMerge w:val="restart"/>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铅、铬、汞、砷化物、黄曲霉毒素B</w:t>
            </w:r>
            <w:r>
              <w:rPr>
                <w:rFonts w:hint="eastAsia" w:ascii="宋体" w:hAnsi="宋体" w:eastAsia="宋体" w:cs="宋体"/>
                <w:kern w:val="0"/>
                <w:sz w:val="24"/>
                <w:szCs w:val="24"/>
                <w:highlight w:val="none"/>
                <w:vertAlign w:val="sub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709" w:type="dxa"/>
            <w:vMerge w:val="continue"/>
            <w:noWrap w:val="0"/>
            <w:vAlign w:val="center"/>
          </w:tcPr>
          <w:p>
            <w:pPr>
              <w:autoSpaceDE w:val="0"/>
              <w:autoSpaceDN w:val="0"/>
              <w:adjustRightInd w:val="0"/>
              <w:spacing w:line="240" w:lineRule="auto"/>
              <w:jc w:val="center"/>
              <w:rPr>
                <w:rFonts w:hint="eastAsia" w:ascii="宋体" w:hAnsi="宋体" w:eastAsia="宋体" w:cs="宋体"/>
                <w:kern w:val="0"/>
                <w:sz w:val="24"/>
                <w:szCs w:val="24"/>
                <w:highlight w:val="none"/>
              </w:rPr>
            </w:pPr>
          </w:p>
        </w:tc>
        <w:tc>
          <w:tcPr>
            <w:tcW w:w="1274" w:type="dxa"/>
            <w:vMerge w:val="continue"/>
            <w:noWrap w:val="0"/>
            <w:vAlign w:val="center"/>
          </w:tcPr>
          <w:p>
            <w:pPr>
              <w:widowControl/>
              <w:spacing w:line="240" w:lineRule="auto"/>
              <w:jc w:val="left"/>
              <w:rPr>
                <w:rFonts w:hint="eastAsia" w:ascii="宋体" w:hAnsi="宋体" w:eastAsia="宋体" w:cs="宋体"/>
                <w:kern w:val="0"/>
                <w:sz w:val="24"/>
                <w:szCs w:val="24"/>
                <w:highlight w:val="none"/>
              </w:rPr>
            </w:pPr>
          </w:p>
        </w:tc>
        <w:tc>
          <w:tcPr>
            <w:tcW w:w="1259" w:type="dxa"/>
            <w:vMerge w:val="continue"/>
            <w:noWrap w:val="0"/>
            <w:vAlign w:val="center"/>
          </w:tcPr>
          <w:p>
            <w:pPr>
              <w:widowControl/>
              <w:spacing w:line="240" w:lineRule="auto"/>
              <w:jc w:val="left"/>
              <w:rPr>
                <w:rFonts w:hint="eastAsia" w:ascii="宋体" w:hAnsi="宋体" w:eastAsia="宋体" w:cs="宋体"/>
                <w:kern w:val="0"/>
                <w:sz w:val="24"/>
                <w:szCs w:val="24"/>
                <w:highlight w:val="none"/>
              </w:rPr>
            </w:pPr>
          </w:p>
        </w:tc>
        <w:tc>
          <w:tcPr>
            <w:tcW w:w="121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谷物碾磨加工品</w:t>
            </w:r>
          </w:p>
        </w:tc>
        <w:tc>
          <w:tcPr>
            <w:tcW w:w="3842" w:type="dxa"/>
            <w:vMerge w:val="continue"/>
            <w:noWrap w:val="0"/>
            <w:vAlign w:val="center"/>
          </w:tcPr>
          <w:p>
            <w:pPr>
              <w:widowControl/>
              <w:spacing w:line="240" w:lineRule="auto"/>
              <w:jc w:val="left"/>
              <w:rPr>
                <w:rFonts w:hint="eastAsia" w:ascii="宋体" w:hAnsi="宋体" w:eastAsia="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9" w:type="dxa"/>
            <w:vMerge w:val="continue"/>
            <w:noWrap w:val="0"/>
            <w:vAlign w:val="center"/>
          </w:tcPr>
          <w:p>
            <w:pPr>
              <w:autoSpaceDE w:val="0"/>
              <w:autoSpaceDN w:val="0"/>
              <w:adjustRightInd w:val="0"/>
              <w:spacing w:line="240" w:lineRule="auto"/>
              <w:jc w:val="center"/>
              <w:rPr>
                <w:rFonts w:hint="eastAsia" w:ascii="宋体" w:hAnsi="宋体" w:eastAsia="宋体" w:cs="宋体"/>
                <w:kern w:val="0"/>
                <w:sz w:val="24"/>
                <w:szCs w:val="24"/>
                <w:highlight w:val="none"/>
              </w:rPr>
            </w:pPr>
          </w:p>
        </w:tc>
        <w:tc>
          <w:tcPr>
            <w:tcW w:w="1274" w:type="dxa"/>
            <w:vMerge w:val="continue"/>
            <w:noWrap w:val="0"/>
            <w:vAlign w:val="center"/>
          </w:tcPr>
          <w:p>
            <w:pPr>
              <w:widowControl/>
              <w:spacing w:line="240" w:lineRule="auto"/>
              <w:jc w:val="left"/>
              <w:rPr>
                <w:rFonts w:hint="eastAsia" w:ascii="宋体" w:hAnsi="宋体" w:eastAsia="宋体" w:cs="宋体"/>
                <w:kern w:val="0"/>
                <w:sz w:val="24"/>
                <w:szCs w:val="24"/>
                <w:highlight w:val="none"/>
              </w:rPr>
            </w:pPr>
          </w:p>
        </w:tc>
        <w:tc>
          <w:tcPr>
            <w:tcW w:w="1259" w:type="dxa"/>
            <w:vMerge w:val="continue"/>
            <w:noWrap w:val="0"/>
            <w:vAlign w:val="center"/>
          </w:tcPr>
          <w:p>
            <w:pPr>
              <w:widowControl/>
              <w:spacing w:line="240" w:lineRule="auto"/>
              <w:jc w:val="left"/>
              <w:rPr>
                <w:rFonts w:hint="eastAsia" w:ascii="宋体" w:hAnsi="宋体" w:eastAsia="宋体" w:cs="宋体"/>
                <w:kern w:val="0"/>
                <w:sz w:val="24"/>
                <w:szCs w:val="24"/>
                <w:highlight w:val="none"/>
              </w:rPr>
            </w:pPr>
          </w:p>
        </w:tc>
        <w:tc>
          <w:tcPr>
            <w:tcW w:w="121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谷物粉类制成品</w:t>
            </w:r>
          </w:p>
        </w:tc>
        <w:tc>
          <w:tcPr>
            <w:tcW w:w="384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铅、铬、汞、砷化物</w:t>
            </w:r>
          </w:p>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铝、过氧化氢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709" w:type="dxa"/>
            <w:noWrap w:val="0"/>
            <w:vAlign w:val="center"/>
          </w:tcPr>
          <w:p>
            <w:pPr>
              <w:numPr>
                <w:ilvl w:val="0"/>
                <w:numId w:val="0"/>
              </w:numPr>
              <w:autoSpaceDE w:val="0"/>
              <w:autoSpaceDN w:val="0"/>
              <w:adjustRightInd w:val="0"/>
              <w:spacing w:line="240" w:lineRule="auto"/>
              <w:ind w:left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8</w:t>
            </w:r>
          </w:p>
        </w:tc>
        <w:tc>
          <w:tcPr>
            <w:tcW w:w="1274"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食用油、油脂及其制品</w:t>
            </w:r>
          </w:p>
        </w:tc>
        <w:tc>
          <w:tcPr>
            <w:tcW w:w="1259"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食用植物油</w:t>
            </w:r>
          </w:p>
        </w:tc>
        <w:tc>
          <w:tcPr>
            <w:tcW w:w="121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食用植物油</w:t>
            </w:r>
          </w:p>
        </w:tc>
        <w:tc>
          <w:tcPr>
            <w:tcW w:w="384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酸价、过氧化值、黄曲霉毒素B</w:t>
            </w:r>
            <w:r>
              <w:rPr>
                <w:rFonts w:hint="eastAsia" w:ascii="宋体" w:hAnsi="宋体" w:eastAsia="宋体" w:cs="宋体"/>
                <w:kern w:val="0"/>
                <w:sz w:val="24"/>
                <w:szCs w:val="24"/>
                <w:highlight w:val="none"/>
                <w:vertAlign w:val="sub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09" w:type="dxa"/>
            <w:vMerge w:val="restart"/>
            <w:noWrap w:val="0"/>
            <w:vAlign w:val="center"/>
          </w:tcPr>
          <w:p>
            <w:pPr>
              <w:numPr>
                <w:ilvl w:val="0"/>
                <w:numId w:val="0"/>
              </w:numPr>
              <w:autoSpaceDE w:val="0"/>
              <w:autoSpaceDN w:val="0"/>
              <w:adjustRightInd w:val="0"/>
              <w:spacing w:line="240" w:lineRule="auto"/>
              <w:ind w:leftChars="0"/>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9</w:t>
            </w:r>
          </w:p>
        </w:tc>
        <w:tc>
          <w:tcPr>
            <w:tcW w:w="1274" w:type="dxa"/>
            <w:vMerge w:val="restart"/>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豆制品</w:t>
            </w:r>
          </w:p>
        </w:tc>
        <w:tc>
          <w:tcPr>
            <w:tcW w:w="1259" w:type="dxa"/>
            <w:vMerge w:val="restart"/>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豆制品</w:t>
            </w:r>
          </w:p>
        </w:tc>
        <w:tc>
          <w:tcPr>
            <w:tcW w:w="121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发酵性豆制品</w:t>
            </w:r>
          </w:p>
        </w:tc>
        <w:tc>
          <w:tcPr>
            <w:tcW w:w="384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铅、镉、苯甲酸、吊白块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709" w:type="dxa"/>
            <w:vMerge w:val="continue"/>
            <w:noWrap w:val="0"/>
            <w:vAlign w:val="center"/>
          </w:tcPr>
          <w:p>
            <w:pPr>
              <w:autoSpaceDE w:val="0"/>
              <w:autoSpaceDN w:val="0"/>
              <w:adjustRightInd w:val="0"/>
              <w:spacing w:line="240" w:lineRule="auto"/>
              <w:jc w:val="center"/>
              <w:rPr>
                <w:rFonts w:hint="eastAsia" w:ascii="宋体" w:hAnsi="宋体" w:eastAsia="宋体" w:cs="宋体"/>
                <w:kern w:val="0"/>
                <w:sz w:val="24"/>
                <w:szCs w:val="24"/>
                <w:highlight w:val="none"/>
              </w:rPr>
            </w:pPr>
          </w:p>
        </w:tc>
        <w:tc>
          <w:tcPr>
            <w:tcW w:w="1274" w:type="dxa"/>
            <w:vMerge w:val="continue"/>
            <w:noWrap w:val="0"/>
            <w:vAlign w:val="center"/>
          </w:tcPr>
          <w:p>
            <w:pPr>
              <w:widowControl/>
              <w:spacing w:line="240" w:lineRule="auto"/>
              <w:jc w:val="left"/>
              <w:rPr>
                <w:rFonts w:hint="eastAsia" w:ascii="宋体" w:hAnsi="宋体" w:eastAsia="宋体" w:cs="宋体"/>
                <w:kern w:val="0"/>
                <w:sz w:val="24"/>
                <w:szCs w:val="24"/>
                <w:highlight w:val="none"/>
              </w:rPr>
            </w:pPr>
          </w:p>
        </w:tc>
        <w:tc>
          <w:tcPr>
            <w:tcW w:w="1259" w:type="dxa"/>
            <w:vMerge w:val="continue"/>
            <w:noWrap w:val="0"/>
            <w:vAlign w:val="center"/>
          </w:tcPr>
          <w:p>
            <w:pPr>
              <w:widowControl/>
              <w:spacing w:line="240" w:lineRule="auto"/>
              <w:jc w:val="left"/>
              <w:rPr>
                <w:rFonts w:hint="eastAsia" w:ascii="宋体" w:hAnsi="宋体" w:eastAsia="宋体" w:cs="宋体"/>
                <w:kern w:val="0"/>
                <w:sz w:val="24"/>
                <w:szCs w:val="24"/>
                <w:highlight w:val="none"/>
              </w:rPr>
            </w:pPr>
          </w:p>
        </w:tc>
        <w:tc>
          <w:tcPr>
            <w:tcW w:w="121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非发酵性豆制品</w:t>
            </w:r>
          </w:p>
        </w:tc>
        <w:tc>
          <w:tcPr>
            <w:tcW w:w="3842" w:type="dxa"/>
            <w:noWrap w:val="0"/>
            <w:vAlign w:val="center"/>
          </w:tcPr>
          <w:p>
            <w:pPr>
              <w:widowControl/>
              <w:spacing w:line="24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铅、镉、二氧化硫、过氧化氢、吊白块</w:t>
            </w:r>
          </w:p>
        </w:tc>
      </w:tr>
    </w:tbl>
    <w:p>
      <w:pPr>
        <w:rPr>
          <w:rFonts w:hint="eastAsia" w:ascii="宋体" w:hAnsi="宋体" w:eastAsia="宋体" w:cs="宋体"/>
          <w:sz w:val="24"/>
          <w:szCs w:val="24"/>
          <w:highlight w:val="none"/>
        </w:rPr>
      </w:pPr>
    </w:p>
    <w:p>
      <w:pPr>
        <w:pStyle w:val="21"/>
        <w:keepNext w:val="0"/>
        <w:keepLines w:val="0"/>
        <w:pageBreakBefore w:val="0"/>
        <w:kinsoku/>
        <w:wordWrap/>
        <w:overflowPunct/>
        <w:topLinePunct w:val="0"/>
        <w:bidi w:val="0"/>
        <w:adjustRightInd/>
        <w:snapToGrid/>
        <w:spacing w:line="360" w:lineRule="auto"/>
        <w:ind w:left="0" w:leftChars="0" w:firstLine="0" w:firstLineChars="0"/>
        <w:jc w:val="both"/>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六</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检测种类、项目及抽样数量要求</w:t>
      </w:r>
    </w:p>
    <w:p>
      <w:pPr>
        <w:pStyle w:val="64"/>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每日抽检品种中必须含有蔬菜、水果、畜禽肉、蛋类、水产品、水产制品（含水发产品）、粮食制品（其中蔬菜，水果抽检比例不得高于70%）。</w:t>
      </w:r>
    </w:p>
    <w:p>
      <w:pPr>
        <w:pStyle w:val="64"/>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2.抽检样品数量要求</w:t>
      </w:r>
    </w:p>
    <w:p>
      <w:pPr>
        <w:pStyle w:val="64"/>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kern w:val="0"/>
          <w:sz w:val="24"/>
          <w:szCs w:val="24"/>
          <w:highlight w:val="none"/>
        </w:rPr>
        <w:t>每个样品的抽检数量不</w:t>
      </w:r>
      <w:r>
        <w:rPr>
          <w:rFonts w:hint="eastAsia" w:ascii="宋体" w:hAnsi="宋体" w:eastAsia="宋体" w:cs="宋体"/>
          <w:sz w:val="24"/>
          <w:szCs w:val="24"/>
          <w:highlight w:val="none"/>
        </w:rPr>
        <w:t>少于20g。定量包装产品以最小包装为取样量。</w:t>
      </w:r>
    </w:p>
    <w:p>
      <w:pPr>
        <w:pStyle w:val="21"/>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检测项目</w:t>
      </w:r>
    </w:p>
    <w:p>
      <w:pPr>
        <w:pStyle w:val="64"/>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每日所检测项目必须含有以下重点种类和相应项目：</w:t>
      </w:r>
    </w:p>
    <w:p>
      <w:pPr>
        <w:pStyle w:val="64"/>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果蔬类检测指标：有机磷及氨基甲酸酯类农药、菊酯类农药（不少于其中2个项目）。</w:t>
      </w:r>
    </w:p>
    <w:p>
      <w:pPr>
        <w:pStyle w:val="64"/>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畜禽产品类检测指标：克伦特罗、莱克多巴胺、沙丁胺醇、氯霉素、磺胺类、四环素、沙星类、肉类水分</w:t>
      </w:r>
      <w:r>
        <w:rPr>
          <w:rFonts w:hint="eastAsia" w:ascii="宋体" w:hAnsi="宋体" w:eastAsia="宋体" w:cs="宋体"/>
          <w:sz w:val="24"/>
          <w:szCs w:val="24"/>
          <w:highlight w:val="none"/>
        </w:rPr>
        <w:t>（不少于其中2个项目）。</w:t>
      </w:r>
    </w:p>
    <w:p>
      <w:pPr>
        <w:pStyle w:val="64"/>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水产品类检测指标：甲醛、过氧化氢、</w:t>
      </w:r>
      <w:r>
        <w:rPr>
          <w:rFonts w:hint="eastAsia" w:ascii="宋体" w:hAnsi="宋体" w:eastAsia="宋体" w:cs="宋体"/>
          <w:kern w:val="0"/>
          <w:sz w:val="24"/>
          <w:szCs w:val="24"/>
          <w:highlight w:val="none"/>
          <w:lang w:eastAsia="zh-CN"/>
        </w:rPr>
        <w:t>孔雀石绿</w:t>
      </w:r>
      <w:r>
        <w:rPr>
          <w:rFonts w:hint="eastAsia" w:ascii="宋体" w:hAnsi="宋体" w:eastAsia="宋体" w:cs="宋体"/>
          <w:kern w:val="0"/>
          <w:sz w:val="24"/>
          <w:szCs w:val="24"/>
          <w:highlight w:val="none"/>
        </w:rPr>
        <w:t>、硝基呋喃代谢物（四项）、氯霉素、</w:t>
      </w:r>
      <w:r>
        <w:rPr>
          <w:rFonts w:hint="eastAsia" w:ascii="宋体" w:hAnsi="宋体" w:eastAsia="宋体" w:cs="宋体"/>
          <w:sz w:val="24"/>
          <w:szCs w:val="24"/>
          <w:highlight w:val="none"/>
        </w:rPr>
        <w:t>恩诺沙星、喹乙醇及代谢物等（不少于其中1个项目）。</w:t>
      </w:r>
    </w:p>
    <w:p>
      <w:pPr>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粮油副食</w:t>
      </w:r>
      <w:r>
        <w:rPr>
          <w:rFonts w:hint="eastAsia" w:ascii="宋体" w:hAnsi="宋体" w:eastAsia="宋体" w:cs="宋体"/>
          <w:kern w:val="0"/>
          <w:sz w:val="24"/>
          <w:szCs w:val="24"/>
          <w:highlight w:val="none"/>
        </w:rPr>
        <w:t>类产品检测指标：</w:t>
      </w:r>
      <w:r>
        <w:rPr>
          <w:rFonts w:hint="eastAsia" w:ascii="宋体" w:hAnsi="宋体" w:eastAsia="宋体" w:cs="宋体"/>
          <w:sz w:val="24"/>
          <w:szCs w:val="24"/>
          <w:highlight w:val="none"/>
        </w:rPr>
        <w:t>黄曲霉毒素、食用油酸价、食用油过氧化值、陈化粮、吊白块、甲醛、二氧化硫</w:t>
      </w:r>
      <w:r>
        <w:rPr>
          <w:rFonts w:hint="eastAsia" w:ascii="宋体" w:hAnsi="宋体" w:eastAsia="宋体" w:cs="宋体"/>
          <w:kern w:val="0"/>
          <w:sz w:val="24"/>
          <w:szCs w:val="24"/>
          <w:highlight w:val="none"/>
        </w:rPr>
        <w:t>（不少于其中2个项目）。</w:t>
      </w:r>
    </w:p>
    <w:p>
      <w:pPr>
        <w:pStyle w:val="64"/>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其他类产品检测指标：二氧化硫、铝、四环素、氯霉素、吊白块、硼砂、铅、镉、砷、汞、亚硝酸盐、工业碱等（不少于其中2个项目）。</w:t>
      </w:r>
    </w:p>
    <w:p>
      <w:pPr>
        <w:pStyle w:val="64"/>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w:t>
      </w:r>
      <w:r>
        <w:rPr>
          <w:rFonts w:hint="eastAsia" w:ascii="宋体" w:hAnsi="宋体" w:eastAsia="宋体" w:cs="宋体"/>
          <w:kern w:val="0"/>
          <w:sz w:val="24"/>
          <w:szCs w:val="24"/>
          <w:highlight w:val="none"/>
          <w:lang w:val="en-US" w:eastAsia="zh-CN"/>
        </w:rPr>
        <w:t>中标供应商应根据实际监管需要临时增加重点监测品种及应急突发检测项目，具体以采购人相关文件内容为准。</w:t>
      </w:r>
    </w:p>
    <w:p>
      <w:pPr>
        <w:keepNext w:val="0"/>
        <w:keepLines w:val="0"/>
        <w:pageBreakBefore w:val="0"/>
        <w:numPr>
          <w:ilvl w:val="0"/>
          <w:numId w:val="0"/>
        </w:numPr>
        <w:tabs>
          <w:tab w:val="left" w:pos="210"/>
        </w:tabs>
        <w:kinsoku/>
        <w:wordWrap/>
        <w:overflowPunct/>
        <w:topLinePunct w:val="0"/>
        <w:autoSpaceDE w:val="0"/>
        <w:autoSpaceDN w:val="0"/>
        <w:bidi w:val="0"/>
        <w:adjustRightInd/>
        <w:snapToGrid/>
        <w:spacing w:after="0" w:line="360" w:lineRule="auto"/>
        <w:jc w:val="both"/>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lang w:val="en-US" w:eastAsia="zh-CN"/>
        </w:rPr>
        <w:t>七</w:t>
      </w:r>
      <w:r>
        <w:rPr>
          <w:rFonts w:hint="eastAsia" w:ascii="宋体" w:hAnsi="宋体" w:eastAsia="宋体" w:cs="宋体"/>
          <w:b/>
          <w:color w:val="000000"/>
          <w:sz w:val="24"/>
          <w:szCs w:val="24"/>
          <w:highlight w:val="none"/>
          <w:lang w:eastAsia="zh-CN"/>
        </w:rPr>
        <w:t>）</w:t>
      </w:r>
      <w:r>
        <w:rPr>
          <w:rFonts w:hint="eastAsia" w:ascii="宋体" w:hAnsi="宋体" w:eastAsia="宋体" w:cs="宋体"/>
          <w:b/>
          <w:color w:val="000000"/>
          <w:sz w:val="24"/>
          <w:szCs w:val="24"/>
          <w:highlight w:val="none"/>
        </w:rPr>
        <w:t>服务要求</w:t>
      </w:r>
    </w:p>
    <w:p>
      <w:pPr>
        <w:pStyle w:val="64"/>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1.具备与承检任务中检验项目和任务量相适应的检验检测能力。</w:t>
      </w:r>
    </w:p>
    <w:p>
      <w:pPr>
        <w:pStyle w:val="64"/>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2.具有稳定的、高水平的检验和技术管理人员，能保证食品抽样检验工作的连续性和稳定性。</w:t>
      </w:r>
    </w:p>
    <w:p>
      <w:pPr>
        <w:pStyle w:val="64"/>
        <w:keepNext w:val="0"/>
        <w:keepLines w:val="0"/>
        <w:pageBreakBefore w:val="0"/>
        <w:kinsoku/>
        <w:wordWrap/>
        <w:overflowPunct/>
        <w:topLinePunct w:val="0"/>
        <w:bidi w:val="0"/>
        <w:adjustRightInd/>
        <w:snapToGrid/>
        <w:spacing w:line="360" w:lineRule="auto"/>
        <w:ind w:firstLine="480" w:firstLineChars="200"/>
        <w:jc w:val="both"/>
        <w:textAlignment w:val="auto"/>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3.</w:t>
      </w:r>
      <w:r>
        <w:rPr>
          <w:rFonts w:hint="eastAsia" w:ascii="宋体" w:hAnsi="宋体" w:eastAsia="宋体" w:cs="宋体"/>
          <w:color w:val="000000"/>
          <w:sz w:val="24"/>
          <w:szCs w:val="24"/>
          <w:highlight w:val="none"/>
          <w:lang w:val="en-US" w:eastAsia="zh-CN"/>
        </w:rPr>
        <w:t>供应商须针对本项目提供详细的服务方案。</w:t>
      </w:r>
    </w:p>
    <w:p>
      <w:pPr>
        <w:pStyle w:val="9"/>
        <w:keepNext w:val="0"/>
        <w:keepLines w:val="0"/>
        <w:pageBreakBefore w:val="0"/>
        <w:kinsoku/>
        <w:wordWrap/>
        <w:overflowPunct/>
        <w:topLinePunct w:val="0"/>
        <w:bidi w:val="0"/>
        <w:adjustRightInd/>
        <w:snapToGrid/>
        <w:ind w:left="0" w:leftChars="0" w:firstLine="0" w:firstLineChars="0"/>
        <w:jc w:val="both"/>
        <w:textAlignment w:val="auto"/>
        <w:rPr>
          <w:rFonts w:hint="eastAsia" w:ascii="宋体" w:hAnsi="宋体" w:eastAsia="宋体" w:cs="宋体"/>
          <w:sz w:val="24"/>
          <w:szCs w:val="24"/>
          <w:highlight w:val="none"/>
          <w:lang w:val="zh-TW"/>
        </w:rPr>
      </w:pPr>
      <w:r>
        <w:rPr>
          <w:rFonts w:hint="eastAsia" w:ascii="宋体" w:hAnsi="宋体" w:eastAsia="宋体" w:cs="宋体"/>
          <w:b/>
          <w:bCs/>
          <w:sz w:val="24"/>
          <w:szCs w:val="24"/>
          <w:highlight w:val="none"/>
          <w:lang w:val="zh-TW" w:eastAsia="zh-CN"/>
        </w:rPr>
        <w:t>（</w:t>
      </w:r>
      <w:r>
        <w:rPr>
          <w:rFonts w:hint="eastAsia" w:ascii="宋体" w:hAnsi="宋体" w:eastAsia="宋体" w:cs="宋体"/>
          <w:b/>
          <w:bCs/>
          <w:sz w:val="24"/>
          <w:szCs w:val="24"/>
          <w:highlight w:val="none"/>
          <w:lang w:val="en-US" w:eastAsia="zh-CN"/>
        </w:rPr>
        <w:t>八</w:t>
      </w:r>
      <w:r>
        <w:rPr>
          <w:rFonts w:hint="eastAsia" w:ascii="宋体" w:hAnsi="宋体" w:eastAsia="宋体" w:cs="宋体"/>
          <w:b/>
          <w:bCs/>
          <w:sz w:val="24"/>
          <w:szCs w:val="24"/>
          <w:highlight w:val="none"/>
          <w:lang w:val="zh-TW" w:eastAsia="zh-CN"/>
        </w:rPr>
        <w:t>）中标供应商</w:t>
      </w:r>
      <w:r>
        <w:rPr>
          <w:rFonts w:hint="eastAsia" w:ascii="宋体" w:hAnsi="宋体" w:eastAsia="宋体" w:cs="宋体"/>
          <w:b/>
          <w:bCs/>
          <w:sz w:val="24"/>
          <w:szCs w:val="24"/>
          <w:highlight w:val="none"/>
          <w:lang w:val="zh-TW"/>
        </w:rPr>
        <w:t>的职责与义务</w:t>
      </w:r>
    </w:p>
    <w:p>
      <w:pPr>
        <w:pStyle w:val="64"/>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zh-TW"/>
        </w:rPr>
      </w:pPr>
      <w:r>
        <w:rPr>
          <w:rFonts w:hint="eastAsia" w:ascii="宋体" w:hAnsi="宋体" w:eastAsia="宋体" w:cs="宋体"/>
          <w:kern w:val="0"/>
          <w:sz w:val="24"/>
          <w:szCs w:val="24"/>
          <w:highlight w:val="none"/>
          <w:lang w:val="zh-TW"/>
        </w:rPr>
        <w:t>1.严格遵守法律、法规的规定和检验工作有关纪律要求，确保检验结果真实有效；检验活动中无重大差错，能够保证检验结果质量；</w:t>
      </w:r>
    </w:p>
    <w:p>
      <w:pPr>
        <w:pStyle w:val="64"/>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zh-TW"/>
        </w:rPr>
      </w:pPr>
      <w:r>
        <w:rPr>
          <w:rFonts w:hint="eastAsia" w:ascii="宋体" w:hAnsi="宋体" w:eastAsia="宋体" w:cs="宋体"/>
          <w:kern w:val="0"/>
          <w:sz w:val="24"/>
          <w:szCs w:val="24"/>
          <w:highlight w:val="none"/>
          <w:lang w:val="zh-TW"/>
        </w:rPr>
        <w:t>2.必须接受</w:t>
      </w:r>
      <w:r>
        <w:rPr>
          <w:rFonts w:hint="eastAsia" w:ascii="宋体" w:hAnsi="宋体" w:eastAsia="宋体" w:cs="宋体"/>
          <w:kern w:val="0"/>
          <w:sz w:val="24"/>
          <w:szCs w:val="24"/>
          <w:highlight w:val="none"/>
          <w:lang w:val="zh-TW" w:eastAsia="zh-CN"/>
        </w:rPr>
        <w:t>采购人</w:t>
      </w:r>
      <w:r>
        <w:rPr>
          <w:rFonts w:hint="eastAsia" w:ascii="宋体" w:hAnsi="宋体" w:eastAsia="宋体" w:cs="宋体"/>
          <w:kern w:val="0"/>
          <w:sz w:val="24"/>
          <w:szCs w:val="24"/>
          <w:highlight w:val="none"/>
          <w:lang w:val="zh-TW"/>
        </w:rPr>
        <w:t>对承担检验任务工作质量情况的监督检查和考核；</w:t>
      </w:r>
    </w:p>
    <w:p>
      <w:pPr>
        <w:pStyle w:val="64"/>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zh-TW" w:eastAsia="zh-CN"/>
        </w:rPr>
      </w:pPr>
      <w:r>
        <w:rPr>
          <w:rFonts w:hint="eastAsia" w:ascii="宋体" w:hAnsi="宋体" w:eastAsia="宋体" w:cs="宋体"/>
          <w:kern w:val="0"/>
          <w:sz w:val="24"/>
          <w:szCs w:val="24"/>
          <w:highlight w:val="none"/>
          <w:lang w:val="zh-TW"/>
        </w:rPr>
        <w:t>3.能按时完成</w:t>
      </w:r>
      <w:r>
        <w:rPr>
          <w:rFonts w:hint="eastAsia" w:ascii="宋体" w:hAnsi="宋体" w:eastAsia="宋体" w:cs="宋体"/>
          <w:kern w:val="0"/>
          <w:sz w:val="24"/>
          <w:szCs w:val="24"/>
          <w:highlight w:val="none"/>
          <w:lang w:val="zh-TW" w:eastAsia="zh-CN"/>
        </w:rPr>
        <w:t>采购人</w:t>
      </w:r>
      <w:r>
        <w:rPr>
          <w:rFonts w:hint="eastAsia" w:ascii="宋体" w:hAnsi="宋体" w:eastAsia="宋体" w:cs="宋体"/>
          <w:kern w:val="0"/>
          <w:sz w:val="24"/>
          <w:szCs w:val="24"/>
          <w:highlight w:val="none"/>
          <w:lang w:val="zh-TW"/>
        </w:rPr>
        <w:t>安排的临时性和应急性任务</w:t>
      </w:r>
      <w:r>
        <w:rPr>
          <w:rFonts w:hint="eastAsia" w:ascii="宋体" w:hAnsi="宋体" w:eastAsia="宋体" w:cs="宋体"/>
          <w:kern w:val="0"/>
          <w:sz w:val="24"/>
          <w:szCs w:val="24"/>
          <w:highlight w:val="none"/>
          <w:lang w:val="zh-TW" w:eastAsia="zh-CN"/>
        </w:rPr>
        <w:t>；</w:t>
      </w:r>
    </w:p>
    <w:p>
      <w:pPr>
        <w:pStyle w:val="64"/>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zh-TW" w:eastAsia="zh-CN"/>
        </w:rPr>
      </w:pPr>
      <w:r>
        <w:rPr>
          <w:rFonts w:hint="eastAsia" w:ascii="宋体" w:hAnsi="宋体" w:eastAsia="宋体" w:cs="宋体"/>
          <w:kern w:val="0"/>
          <w:sz w:val="24"/>
          <w:szCs w:val="24"/>
          <w:highlight w:val="none"/>
          <w:lang w:val="zh-TW"/>
        </w:rPr>
        <w:t>4.按照《食用农产品市场销售质量安全监督管理办法》、《食用农产品批发市场快检中心、零售市场快检室建设指导规范（修订版）、《食品快检管理办法》等文件要求开展抽样快检工作。应采用《食品快速检测方法评价技术规范》评价合格的快检方法和产品实施快速检测，严格按照操作规程进行检测和登记检测结果</w:t>
      </w:r>
      <w:r>
        <w:rPr>
          <w:rFonts w:hint="eastAsia" w:ascii="宋体" w:hAnsi="宋体" w:eastAsia="宋体" w:cs="宋体"/>
          <w:kern w:val="0"/>
          <w:sz w:val="24"/>
          <w:szCs w:val="24"/>
          <w:highlight w:val="none"/>
          <w:lang w:val="zh-TW" w:eastAsia="zh-CN"/>
        </w:rPr>
        <w:t>；</w:t>
      </w:r>
    </w:p>
    <w:p>
      <w:pPr>
        <w:pStyle w:val="64"/>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zh-TW" w:eastAsia="zh-CN"/>
        </w:rPr>
      </w:pPr>
      <w:r>
        <w:rPr>
          <w:rFonts w:hint="eastAsia" w:ascii="宋体" w:hAnsi="宋体" w:eastAsia="宋体" w:cs="宋体"/>
          <w:kern w:val="0"/>
          <w:sz w:val="24"/>
          <w:szCs w:val="24"/>
          <w:highlight w:val="none"/>
          <w:lang w:val="zh-TW"/>
        </w:rPr>
        <w:t>5.负责快检室的日常维护与运行管理，保持快检室的清洁卫生，按要求保管仪器设备，并定期维护，确保能够正常使用。发现问题及时上报上级主管部门</w:t>
      </w:r>
      <w:r>
        <w:rPr>
          <w:rFonts w:hint="eastAsia" w:ascii="宋体" w:hAnsi="宋体" w:eastAsia="宋体" w:cs="宋体"/>
          <w:kern w:val="0"/>
          <w:sz w:val="24"/>
          <w:szCs w:val="24"/>
          <w:highlight w:val="none"/>
          <w:lang w:val="zh-TW" w:eastAsia="zh-CN"/>
        </w:rPr>
        <w:t>；</w:t>
      </w:r>
    </w:p>
    <w:p>
      <w:pPr>
        <w:pStyle w:val="64"/>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zh-TW" w:eastAsia="zh-CN"/>
        </w:rPr>
      </w:pPr>
      <w:r>
        <w:rPr>
          <w:rFonts w:hint="eastAsia" w:ascii="宋体" w:hAnsi="宋体" w:eastAsia="宋体" w:cs="宋体"/>
          <w:kern w:val="0"/>
          <w:sz w:val="24"/>
          <w:szCs w:val="24"/>
          <w:highlight w:val="none"/>
          <w:lang w:val="zh-TW"/>
        </w:rPr>
        <w:t>6.协助完善快检室的制度建设，制定工作规程，完善快速检测程序，建立完整的检测记录档案</w:t>
      </w:r>
      <w:r>
        <w:rPr>
          <w:rFonts w:hint="eastAsia" w:ascii="宋体" w:hAnsi="宋体" w:eastAsia="宋体" w:cs="宋体"/>
          <w:kern w:val="0"/>
          <w:sz w:val="24"/>
          <w:szCs w:val="24"/>
          <w:highlight w:val="none"/>
          <w:lang w:val="zh-TW" w:eastAsia="zh-CN"/>
        </w:rPr>
        <w:t>；</w:t>
      </w:r>
    </w:p>
    <w:p>
      <w:pPr>
        <w:pStyle w:val="64"/>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zh-TW" w:eastAsia="zh-CN"/>
        </w:rPr>
      </w:pPr>
      <w:r>
        <w:rPr>
          <w:rFonts w:hint="eastAsia" w:ascii="宋体" w:hAnsi="宋体" w:eastAsia="宋体" w:cs="宋体"/>
          <w:kern w:val="0"/>
          <w:sz w:val="24"/>
          <w:szCs w:val="24"/>
          <w:highlight w:val="none"/>
          <w:lang w:val="zh-TW"/>
        </w:rPr>
        <w:t>7.负责快检人员配备、培训与管理：根据检测任务需要配备检测人员，检测人员经过培训后上岗，规范操作并及时如实出具检测数据，按程序要求上报检测结果。所产生的人员薪资、劳保及培训费用等由</w:t>
      </w:r>
      <w:r>
        <w:rPr>
          <w:rFonts w:hint="eastAsia" w:ascii="宋体" w:hAnsi="宋体" w:eastAsia="宋体" w:cs="宋体"/>
          <w:kern w:val="0"/>
          <w:sz w:val="24"/>
          <w:szCs w:val="24"/>
          <w:highlight w:val="none"/>
          <w:lang w:val="zh-TW" w:eastAsia="zh-CN"/>
        </w:rPr>
        <w:t>中标供应商</w:t>
      </w:r>
      <w:r>
        <w:rPr>
          <w:rFonts w:hint="eastAsia" w:ascii="宋体" w:hAnsi="宋体" w:eastAsia="宋体" w:cs="宋体"/>
          <w:kern w:val="0"/>
          <w:sz w:val="24"/>
          <w:szCs w:val="24"/>
          <w:highlight w:val="none"/>
          <w:lang w:val="zh-TW"/>
        </w:rPr>
        <w:t>承担</w:t>
      </w:r>
      <w:r>
        <w:rPr>
          <w:rFonts w:hint="eastAsia" w:ascii="宋体" w:hAnsi="宋体" w:eastAsia="宋体" w:cs="宋体"/>
          <w:kern w:val="0"/>
          <w:sz w:val="24"/>
          <w:szCs w:val="24"/>
          <w:highlight w:val="none"/>
          <w:lang w:val="zh-TW" w:eastAsia="zh-CN"/>
        </w:rPr>
        <w:t>；</w:t>
      </w:r>
    </w:p>
    <w:p>
      <w:pPr>
        <w:pStyle w:val="64"/>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zh-TW" w:eastAsia="zh-CN"/>
        </w:rPr>
      </w:pPr>
      <w:r>
        <w:rPr>
          <w:rFonts w:hint="eastAsia" w:ascii="宋体" w:hAnsi="宋体" w:eastAsia="宋体" w:cs="宋体"/>
          <w:kern w:val="0"/>
          <w:sz w:val="24"/>
          <w:szCs w:val="24"/>
          <w:highlight w:val="none"/>
          <w:lang w:val="zh-TW"/>
        </w:rPr>
        <w:t>8</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lang w:val="zh-TW"/>
        </w:rPr>
        <w:t>负责配置开展快检工作所需快速检测试剂盒、试纸、白色工作服、橡胶手套、移液枪、吸头、试管、试管架、药勺、标记笔、称量纸、计时器等耗材的自行采购工作并承担其采购费用</w:t>
      </w:r>
      <w:r>
        <w:rPr>
          <w:rFonts w:hint="eastAsia" w:ascii="宋体" w:hAnsi="宋体" w:eastAsia="宋体" w:cs="宋体"/>
          <w:kern w:val="0"/>
          <w:sz w:val="24"/>
          <w:szCs w:val="24"/>
          <w:highlight w:val="none"/>
          <w:lang w:val="zh-TW" w:eastAsia="zh-CN"/>
        </w:rPr>
        <w:t>；</w:t>
      </w:r>
    </w:p>
    <w:p>
      <w:pPr>
        <w:pStyle w:val="64"/>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zh-TW" w:eastAsia="zh-CN"/>
        </w:rPr>
      </w:pPr>
      <w:r>
        <w:rPr>
          <w:rFonts w:hint="eastAsia" w:ascii="宋体" w:hAnsi="宋体" w:eastAsia="宋体" w:cs="宋体"/>
          <w:kern w:val="0"/>
          <w:sz w:val="24"/>
          <w:szCs w:val="24"/>
          <w:highlight w:val="none"/>
          <w:lang w:val="zh-TW"/>
        </w:rPr>
        <w:t>9</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lang w:val="zh-TW"/>
        </w:rPr>
        <w:t>负责在规定的菜市场内按照频率和项目要求抽检样品，并承担所抽检的样品费用</w:t>
      </w:r>
      <w:r>
        <w:rPr>
          <w:rFonts w:hint="eastAsia" w:ascii="宋体" w:hAnsi="宋体" w:eastAsia="宋体" w:cs="宋体"/>
          <w:kern w:val="0"/>
          <w:sz w:val="24"/>
          <w:szCs w:val="24"/>
          <w:highlight w:val="none"/>
          <w:lang w:val="zh-TW" w:eastAsia="zh-CN"/>
        </w:rPr>
        <w:t>；</w:t>
      </w:r>
    </w:p>
    <w:p>
      <w:pPr>
        <w:pStyle w:val="64"/>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zh-TW" w:eastAsia="zh-CN"/>
        </w:rPr>
      </w:pPr>
      <w:r>
        <w:rPr>
          <w:rFonts w:hint="eastAsia" w:ascii="宋体" w:hAnsi="宋体" w:eastAsia="宋体" w:cs="宋体"/>
          <w:kern w:val="0"/>
          <w:sz w:val="24"/>
          <w:szCs w:val="24"/>
          <w:highlight w:val="none"/>
          <w:lang w:val="zh-TW"/>
        </w:rPr>
        <w:t>10</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lang w:val="zh-TW"/>
        </w:rPr>
        <w:t>负责检验结果分析、检验过程中技术问题的处理</w:t>
      </w:r>
      <w:r>
        <w:rPr>
          <w:rFonts w:hint="eastAsia" w:ascii="宋体" w:hAnsi="宋体" w:eastAsia="宋体" w:cs="宋体"/>
          <w:kern w:val="0"/>
          <w:sz w:val="24"/>
          <w:szCs w:val="24"/>
          <w:highlight w:val="none"/>
          <w:lang w:val="zh-TW" w:eastAsia="zh-CN"/>
        </w:rPr>
        <w:t>；</w:t>
      </w:r>
    </w:p>
    <w:p>
      <w:pPr>
        <w:pStyle w:val="64"/>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zh-TW" w:eastAsia="zh-CN"/>
        </w:rPr>
      </w:pPr>
      <w:r>
        <w:rPr>
          <w:rFonts w:hint="eastAsia" w:ascii="宋体" w:hAnsi="宋体" w:eastAsia="宋体" w:cs="宋体"/>
          <w:kern w:val="0"/>
          <w:sz w:val="24"/>
          <w:szCs w:val="24"/>
          <w:highlight w:val="none"/>
          <w:lang w:val="zh-TW"/>
        </w:rPr>
        <w:t>11</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lang w:val="zh-TW"/>
        </w:rPr>
        <w:t>按规定的时限（每天12点前）出具报告和公示检测结果。</w:t>
      </w:r>
      <w:r>
        <w:rPr>
          <w:rFonts w:hint="eastAsia" w:ascii="宋体" w:hAnsi="宋体" w:eastAsia="宋体" w:cs="宋体"/>
          <w:kern w:val="0"/>
          <w:sz w:val="24"/>
          <w:szCs w:val="24"/>
          <w:highlight w:val="none"/>
          <w:lang w:val="zh-TW" w:eastAsia="zh-CN"/>
        </w:rPr>
        <w:t>中标供应商</w:t>
      </w:r>
      <w:r>
        <w:rPr>
          <w:rFonts w:hint="eastAsia" w:ascii="宋体" w:hAnsi="宋体" w:eastAsia="宋体" w:cs="宋体"/>
          <w:kern w:val="0"/>
          <w:sz w:val="24"/>
          <w:szCs w:val="24"/>
          <w:highlight w:val="none"/>
          <w:lang w:val="zh-TW"/>
        </w:rPr>
        <w:t>应通过市场的电子显示屏和公示栏公示检测结果并及时报告委托方。按要求对检测数据进行整理、汇总、分析，并向</w:t>
      </w:r>
      <w:r>
        <w:rPr>
          <w:rFonts w:hint="eastAsia" w:ascii="宋体" w:hAnsi="宋体" w:eastAsia="宋体" w:cs="宋体"/>
          <w:kern w:val="0"/>
          <w:sz w:val="24"/>
          <w:szCs w:val="24"/>
          <w:highlight w:val="none"/>
          <w:lang w:val="zh-TW" w:eastAsia="zh-CN"/>
        </w:rPr>
        <w:t>采购人</w:t>
      </w:r>
      <w:r>
        <w:rPr>
          <w:rFonts w:hint="eastAsia" w:ascii="宋体" w:hAnsi="宋体" w:eastAsia="宋体" w:cs="宋体"/>
          <w:kern w:val="0"/>
          <w:sz w:val="24"/>
          <w:szCs w:val="24"/>
          <w:highlight w:val="none"/>
          <w:lang w:val="zh-TW"/>
        </w:rPr>
        <w:t>报送检测的品种、数量、批次等信息</w:t>
      </w:r>
      <w:r>
        <w:rPr>
          <w:rFonts w:hint="eastAsia" w:ascii="宋体" w:hAnsi="宋体" w:eastAsia="宋体" w:cs="宋体"/>
          <w:kern w:val="0"/>
          <w:sz w:val="24"/>
          <w:szCs w:val="24"/>
          <w:highlight w:val="none"/>
          <w:lang w:val="zh-TW" w:eastAsia="zh-CN"/>
        </w:rPr>
        <w:t>；</w:t>
      </w:r>
    </w:p>
    <w:p>
      <w:pPr>
        <w:pStyle w:val="64"/>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zh-TW"/>
        </w:rPr>
      </w:pPr>
      <w:r>
        <w:rPr>
          <w:rFonts w:hint="eastAsia" w:ascii="宋体" w:hAnsi="宋体" w:eastAsia="宋体" w:cs="宋体"/>
          <w:kern w:val="0"/>
          <w:sz w:val="24"/>
          <w:szCs w:val="24"/>
          <w:highlight w:val="none"/>
          <w:lang w:val="zh-TW"/>
        </w:rPr>
        <w:t>12</w:t>
      </w:r>
      <w:r>
        <w:rPr>
          <w:rFonts w:hint="eastAsia" w:ascii="宋体" w:hAnsi="宋体" w:eastAsia="宋体" w:cs="宋体"/>
          <w:kern w:val="0"/>
          <w:sz w:val="24"/>
          <w:szCs w:val="24"/>
          <w:highlight w:val="none"/>
          <w:lang w:val="en-US" w:eastAsia="zh-CN"/>
        </w:rPr>
        <w:t>.</w:t>
      </w:r>
      <w:r>
        <w:rPr>
          <w:rFonts w:hint="eastAsia" w:ascii="宋体" w:hAnsi="宋体" w:eastAsia="宋体" w:cs="宋体"/>
          <w:kern w:val="0"/>
          <w:sz w:val="24"/>
          <w:szCs w:val="24"/>
          <w:highlight w:val="none"/>
          <w:lang w:val="zh-TW"/>
        </w:rPr>
        <w:t>负责档案保管：</w:t>
      </w:r>
      <w:r>
        <w:rPr>
          <w:rFonts w:hint="eastAsia" w:ascii="宋体" w:hAnsi="宋体" w:eastAsia="宋体" w:cs="宋体"/>
          <w:kern w:val="0"/>
          <w:sz w:val="24"/>
          <w:szCs w:val="24"/>
          <w:highlight w:val="none"/>
          <w:lang w:val="zh-TW" w:eastAsia="zh-CN"/>
        </w:rPr>
        <w:t>中标供应商</w:t>
      </w:r>
      <w:r>
        <w:rPr>
          <w:rFonts w:hint="eastAsia" w:ascii="宋体" w:hAnsi="宋体" w:eastAsia="宋体" w:cs="宋体"/>
          <w:kern w:val="0"/>
          <w:sz w:val="24"/>
          <w:szCs w:val="24"/>
          <w:highlight w:val="none"/>
          <w:lang w:val="zh-TW"/>
        </w:rPr>
        <w:t>应保存抽样、检测的相关凭证和结果，负责建立检测档案，妥善保管检测数据资料，保存期限为2年，注意重要数据资料的保密。</w:t>
      </w:r>
    </w:p>
    <w:p>
      <w:pPr>
        <w:pStyle w:val="64"/>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13.针对本项目制订完整切实可行的实施方案及相应的流程及保障措施。</w:t>
      </w:r>
    </w:p>
    <w:p>
      <w:pPr>
        <w:pStyle w:val="64"/>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14.针对本项目配备合理的团队并配备相应的服务人员，并有完善的岗位责任制，清晰的组织架构。</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highlight w:val="none"/>
          <w:lang w:val="zh-TW"/>
        </w:rPr>
      </w:pPr>
      <w:r>
        <w:rPr>
          <w:rFonts w:hint="eastAsia" w:ascii="宋体" w:hAnsi="宋体" w:eastAsia="宋体" w:cs="宋体"/>
          <w:b/>
          <w:bCs/>
          <w:sz w:val="24"/>
          <w:szCs w:val="24"/>
          <w:highlight w:val="none"/>
          <w:lang w:val="zh-TW" w:eastAsia="zh-CN"/>
        </w:rPr>
        <w:t>（</w:t>
      </w:r>
      <w:r>
        <w:rPr>
          <w:rFonts w:hint="eastAsia" w:ascii="宋体" w:hAnsi="宋体" w:eastAsia="宋体" w:cs="宋体"/>
          <w:b/>
          <w:bCs/>
          <w:sz w:val="24"/>
          <w:szCs w:val="24"/>
          <w:highlight w:val="none"/>
          <w:lang w:val="en-US" w:eastAsia="zh-CN"/>
        </w:rPr>
        <w:t>九</w:t>
      </w:r>
      <w:r>
        <w:rPr>
          <w:rFonts w:hint="eastAsia" w:ascii="宋体" w:hAnsi="宋体" w:eastAsia="宋体" w:cs="宋体"/>
          <w:b/>
          <w:bCs/>
          <w:sz w:val="24"/>
          <w:szCs w:val="24"/>
          <w:highlight w:val="none"/>
          <w:lang w:val="zh-TW" w:eastAsia="zh-CN"/>
        </w:rPr>
        <w:t>）采购人</w:t>
      </w:r>
      <w:r>
        <w:rPr>
          <w:rFonts w:hint="eastAsia" w:ascii="宋体" w:hAnsi="宋体" w:eastAsia="宋体" w:cs="宋体"/>
          <w:b/>
          <w:bCs/>
          <w:sz w:val="24"/>
          <w:szCs w:val="24"/>
          <w:highlight w:val="none"/>
          <w:lang w:val="zh-TW"/>
        </w:rPr>
        <w:t>的职责与义务</w:t>
      </w:r>
    </w:p>
    <w:p>
      <w:pPr>
        <w:pStyle w:val="64"/>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zh-TW" w:eastAsia="zh-CN"/>
        </w:rPr>
      </w:pPr>
      <w:r>
        <w:rPr>
          <w:rFonts w:hint="eastAsia" w:ascii="宋体" w:hAnsi="宋体" w:eastAsia="宋体" w:cs="宋体"/>
          <w:kern w:val="0"/>
          <w:sz w:val="24"/>
          <w:szCs w:val="24"/>
          <w:highlight w:val="none"/>
          <w:lang w:val="zh-TW"/>
        </w:rPr>
        <w:t>1.负责对</w:t>
      </w:r>
      <w:r>
        <w:rPr>
          <w:rFonts w:hint="eastAsia" w:ascii="宋体" w:hAnsi="宋体" w:eastAsia="宋体" w:cs="宋体"/>
          <w:kern w:val="0"/>
          <w:sz w:val="24"/>
          <w:szCs w:val="24"/>
          <w:highlight w:val="none"/>
          <w:lang w:val="zh-TW" w:eastAsia="zh-CN"/>
        </w:rPr>
        <w:t>中标供应商</w:t>
      </w:r>
      <w:r>
        <w:rPr>
          <w:rFonts w:hint="eastAsia" w:ascii="宋体" w:hAnsi="宋体" w:eastAsia="宋体" w:cs="宋体"/>
          <w:kern w:val="0"/>
          <w:sz w:val="24"/>
          <w:szCs w:val="24"/>
          <w:highlight w:val="none"/>
          <w:lang w:val="zh-TW"/>
        </w:rPr>
        <w:t>的工作质量情况进行监督检查和考核</w:t>
      </w:r>
      <w:r>
        <w:rPr>
          <w:rFonts w:hint="eastAsia" w:ascii="宋体" w:hAnsi="宋体" w:eastAsia="宋体" w:cs="宋体"/>
          <w:kern w:val="0"/>
          <w:sz w:val="24"/>
          <w:szCs w:val="24"/>
          <w:highlight w:val="none"/>
          <w:lang w:val="zh-TW" w:eastAsia="zh-CN"/>
        </w:rPr>
        <w:t>；</w:t>
      </w:r>
    </w:p>
    <w:p>
      <w:pPr>
        <w:pStyle w:val="64"/>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zh-TW" w:eastAsia="zh-CN"/>
        </w:rPr>
      </w:pPr>
      <w:r>
        <w:rPr>
          <w:rFonts w:hint="eastAsia" w:ascii="宋体" w:hAnsi="宋体" w:eastAsia="宋体" w:cs="宋体"/>
          <w:kern w:val="0"/>
          <w:sz w:val="24"/>
          <w:szCs w:val="24"/>
          <w:highlight w:val="none"/>
          <w:lang w:val="zh-TW"/>
        </w:rPr>
        <w:t>2.负责对快检室设施和快检工作及人员配备情况进行检查，如发现</w:t>
      </w:r>
      <w:r>
        <w:rPr>
          <w:rFonts w:hint="eastAsia" w:ascii="宋体" w:hAnsi="宋体" w:eastAsia="宋体" w:cs="宋体"/>
          <w:kern w:val="0"/>
          <w:sz w:val="24"/>
          <w:szCs w:val="24"/>
          <w:highlight w:val="none"/>
          <w:lang w:val="zh-TW" w:eastAsia="zh-CN"/>
        </w:rPr>
        <w:t>中标供应商</w:t>
      </w:r>
      <w:r>
        <w:rPr>
          <w:rFonts w:hint="eastAsia" w:ascii="宋体" w:hAnsi="宋体" w:eastAsia="宋体" w:cs="宋体"/>
          <w:kern w:val="0"/>
          <w:sz w:val="24"/>
          <w:szCs w:val="24"/>
          <w:highlight w:val="none"/>
          <w:lang w:val="zh-TW"/>
        </w:rPr>
        <w:t>没有按照要求维护快检室、没有按照计划开展快检，没有按照要求配备快检人员等情况，有权及时指出并纠正。如</w:t>
      </w:r>
      <w:r>
        <w:rPr>
          <w:rFonts w:hint="eastAsia" w:ascii="宋体" w:hAnsi="宋体" w:eastAsia="宋体" w:cs="宋体"/>
          <w:kern w:val="0"/>
          <w:sz w:val="24"/>
          <w:szCs w:val="24"/>
          <w:highlight w:val="none"/>
          <w:lang w:val="zh-TW" w:eastAsia="zh-CN"/>
        </w:rPr>
        <w:t>中标供应商</w:t>
      </w:r>
      <w:r>
        <w:rPr>
          <w:rFonts w:hint="eastAsia" w:ascii="宋体" w:hAnsi="宋体" w:eastAsia="宋体" w:cs="宋体"/>
          <w:kern w:val="0"/>
          <w:sz w:val="24"/>
          <w:szCs w:val="24"/>
          <w:highlight w:val="none"/>
          <w:lang w:val="zh-TW"/>
        </w:rPr>
        <w:t>没有及时纠正，</w:t>
      </w:r>
      <w:r>
        <w:rPr>
          <w:rFonts w:hint="eastAsia" w:ascii="宋体" w:hAnsi="宋体" w:eastAsia="宋体" w:cs="宋体"/>
          <w:kern w:val="0"/>
          <w:sz w:val="24"/>
          <w:szCs w:val="24"/>
          <w:highlight w:val="none"/>
          <w:lang w:val="zh-TW" w:eastAsia="zh-CN"/>
        </w:rPr>
        <w:t>采购人</w:t>
      </w:r>
      <w:r>
        <w:rPr>
          <w:rFonts w:hint="eastAsia" w:ascii="宋体" w:hAnsi="宋体" w:eastAsia="宋体" w:cs="宋体"/>
          <w:kern w:val="0"/>
          <w:sz w:val="24"/>
          <w:szCs w:val="24"/>
          <w:highlight w:val="none"/>
          <w:lang w:val="zh-TW"/>
        </w:rPr>
        <w:t>扣除其相应费用</w:t>
      </w:r>
      <w:r>
        <w:rPr>
          <w:rFonts w:hint="eastAsia" w:ascii="宋体" w:hAnsi="宋体" w:eastAsia="宋体" w:cs="宋体"/>
          <w:kern w:val="0"/>
          <w:sz w:val="24"/>
          <w:szCs w:val="24"/>
          <w:highlight w:val="none"/>
          <w:lang w:val="zh-TW" w:eastAsia="zh-CN"/>
        </w:rPr>
        <w:t>；</w:t>
      </w:r>
    </w:p>
    <w:p>
      <w:pPr>
        <w:pStyle w:val="64"/>
        <w:keepNext w:val="0"/>
        <w:keepLines w:val="0"/>
        <w:pageBreakBefore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4"/>
          <w:highlight w:val="none"/>
          <w:lang w:val="zh-TW"/>
        </w:rPr>
      </w:pPr>
      <w:r>
        <w:rPr>
          <w:rFonts w:hint="eastAsia" w:ascii="宋体" w:hAnsi="宋体" w:eastAsia="宋体" w:cs="宋体"/>
          <w:kern w:val="0"/>
          <w:sz w:val="24"/>
          <w:szCs w:val="24"/>
          <w:highlight w:val="none"/>
          <w:lang w:val="zh-TW"/>
        </w:rPr>
        <w:t>3一旦发生在检测工作中弄虚作假，</w:t>
      </w:r>
      <w:r>
        <w:rPr>
          <w:rFonts w:hint="eastAsia" w:ascii="宋体" w:hAnsi="宋体" w:eastAsia="宋体" w:cs="宋体"/>
          <w:kern w:val="0"/>
          <w:sz w:val="24"/>
          <w:szCs w:val="24"/>
          <w:highlight w:val="none"/>
          <w:lang w:val="zh-TW" w:eastAsia="zh-CN"/>
        </w:rPr>
        <w:t>采购人</w:t>
      </w:r>
      <w:r>
        <w:rPr>
          <w:rFonts w:hint="eastAsia" w:ascii="宋体" w:hAnsi="宋体" w:eastAsia="宋体" w:cs="宋体"/>
          <w:kern w:val="0"/>
          <w:sz w:val="24"/>
          <w:szCs w:val="24"/>
          <w:highlight w:val="none"/>
          <w:lang w:val="zh-TW"/>
        </w:rPr>
        <w:t>具有终止合同和追究</w:t>
      </w:r>
      <w:r>
        <w:rPr>
          <w:rFonts w:hint="eastAsia" w:ascii="宋体" w:hAnsi="宋体" w:eastAsia="宋体" w:cs="宋体"/>
          <w:kern w:val="0"/>
          <w:sz w:val="24"/>
          <w:szCs w:val="24"/>
          <w:highlight w:val="none"/>
          <w:lang w:val="zh-TW" w:eastAsia="zh-CN"/>
        </w:rPr>
        <w:t>中标供应商</w:t>
      </w:r>
      <w:r>
        <w:rPr>
          <w:rFonts w:hint="eastAsia" w:ascii="宋体" w:hAnsi="宋体" w:eastAsia="宋体" w:cs="宋体"/>
          <w:kern w:val="0"/>
          <w:sz w:val="24"/>
          <w:szCs w:val="24"/>
          <w:highlight w:val="none"/>
          <w:lang w:val="zh-TW"/>
        </w:rPr>
        <w:t>相关责任的权利。</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rPr>
        <w:t>1.实质性技术条款（加注“★”号条款）不得出现负偏离，发生负偏离即做无效标处理</w:t>
      </w:r>
      <w:r>
        <w:rPr>
          <w:rFonts w:hint="eastAsia" w:ascii="宋体" w:hAnsi="宋体" w:eastAsia="宋体" w:cs="宋体"/>
          <w:b/>
          <w:bCs/>
          <w:color w:val="auto"/>
          <w:sz w:val="24"/>
          <w:szCs w:val="24"/>
          <w:highlight w:val="none"/>
          <w:lang w:eastAsia="zh-CN"/>
        </w:rPr>
        <w:t>；</w:t>
      </w:r>
    </w:p>
    <w:p>
      <w:pPr>
        <w:keepNext w:val="0"/>
        <w:keepLines w:val="0"/>
        <w:pageBreakBefore w:val="0"/>
        <w:kinsoku/>
        <w:wordWrap/>
        <w:overflowPunct/>
        <w:topLinePunct w:val="0"/>
        <w:bidi w:val="0"/>
        <w:adjustRightInd/>
        <w:snapToGrid/>
        <w:spacing w:line="360" w:lineRule="auto"/>
        <w:ind w:firstLine="960" w:firstLineChars="400"/>
        <w:jc w:val="both"/>
        <w:textAlignment w:val="auto"/>
        <w:rPr>
          <w:rFonts w:hint="eastAsia" w:ascii="宋体" w:hAnsi="宋体" w:eastAsia="宋体" w:cs="宋体"/>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如果需要以附件形式表示，可写“见附件”，同时将附件按顺序附后。</w:t>
      </w:r>
    </w:p>
    <w:p>
      <w:pPr>
        <w:rPr>
          <w:rFonts w:hint="eastAsia" w:ascii="宋体" w:hAnsi="宋体" w:eastAsia="宋体" w:cs="宋体"/>
          <w:highlight w:val="none"/>
        </w:rPr>
      </w:pPr>
      <w:bookmarkStart w:id="24" w:name="_Toc20075"/>
      <w:r>
        <w:rPr>
          <w:rFonts w:hint="eastAsia" w:ascii="宋体" w:hAnsi="宋体" w:eastAsia="宋体" w:cs="宋体"/>
          <w:highlight w:val="none"/>
        </w:rPr>
        <w:br w:type="page"/>
      </w:r>
    </w:p>
    <w:p>
      <w:pPr>
        <w:pStyle w:val="18"/>
        <w:outlineLvl w:val="0"/>
        <w:rPr>
          <w:rFonts w:hint="eastAsia" w:ascii="宋体" w:hAnsi="宋体" w:eastAsia="宋体" w:cs="宋体"/>
          <w:highlight w:val="none"/>
        </w:rPr>
      </w:pPr>
      <w:r>
        <w:rPr>
          <w:rFonts w:hint="eastAsia" w:ascii="宋体" w:hAnsi="宋体" w:eastAsia="宋体" w:cs="宋体"/>
          <w:highlight w:val="none"/>
        </w:rPr>
        <w:t>第三部分  投标须知</w:t>
      </w:r>
      <w:bookmarkEnd w:id="22"/>
      <w:bookmarkEnd w:id="23"/>
      <w:bookmarkEnd w:id="24"/>
    </w:p>
    <w:p>
      <w:pPr>
        <w:pStyle w:val="3"/>
        <w:spacing w:line="360" w:lineRule="auto"/>
        <w:jc w:val="center"/>
        <w:rPr>
          <w:rFonts w:hint="eastAsia" w:ascii="宋体" w:hAnsi="宋体" w:eastAsia="宋体" w:cs="宋体"/>
          <w:sz w:val="24"/>
          <w:szCs w:val="24"/>
          <w:highlight w:val="none"/>
        </w:rPr>
      </w:pPr>
      <w:bookmarkStart w:id="25" w:name="_Toc8244"/>
      <w:bookmarkStart w:id="26" w:name="_Toc9273"/>
      <w:bookmarkStart w:id="27" w:name="_Toc17222"/>
      <w:r>
        <w:rPr>
          <w:rFonts w:hint="eastAsia" w:ascii="宋体" w:hAnsi="宋体" w:eastAsia="宋体" w:cs="宋体"/>
          <w:sz w:val="24"/>
          <w:szCs w:val="24"/>
          <w:highlight w:val="none"/>
        </w:rPr>
        <w:t>A  说明</w:t>
      </w:r>
      <w:bookmarkEnd w:id="25"/>
      <w:bookmarkEnd w:id="26"/>
      <w:bookmarkEnd w:id="27"/>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 概述</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1.1 根据《中华人民共和国政府采购法》、《中华人民共和国政府采购法实施条例》等有关法律、法规和规章的规定，本采购项目已具备招标条件。</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1.2 本招标文件仅适用于投标邀请函中所叙述项目货物和服务的采购。</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1.3 参与招标投标活动的所有各方，对在参与招标投标过程中获悉的国家、商业和技术秘密以及其它依法应当保密的内容，均负有保密义务，违者应对由此造成的后果承担全部法律责任。</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 定义</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2.1 “采购人”系指本次招标活动的采购单位。“采购代理机构”系指组织本次招标活动的机构，即“</w:t>
      </w:r>
      <w:r>
        <w:rPr>
          <w:rFonts w:hint="eastAsia" w:ascii="宋体" w:hAnsi="宋体" w:eastAsia="宋体" w:cs="宋体"/>
          <w:color w:val="auto"/>
          <w:highlight w:val="none"/>
          <w:lang w:eastAsia="zh-CN"/>
        </w:rPr>
        <w:t>中易（天津）工程咨询有限公司</w:t>
      </w:r>
      <w:r>
        <w:rPr>
          <w:rFonts w:hint="eastAsia" w:ascii="宋体" w:hAnsi="宋体" w:eastAsia="宋体" w:cs="宋体"/>
          <w:color w:val="auto"/>
          <w:highlight w:val="none"/>
        </w:rPr>
        <w:t>”。</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2.2 “投标人”系指响应招标、参加投标竞争的法人、其他组织或者自然人。</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2.3 “货物”系指投标人按招标文件规定，须向采购人提供的各种形态和种类的物品（包括原材料、燃料、设备、产品等）、备品备件、工具、手册及其它有关技术资料和材料。</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2.4 “服务”系指招标文件规定投标人须承担的运输、安装、调试、技术协助、校准、培训、维修以及其它类似的义务。</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 解释权</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3.1 本次招投标的最终解释权归为采购人、采购代理机构。</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3.2 本文件未作须知明示，而又有相关法律、法规规定的，采购人、采购代理机构将对此解释为依据有关法律、法规的规定。</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 合格的投标人</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4.1 符合《中华人民共和国政府采购法》第二十二条供应商参加政府采购活动应当具备的条件及其他有关法律、法规关于供应商的有关规定，有能力提供招标采购货物及服务的供应商。</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4.2 符合《投标邀请函》中关于</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资格要求（实质性要求）的规定。</w:t>
      </w:r>
    </w:p>
    <w:p>
      <w:pPr>
        <w:pStyle w:val="3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4.3 关于联合体投标</w:t>
      </w:r>
    </w:p>
    <w:p>
      <w:pPr>
        <w:pStyle w:val="3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若《投标邀请函》接受联合体投标的：</w:t>
      </w:r>
    </w:p>
    <w:p>
      <w:pPr>
        <w:pStyle w:val="3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（1）两个以上的自然人、法人或者其他组织可以组成一个联合体，以一个</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的身份共同参加政府采购。</w:t>
      </w:r>
    </w:p>
    <w:p>
      <w:pPr>
        <w:pStyle w:val="3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（2）联合体各方均应当符合《政府采购法》第二十二条第一款规定的条件，根据采购项目的特殊要求规定投标人特定条件的，联合体各方中至少应当有一方符合《投标邀请函》规定的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资格条件（实质性要求）。</w:t>
      </w:r>
    </w:p>
    <w:p>
      <w:pPr>
        <w:pStyle w:val="3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pPr>
        <w:pStyle w:val="3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（4）下载招标文件时，应以联合体协议中确定的主体方名义下载。</w:t>
      </w:r>
    </w:p>
    <w:p>
      <w:pPr>
        <w:pStyle w:val="3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（5）联合体投标的，应以主体方名义提交投标保证金（如有），对联合体各方均具有约束力。</w:t>
      </w:r>
    </w:p>
    <w:p>
      <w:pPr>
        <w:pStyle w:val="3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pPr>
        <w:pStyle w:val="3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（7）联合体中任意一方为中小企业的，该方应提供《中小企业声明函》。</w:t>
      </w:r>
    </w:p>
    <w:p>
      <w:pPr>
        <w:pStyle w:val="3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（8）联合体各方应当共同与采购人签订采购合同，就采购合同约定的事项对采购人承担连带责任。</w:t>
      </w:r>
    </w:p>
    <w:p>
      <w:pPr>
        <w:pStyle w:val="3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4.4 关于关联企业</w:t>
      </w:r>
    </w:p>
    <w:p>
      <w:pPr>
        <w:pStyle w:val="34"/>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auto"/>
          <w:highlight w:val="none"/>
        </w:rPr>
        <w:t>除联合体外，法定代表人或单位负责人为同一个人或者存在直接控股、管理</w:t>
      </w:r>
      <w:r>
        <w:rPr>
          <w:rFonts w:hint="eastAsia" w:ascii="宋体" w:hAnsi="宋体" w:eastAsia="宋体" w:cs="宋体"/>
          <w:color w:val="000000" w:themeColor="text1"/>
          <w:highlight w:val="none"/>
          <w14:textFill>
            <w14:solidFill>
              <w14:schemeClr w14:val="tx1"/>
            </w14:solidFill>
          </w14:textFill>
        </w:rPr>
        <w:t>关系的不同</w:t>
      </w: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highlight w:val="none"/>
          <w14:textFill>
            <w14:solidFill>
              <w14:schemeClr w14:val="tx1"/>
            </w14:solidFill>
          </w14:textFill>
        </w:rPr>
        <w:t>，不得同时参加同一项目或同一子项目的投标。如同时参加，则评审时将同时被拒绝。</w:t>
      </w:r>
    </w:p>
    <w:p>
      <w:pPr>
        <w:pStyle w:val="34"/>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4.5 关于分公司投标</w:t>
      </w:r>
    </w:p>
    <w:p>
      <w:pPr>
        <w:pStyle w:val="34"/>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pPr>
        <w:pStyle w:val="34"/>
        <w:spacing w:line="360" w:lineRule="auto"/>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4.6 关于提供前期服务的</w:t>
      </w:r>
      <w:r>
        <w:rPr>
          <w:rFonts w:hint="eastAsia" w:ascii="宋体" w:hAnsi="宋体" w:eastAsia="宋体" w:cs="宋体"/>
          <w:color w:val="auto"/>
          <w:highlight w:val="none"/>
          <w:lang w:eastAsia="zh-CN"/>
        </w:rPr>
        <w:t>投标人</w:t>
      </w:r>
    </w:p>
    <w:p>
      <w:pPr>
        <w:pStyle w:val="3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为采购项目提供整体设计、规范编制或者项目管理、监理、检测等服务的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，不得再参加该采购项目的其他采购活动。</w:t>
      </w:r>
    </w:p>
    <w:p>
      <w:pPr>
        <w:pStyle w:val="3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4.7 关于中小微企业参与投标</w:t>
      </w:r>
    </w:p>
    <w:p>
      <w:pPr>
        <w:pStyle w:val="3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中小微企业是指符合《政府采购促进中小企业发展管理办法》（财库[2020]46号）规定的</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。中小微企业参与投标应提供《中小企业声明函》。</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szCs w:val="21"/>
          <w:highlight w:val="none"/>
        </w:rPr>
        <w:t>根据《财政部 民政部 中国残疾人联合会关于促进残疾人就业政府采购政策的通知》（财库〔2017〕141号）的规定，残疾人福利性单位视同为小型、微型企业。</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 合格的货物和相关服务</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5.1 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5.2 投标人提供的货物质量应当完全符合现行的国家标准、行业标准或地方标准。除《招标项目需求》有特殊规定外，投标人提供的货物应当是全新的、未使用过的，货物和相关服务应当符合招标文件的要求。</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5.3 投标人应当说明投标货物的来源地，如投标的货物非投标人生产或制造的，则交货时有义务提供其从合法途径获得该货物的相关证明。</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5.4 系统软件、通用软件必须是具有在中国境内的合法使用权或版权的正版软件，涉及到第三方提出侵权或知识产权的起诉及支付版税等费用由投标人承担所有责任及费用。</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6. 投标费用</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无论投标过程中的做法和结果如何，投标人自行承担所有与参加投标有关的费用。</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7. 信息发布</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本项目需要公开的有关信息，包括招标公告、更正公告、中标公告、终止公告等与招标活动有关的通知，采购人、采购代理机构均将通过“天津政府采购网（http://tjgp.cz.tj.gov.cn）”公开发布。投标人在参与本采购项目招投标活动期间，请及时关注上述媒体</w:t>
      </w:r>
      <w:r>
        <w:rPr>
          <w:rFonts w:hint="eastAsia" w:ascii="宋体" w:hAnsi="宋体" w:eastAsia="宋体" w:cs="宋体"/>
          <w:color w:val="auto"/>
          <w:highlight w:val="none"/>
          <w:lang w:val="en-US" w:eastAsia="zh-CN"/>
        </w:rPr>
        <w:t>的</w:t>
      </w:r>
      <w:r>
        <w:rPr>
          <w:rFonts w:hint="eastAsia" w:ascii="宋体" w:hAnsi="宋体" w:eastAsia="宋体" w:cs="宋体"/>
          <w:color w:val="auto"/>
          <w:highlight w:val="none"/>
        </w:rPr>
        <w:t>相关信息。因没有及时关注而未能如期获取相关信息，投标人自行承担由此可能产生的风险。</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8. 询问与质疑</w:t>
      </w:r>
    </w:p>
    <w:p>
      <w:pPr>
        <w:pStyle w:val="3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8.1 根据《政府采购质疑和投诉办法》（财政部令第94号）、《天津市财政局关于进一步加强政府采购供应商质疑投诉管理工作的通知》（津财规〔2017〕22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w:t>
      </w:r>
      <w:r>
        <w:rPr>
          <w:rFonts w:hint="eastAsia" w:ascii="宋体" w:hAnsi="宋体" w:eastAsia="宋体" w:cs="宋体"/>
          <w:color w:val="auto"/>
          <w:highlight w:val="none"/>
          <w:lang w:eastAsia="zh-CN"/>
        </w:rPr>
        <w:t>中易（天津）工程咨询有限公司</w:t>
      </w:r>
      <w:r>
        <w:rPr>
          <w:rFonts w:hint="eastAsia" w:ascii="宋体" w:hAnsi="宋体" w:eastAsia="宋体" w:cs="宋体"/>
          <w:color w:val="auto"/>
          <w:highlight w:val="none"/>
        </w:rPr>
        <w:t>提出。</w:t>
      </w:r>
    </w:p>
    <w:p>
      <w:pPr>
        <w:pStyle w:val="3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8.2 询问</w:t>
      </w:r>
    </w:p>
    <w:p>
      <w:pPr>
        <w:pStyle w:val="3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（1）询问可以采取电话、当面或书面等形式。</w:t>
      </w:r>
    </w:p>
    <w:p>
      <w:pPr>
        <w:pStyle w:val="3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（2）采购人应当自收到供应商询问之日起3个工作日内作出答复，但答复的内容不得涉及商业秘密或者依法应当保密的内容。</w:t>
      </w:r>
    </w:p>
    <w:p>
      <w:pPr>
        <w:pStyle w:val="3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8.3 质疑</w:t>
      </w:r>
    </w:p>
    <w:p>
      <w:pPr>
        <w:pStyle w:val="3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（1）提出质疑的供应商应当是参与所质疑项目采购活动的供应商。</w:t>
      </w:r>
    </w:p>
    <w:p>
      <w:pPr>
        <w:pStyle w:val="3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质疑函应当符合《政府采购质疑和投诉办法》（财政部令第94号）第十二条的规定，并按照《天津市财政局关于进一步加强政府采购供应商质疑投诉管理工作的通知》（津财规〔2017〕22号）的要求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pPr>
        <w:pStyle w:val="3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供应商质疑应当有明确的请求和必要的证明材料。质疑内容不得含有虚假、恶意成份。依照谁主张谁举证的原则，提出质疑者必须同时提交相关确凿的证据材料和注明证据的确切来源，证据来源必须合法，采购人或</w:t>
      </w:r>
      <w:r>
        <w:rPr>
          <w:rFonts w:hint="eastAsia" w:ascii="宋体" w:hAnsi="宋体" w:eastAsia="宋体" w:cs="宋体"/>
          <w:color w:val="auto"/>
          <w:highlight w:val="none"/>
          <w:lang w:eastAsia="zh-CN"/>
        </w:rPr>
        <w:t>中易（天津）工程咨询有限公司</w:t>
      </w:r>
      <w:r>
        <w:rPr>
          <w:rFonts w:hint="eastAsia" w:ascii="宋体" w:hAnsi="宋体" w:eastAsia="宋体" w:cs="宋体"/>
          <w:color w:val="auto"/>
          <w:highlight w:val="none"/>
        </w:rPr>
        <w:t>有权将质疑函转发质疑事项各关联方，请其作出解释说明。对捏造事实、滥用维权扰乱采购秩序的恶意质疑者，将上报天津市财政局政府采购处依法处理。</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8.4 针对询问或质疑的答复内容需要修改采购文件的，其修改内容应当以天津市政府采购网发布的更正公告为准。</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9. 其他</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本《投标须知》的条款如与《投标邀请函》、《招标项目需求》就同一内容的表述不一致的，以《投标邀请函》、《招标项目需求》中规定的内容为准。</w:t>
      </w:r>
    </w:p>
    <w:p>
      <w:pPr>
        <w:spacing w:line="360" w:lineRule="auto"/>
        <w:rPr>
          <w:rFonts w:hint="eastAsia" w:ascii="宋体" w:hAnsi="宋体" w:eastAsia="宋体" w:cs="宋体"/>
          <w:highlight w:val="none"/>
        </w:rPr>
      </w:pPr>
    </w:p>
    <w:p>
      <w:pPr>
        <w:pStyle w:val="4"/>
        <w:spacing w:before="0" w:after="0" w:line="360" w:lineRule="auto"/>
        <w:jc w:val="center"/>
        <w:rPr>
          <w:rFonts w:hint="eastAsia" w:ascii="宋体" w:hAnsi="宋体" w:eastAsia="宋体" w:cs="宋体"/>
          <w:sz w:val="24"/>
          <w:szCs w:val="24"/>
          <w:highlight w:val="none"/>
        </w:rPr>
      </w:pPr>
      <w:bookmarkStart w:id="28" w:name="_Toc148434438"/>
      <w:bookmarkStart w:id="29" w:name="_Toc148434308"/>
      <w:bookmarkStart w:id="30" w:name="_Toc149624355"/>
      <w:r>
        <w:rPr>
          <w:rFonts w:hint="eastAsia" w:ascii="宋体" w:hAnsi="宋体" w:eastAsia="宋体" w:cs="宋体"/>
          <w:sz w:val="24"/>
          <w:szCs w:val="24"/>
          <w:highlight w:val="none"/>
        </w:rPr>
        <w:t>B  招标文件说明</w:t>
      </w:r>
    </w:p>
    <w:p>
      <w:pPr>
        <w:spacing w:line="360" w:lineRule="auto"/>
        <w:rPr>
          <w:rFonts w:hint="eastAsia" w:ascii="宋体" w:hAnsi="宋体" w:eastAsia="宋体" w:cs="宋体"/>
          <w:sz w:val="24"/>
          <w:highlight w:val="none"/>
        </w:rPr>
      </w:pPr>
    </w:p>
    <w:bookmarkEnd w:id="28"/>
    <w:bookmarkEnd w:id="29"/>
    <w:bookmarkEnd w:id="30"/>
    <w:p>
      <w:pPr>
        <w:pStyle w:val="34"/>
        <w:spacing w:line="360" w:lineRule="auto"/>
        <w:ind w:firstLine="480" w:firstLineChars="200"/>
        <w:jc w:val="both"/>
        <w:rPr>
          <w:rFonts w:hint="eastAsia" w:ascii="宋体" w:hAnsi="宋体" w:eastAsia="宋体" w:cs="宋体"/>
          <w:color w:val="auto"/>
          <w:highlight w:val="none"/>
        </w:rPr>
      </w:pPr>
      <w:bookmarkStart w:id="31" w:name="_Toc148434312"/>
      <w:bookmarkStart w:id="32" w:name="_Toc149723961"/>
      <w:r>
        <w:rPr>
          <w:rFonts w:hint="eastAsia" w:ascii="宋体" w:hAnsi="宋体" w:eastAsia="宋体" w:cs="宋体"/>
          <w:color w:val="auto"/>
          <w:highlight w:val="none"/>
        </w:rPr>
        <w:t>10. 招标文件的构成</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10.1 招标文件由下述部分组成：</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（1）投标邀请函</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（2）招标项目需求</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（3）投标须知</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（4）合同条款</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（5）投标文件格式</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（6）本项目招标文件的更正公告内容（如有）</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10.2 除非有特殊要求，招标文件不单独提供招标项目使用地的自然环境、气候条件、公用设施等情况，投标人被视为熟悉上述与履行合同有关的一切情况。</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10.3 加注“★”号条款为实质性条款，不得出现负偏离，发生负偏离即做无效标处理。</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11. 招标文件的澄清和修改</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11.1 投标截止前，采购人、采购代理机构需要对招标文件进行补充或修改的，采购人、采购代理机构将会通过“天津市政府采购网”以更正公告形式发布。</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11.2 更正公告一经在“天津市政府采购网”发布，中易（天津）工程咨询有限公司将以邮件形式通知至已报名供应商，视同已书面通知所有招标文件的收受人。请参与项目的供应商及时关注更正公告，由此导致的风险由投标人自行承担，采购人、采购代理机构不承担任何责任。</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11.3 更正公告的内容为招标文件的组成部分。当招标文件与更正公告就同一内容的表述不一致时，以最后发出的更正公告内容为准。</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12. 答疑会和踏勘现场</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12.1 采购人、采购代理机构召开答疑会的，所有投标人应按《投标邀请函》规定的时间、地点参加答疑会。投标人如不参加，其风险由投标人自行承担，采购人、采购代理机构不承担任何责任。</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12.2 采购人、采购代理机构组织踏勘现场的，所有投标人按《投标邀请函》规定的时间、地点参加踏勘现场活动。投标人如不参加，其风险由投标人自行承担，采购人、采购代理机构不承担任何责任。</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12.3 采购人、采购代理机构在答疑会或踏勘现场中口头介绍的情况，除经“天津市政府采购网”以更正公告的形式发布外，不构成对招标文件的修改，不作为投标人编制投标文件的依据。</w:t>
      </w:r>
    </w:p>
    <w:bookmarkEnd w:id="31"/>
    <w:bookmarkEnd w:id="32"/>
    <w:p>
      <w:pPr>
        <w:pStyle w:val="4"/>
        <w:spacing w:before="0" w:after="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C  投标文件的编制</w:t>
      </w:r>
    </w:p>
    <w:p>
      <w:pPr>
        <w:pStyle w:val="34"/>
        <w:spacing w:line="360" w:lineRule="auto"/>
        <w:ind w:firstLine="480" w:firstLineChars="200"/>
        <w:jc w:val="both"/>
        <w:rPr>
          <w:rFonts w:hint="eastAsia" w:ascii="宋体" w:hAnsi="宋体" w:eastAsia="宋体" w:cs="宋体"/>
          <w:color w:val="auto"/>
          <w:highlight w:val="none"/>
        </w:rPr>
      </w:pPr>
      <w:bookmarkStart w:id="33" w:name="_Toc149723962"/>
      <w:bookmarkStart w:id="34" w:name="_Toc148434313"/>
      <w:r>
        <w:rPr>
          <w:rFonts w:hint="eastAsia" w:ascii="宋体" w:hAnsi="宋体" w:eastAsia="宋体" w:cs="宋体"/>
          <w:color w:val="auto"/>
          <w:highlight w:val="none"/>
        </w:rPr>
        <w:t>13. 要求</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13.1 投标人应仔细阅读招标文件的所有内容，按招标文件要求编制投标文件，以使其投标对招标文件做出实质性响应。否则，其投标文件可能被拒绝，投标人须自行承担由此引起的风险和责任。</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13.2 投标人应根据招标项目需求和投标文件格式编制投标文件，保证其真实有效，并承担相应的法律责任。</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14. 投标语言及计量单位</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14.2 除招标文件中另有规定外，投标文件所使用的计量单位均应使用中华人民共和国法定计量单位。</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15. 投标文件格式</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15.1 投标人应按招标文件中提供的投标文件格式完整填写。因不按要求编制而引起系统无法检索、读取相关信息时，其后果由投标人自行承担。</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15.2 投标人可对本招标文件“招标项目要求”所列的所有货物进行投标，也可只对其中一包或几包的货物投标；若无特殊说明，每一包的内容不得分项投标，原则上按照整包确定中标供应商。</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15.3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15.4 如投标多个包的，要求按包分别独立制作投标文件。</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15.5 投标文件（</w:t>
      </w:r>
      <w:r>
        <w:rPr>
          <w:rFonts w:hint="eastAsia" w:ascii="宋体" w:hAnsi="宋体" w:eastAsia="宋体" w:cs="宋体"/>
          <w:color w:val="auto"/>
          <w:highlight w:val="none"/>
          <w:lang w:val="en-US" w:eastAsia="zh-CN"/>
        </w:rPr>
        <w:t>不</w:t>
      </w:r>
      <w:r>
        <w:rPr>
          <w:rFonts w:hint="eastAsia" w:ascii="宋体" w:hAnsi="宋体" w:eastAsia="宋体" w:cs="宋体"/>
          <w:color w:val="auto"/>
          <w:highlight w:val="none"/>
        </w:rPr>
        <w:t>包括封面）的每一页，从</w:t>
      </w:r>
      <w:r>
        <w:rPr>
          <w:rFonts w:hint="eastAsia" w:ascii="宋体" w:hAnsi="宋体" w:eastAsia="宋体" w:cs="宋体"/>
          <w:color w:val="auto"/>
          <w:highlight w:val="none"/>
          <w:lang w:val="en-US" w:eastAsia="zh-CN"/>
        </w:rPr>
        <w:t>目录</w:t>
      </w:r>
      <w:r>
        <w:rPr>
          <w:rFonts w:hint="eastAsia" w:ascii="宋体" w:hAnsi="宋体" w:eastAsia="宋体" w:cs="宋体"/>
          <w:color w:val="auto"/>
          <w:highlight w:val="none"/>
        </w:rPr>
        <w:t>开始按阿拉伯数字1、2、3…顺序编制页码。</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16. 投标报价</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16.1 投标书、开标一览表等各表中的报价，若无特殊说明应采用人民币填报。</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16.2 投标报价是为完成招标文件规定的一切工作所需的全部费用的最终优惠价格。</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16.3 除《招标项目需求》中说明并允许外，投标的每一个货物、服务的单项报价以及采购项目的投标总价均只允许有一个报价，任何有选择的报价，采购人、采购代理机构均将予以拒绝。</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17. 投标人资格证明文件</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投标人必须提交证明其有资格进行投标和有能力履行合同的文件，作为投标文件的一部分。</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（1）《投标邀请函》中规定的供应商资格要求（实质性要求）证明文件；</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（2）若国家及行业对投标项目有特殊资格要求的，还须提供特殊资格证明文件；</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（3）涉及本须知中“4. 合格的投标人”相关要求的，按其要求执行。</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18. 技术</w:t>
      </w:r>
      <w:r>
        <w:rPr>
          <w:rFonts w:hint="eastAsia" w:ascii="宋体" w:hAnsi="宋体" w:cs="宋体"/>
          <w:color w:val="000000"/>
          <w:sz w:val="24"/>
          <w:highlight w:val="none"/>
          <w:lang w:val="en-US" w:eastAsia="zh-CN"/>
        </w:rPr>
        <w:t>投标</w:t>
      </w:r>
      <w:r>
        <w:rPr>
          <w:rFonts w:hint="eastAsia" w:ascii="宋体" w:hAnsi="宋体" w:eastAsia="宋体" w:cs="宋体"/>
          <w:color w:val="auto"/>
          <w:highlight w:val="none"/>
        </w:rPr>
        <w:t>文件</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18.1 投标人须提交证明其拟供货物符合招标文件规定的技术</w:t>
      </w:r>
      <w:r>
        <w:rPr>
          <w:rFonts w:hint="eastAsia" w:ascii="宋体" w:hAnsi="宋体" w:cs="宋体"/>
          <w:color w:val="000000"/>
          <w:sz w:val="24"/>
          <w:highlight w:val="none"/>
          <w:lang w:val="en-US" w:eastAsia="zh-CN"/>
        </w:rPr>
        <w:t>投标</w:t>
      </w:r>
      <w:r>
        <w:rPr>
          <w:rFonts w:hint="eastAsia" w:ascii="宋体" w:hAnsi="宋体" w:eastAsia="宋体" w:cs="宋体"/>
          <w:color w:val="auto"/>
          <w:highlight w:val="none"/>
        </w:rPr>
        <w:t>文件，作为投标文件的一部分。</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18.2 上述文件可以是文字资料、图纸或数据，并须提供：</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（1）货物主要技术性能的详细描述；</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（2）保证货物从采购人开始使用至招标文件规定的保修期内正常和连续运转期间所需要的所有备件和专用工具的详细清单，包括其现行价格和供货来源资料；</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（3）逐条对招标文件要求的技术规格进行评议，并按招标文件所附格式完整地填写《技术要求点对点应答表》，说明自己所投标的货物和相关服务内容与采购人、采购代理机构相应要求的偏离情况。</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18.3 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19. 投标保证金</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19.1 按照《招标项目要求》要求执行。</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19.2 符合《政府采购货物和服务招标投标管理办法》和《政府采购法实施条例》相关规定。</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20. 投标有效期</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20.1 投标有效期为提交投标文件的截止之日起60天。投标书中规定的有效期短于招标文件规定的，其投标将被拒绝。</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21. 投标文件的签署及规定</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21.1 投标文件应按《招标项目要求》和《投标文件格式》如实编写，未尽事宜可自行补充。投标文件内容不完整、格式不符合导致投标文件被误读、漏读或者查找不到相关内容的，投标人自行承担由此产生的风险。</w:t>
      </w:r>
    </w:p>
    <w:p>
      <w:pPr>
        <w:pStyle w:val="4"/>
        <w:spacing w:before="0" w:after="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D 投标文件的递交</w:t>
      </w:r>
      <w:bookmarkEnd w:id="33"/>
      <w:bookmarkEnd w:id="34"/>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b/>
          <w:sz w:val="24"/>
          <w:highlight w:val="none"/>
        </w:rPr>
      </w:pPr>
      <w:bookmarkStart w:id="35" w:name="_Toc149723963"/>
      <w:bookmarkStart w:id="36" w:name="_Toc148434314"/>
      <w:r>
        <w:rPr>
          <w:rFonts w:hint="eastAsia" w:ascii="宋体" w:hAnsi="宋体" w:eastAsia="宋体" w:cs="宋体"/>
          <w:b/>
          <w:sz w:val="24"/>
          <w:highlight w:val="none"/>
        </w:rPr>
        <w:t>22.投标文件的密封和标记</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highlight w:val="none"/>
        </w:rPr>
        <w:t>22.1.1</w:t>
      </w:r>
      <w:r>
        <w:rPr>
          <w:rFonts w:hint="eastAsia" w:ascii="宋体" w:hAnsi="宋体" w:eastAsia="宋体" w:cs="宋体"/>
          <w:sz w:val="24"/>
          <w:szCs w:val="24"/>
          <w:highlight w:val="none"/>
        </w:rPr>
        <w:t>本项目须提交纸质投标文件，包括</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正</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副纸质投标文件</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3份</w:t>
      </w:r>
      <w:r>
        <w:rPr>
          <w:rFonts w:hint="eastAsia" w:ascii="宋体" w:hAnsi="宋体" w:eastAsia="宋体" w:cs="宋体"/>
          <w:sz w:val="24"/>
          <w:szCs w:val="24"/>
          <w:highlight w:val="none"/>
          <w:lang w:val="en-US" w:eastAsia="zh-CN"/>
        </w:rPr>
        <w:t>电子版</w:t>
      </w:r>
      <w:r>
        <w:rPr>
          <w:rFonts w:hint="eastAsia" w:ascii="宋体" w:hAnsi="宋体" w:cs="宋体"/>
          <w:sz w:val="24"/>
          <w:szCs w:val="24"/>
          <w:highlight w:val="none"/>
          <w:lang w:val="en-US" w:eastAsia="zh-CN"/>
        </w:rPr>
        <w:t>光盘</w:t>
      </w:r>
      <w:r>
        <w:rPr>
          <w:rFonts w:hint="eastAsia" w:ascii="宋体" w:hAnsi="宋体" w:eastAsia="宋体" w:cs="宋体"/>
          <w:sz w:val="24"/>
          <w:szCs w:val="24"/>
          <w:highlight w:val="none"/>
          <w:lang w:val="en-US" w:eastAsia="zh-CN"/>
        </w:rPr>
        <w:t>文件</w:t>
      </w:r>
      <w:r>
        <w:rPr>
          <w:rFonts w:hint="eastAsia" w:ascii="宋体" w:hAnsi="宋体" w:eastAsia="宋体" w:cs="宋体"/>
          <w:kern w:val="2"/>
          <w:sz w:val="24"/>
          <w:szCs w:val="24"/>
          <w:highlight w:val="none"/>
          <w:lang w:val="en-US" w:eastAsia="zh-CN" w:bidi="ar-SA"/>
        </w:rPr>
        <w:t>（word无加密格式）</w:t>
      </w:r>
      <w:r>
        <w:rPr>
          <w:rFonts w:hint="eastAsia" w:ascii="宋体" w:hAnsi="宋体" w:eastAsia="宋体" w:cs="宋体"/>
          <w:sz w:val="24"/>
          <w:szCs w:val="24"/>
          <w:highlight w:val="none"/>
          <w:lang w:val="en-US" w:eastAsia="zh-CN"/>
        </w:rPr>
        <w:t>一起</w:t>
      </w:r>
      <w:r>
        <w:rPr>
          <w:rFonts w:hint="eastAsia" w:ascii="宋体" w:hAnsi="宋体" w:eastAsia="宋体" w:cs="宋体"/>
          <w:sz w:val="24"/>
          <w:szCs w:val="24"/>
          <w:highlight w:val="none"/>
        </w:rPr>
        <w:t>密封</w:t>
      </w:r>
      <w:r>
        <w:rPr>
          <w:rFonts w:hint="eastAsia" w:ascii="宋体" w:hAnsi="宋体" w:eastAsia="宋体" w:cs="宋体"/>
          <w:sz w:val="24"/>
          <w:szCs w:val="24"/>
          <w:highlight w:val="none"/>
          <w:lang w:val="en-US" w:eastAsia="zh-CN"/>
        </w:rPr>
        <w:t>成为一包</w:t>
      </w:r>
      <w:r>
        <w:rPr>
          <w:rFonts w:hint="eastAsia" w:ascii="宋体" w:hAnsi="宋体" w:eastAsia="宋体" w:cs="宋体"/>
          <w:sz w:val="24"/>
          <w:szCs w:val="24"/>
          <w:highlight w:val="none"/>
        </w:rPr>
        <w:t>。需在密封处加盖单位公章。</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22.1.2</w:t>
      </w:r>
      <w:r>
        <w:rPr>
          <w:rFonts w:hint="eastAsia" w:ascii="宋体" w:hAnsi="宋体" w:cs="宋体"/>
          <w:kern w:val="2"/>
          <w:sz w:val="24"/>
          <w:szCs w:val="24"/>
          <w:highlight w:val="none"/>
          <w:lang w:val="en-US" w:eastAsia="zh-CN" w:bidi="ar-SA"/>
        </w:rPr>
        <w:t>电子版文件应与纸质版文件一致，</w:t>
      </w:r>
      <w:r>
        <w:rPr>
          <w:rFonts w:hint="eastAsia" w:ascii="宋体" w:hAnsi="宋体" w:eastAsia="宋体" w:cs="宋体"/>
          <w:kern w:val="2"/>
          <w:sz w:val="24"/>
          <w:szCs w:val="24"/>
          <w:highlight w:val="none"/>
          <w:lang w:val="en-US" w:eastAsia="zh-CN" w:bidi="ar-SA"/>
        </w:rPr>
        <w:t>电子版光盘表面应注明（可加贴光盘贴）：投标项目名称、</w:t>
      </w:r>
      <w:r>
        <w:rPr>
          <w:rFonts w:hint="eastAsia" w:ascii="宋体" w:hAnsi="宋体" w:cs="宋体"/>
          <w:kern w:val="2"/>
          <w:sz w:val="24"/>
          <w:szCs w:val="24"/>
          <w:highlight w:val="none"/>
          <w:lang w:val="en-US" w:eastAsia="zh-CN" w:bidi="ar-SA"/>
        </w:rPr>
        <w:t>项目</w:t>
      </w:r>
      <w:r>
        <w:rPr>
          <w:rFonts w:hint="eastAsia" w:ascii="宋体" w:hAnsi="宋体" w:eastAsia="宋体" w:cs="宋体"/>
          <w:kern w:val="2"/>
          <w:sz w:val="24"/>
          <w:szCs w:val="24"/>
          <w:highlight w:val="none"/>
          <w:lang w:val="en-US" w:eastAsia="zh-CN" w:bidi="ar-SA"/>
        </w:rPr>
        <w:t>编号、投标人名称</w:t>
      </w:r>
      <w:r>
        <w:rPr>
          <w:rFonts w:hint="eastAsia" w:ascii="宋体" w:hAnsi="宋体" w:eastAsia="宋体" w:cs="宋体"/>
          <w:sz w:val="24"/>
          <w:highlight w:val="none"/>
          <w:lang w:val="en-US" w:eastAsia="zh-CN"/>
        </w:rPr>
        <w:t>。</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22.1.3投标人应在信封上注明投标项目名称、招标编号、在每一密封信封上注明“于</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正式开标之前（指投标邀请中规定的开标日期及时间）不准启封”的字样，同时在密封处加盖公章。</w:t>
      </w:r>
    </w:p>
    <w:p>
      <w:pPr>
        <w:pStyle w:val="34"/>
        <w:snapToGrid w:val="0"/>
        <w:spacing w:line="360" w:lineRule="auto"/>
        <w:jc w:val="center"/>
        <w:rPr>
          <w:rFonts w:hint="eastAsia" w:ascii="宋体" w:hAnsi="宋体" w:eastAsia="宋体" w:cs="宋体"/>
          <w:color w:val="auto"/>
          <w:highlight w:val="none"/>
        </w:rPr>
      </w:pP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22.1.</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投标人应在信封上注明投标人名称、投标人地址、邮编、联系电话、投标人代表、法定代表人等内容，以便若其投标被宣布为“无效”投标时能原封退回。</w:t>
      </w:r>
      <w:r>
        <w:rPr>
          <w:rFonts w:hint="eastAsia" w:ascii="宋体" w:hAnsi="宋体" w:eastAsia="宋体" w:cs="宋体"/>
          <w:color w:val="auto"/>
          <w:highlight w:val="none"/>
        </w:rPr>
        <w:t>密封方法如下图所示：</w:t>
      </w:r>
    </w:p>
    <w:tbl>
      <w:tblPr>
        <w:tblStyle w:val="23"/>
        <w:tblpPr w:leftFromText="180" w:rightFromText="180" w:vertAnchor="text" w:horzAnchor="page" w:tblpX="4492" w:tblpY="211"/>
        <w:tblOverlap w:val="never"/>
        <w:tblW w:w="2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2880" w:type="dxa"/>
            <w:noWrap w:val="0"/>
            <w:vAlign w:val="center"/>
          </w:tcPr>
          <w:p>
            <w:pPr>
              <w:pStyle w:val="34"/>
              <w:snapToGrid w:val="0"/>
              <w:spacing w:line="360" w:lineRule="auto"/>
              <w:jc w:val="center"/>
              <w:rPr>
                <w:rFonts w:hint="eastAsia" w:ascii="宋体" w:hAnsi="宋体" w:eastAsia="宋体" w:cs="宋体"/>
                <w:color w:val="auto"/>
                <w:kern w:val="2"/>
                <w:sz w:val="24"/>
                <w:szCs w:val="20"/>
                <w:highlight w:val="none"/>
                <w:lang w:val="en-US" w:eastAsia="zh-CN" w:bidi="ar-SA"/>
              </w:rPr>
            </w:pPr>
            <w:r>
              <w:rPr>
                <w:rFonts w:hint="eastAsia" w:ascii="宋体" w:hAnsi="宋体" w:eastAsia="宋体" w:cs="宋体"/>
                <w:color w:val="auto"/>
                <w:kern w:val="2"/>
                <w:sz w:val="24"/>
                <w:szCs w:val="20"/>
                <w:highlight w:val="none"/>
                <w:lang w:val="en-US" w:eastAsia="zh-CN" w:bidi="ar-SA"/>
              </w:rPr>
              <w:t>投标文件（1正2副）</w:t>
            </w:r>
          </w:p>
          <w:p>
            <w:pPr>
              <w:pStyle w:val="34"/>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2"/>
                <w:sz w:val="24"/>
                <w:szCs w:val="20"/>
                <w:highlight w:val="none"/>
                <w:lang w:val="en-US" w:eastAsia="zh-CN" w:bidi="ar-SA"/>
              </w:rPr>
              <w:t>电子版光盘文件3份</w:t>
            </w:r>
          </w:p>
        </w:tc>
      </w:tr>
    </w:tbl>
    <w:p>
      <w:pPr>
        <w:spacing w:line="360" w:lineRule="auto"/>
        <w:rPr>
          <w:rFonts w:hint="eastAsia" w:ascii="宋体" w:hAnsi="宋体" w:eastAsia="宋体" w:cs="宋体"/>
          <w:sz w:val="24"/>
          <w:szCs w:val="24"/>
          <w:highlight w:val="none"/>
        </w:rPr>
      </w:pPr>
    </w:p>
    <w:p>
      <w:pPr>
        <w:pStyle w:val="9"/>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9"/>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9"/>
        <w:rPr>
          <w:rFonts w:hint="eastAsia" w:ascii="宋体" w:hAnsi="宋体" w:eastAsia="宋体" w:cs="宋体"/>
          <w:sz w:val="24"/>
          <w:szCs w:val="24"/>
          <w:highlight w:val="none"/>
        </w:rPr>
      </w:pPr>
    </w:p>
    <w:p>
      <w:pPr>
        <w:rPr>
          <w:rFonts w:hint="eastAsia" w:ascii="宋体" w:hAnsi="宋体" w:eastAsia="宋体" w:cs="宋体"/>
          <w:highlight w:val="none"/>
        </w:rPr>
      </w:pP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22.1.4如投标文件由专人递交，投标人应将投标文件按22.1.1-22.1.</w:t>
      </w:r>
      <w:r>
        <w:rPr>
          <w:rFonts w:hint="eastAsia" w:ascii="宋体" w:hAnsi="宋体" w:cs="宋体"/>
          <w:sz w:val="24"/>
          <w:highlight w:val="none"/>
          <w:lang w:val="en-US" w:eastAsia="zh-CN"/>
        </w:rPr>
        <w:t>4</w:t>
      </w:r>
      <w:r>
        <w:rPr>
          <w:rFonts w:hint="eastAsia" w:ascii="宋体" w:hAnsi="宋体" w:eastAsia="宋体" w:cs="宋体"/>
          <w:sz w:val="24"/>
          <w:highlight w:val="none"/>
        </w:rPr>
        <w:t>中的规定进行密封和标记后，按</w:t>
      </w:r>
      <w:r>
        <w:rPr>
          <w:rFonts w:hint="eastAsia" w:ascii="宋体" w:hAnsi="宋体" w:cs="宋体"/>
          <w:sz w:val="24"/>
          <w:highlight w:val="none"/>
          <w:lang w:val="en-US" w:eastAsia="zh-CN"/>
        </w:rPr>
        <w:t>招标文件</w:t>
      </w:r>
      <w:r>
        <w:rPr>
          <w:rFonts w:hint="eastAsia" w:ascii="宋体" w:hAnsi="宋体" w:eastAsia="宋体" w:cs="宋体"/>
          <w:sz w:val="24"/>
          <w:highlight w:val="none"/>
        </w:rPr>
        <w:t>注明的</w:t>
      </w:r>
      <w:r>
        <w:rPr>
          <w:rFonts w:hint="eastAsia" w:ascii="宋体" w:hAnsi="宋体" w:cs="宋体"/>
          <w:sz w:val="24"/>
          <w:highlight w:val="none"/>
          <w:lang w:val="en-US" w:eastAsia="zh-CN"/>
        </w:rPr>
        <w:t>投标截止</w:t>
      </w:r>
      <w:r>
        <w:rPr>
          <w:rFonts w:hint="eastAsia" w:ascii="宋体" w:hAnsi="宋体" w:eastAsia="宋体" w:cs="宋体"/>
          <w:sz w:val="24"/>
          <w:highlight w:val="none"/>
        </w:rPr>
        <w:t>时间和地址送至招标采购单位。</w:t>
      </w:r>
    </w:p>
    <w:p>
      <w:pPr>
        <w:tabs>
          <w:tab w:val="left" w:pos="0"/>
        </w:tabs>
        <w:spacing w:line="360" w:lineRule="auto"/>
        <w:rPr>
          <w:rFonts w:hint="eastAsia" w:ascii="宋体" w:hAnsi="宋体" w:eastAsia="宋体" w:cs="宋体"/>
          <w:b/>
          <w:sz w:val="24"/>
          <w:highlight w:val="none"/>
        </w:rPr>
      </w:pPr>
      <w:r>
        <w:rPr>
          <w:rFonts w:hint="eastAsia" w:ascii="宋体" w:hAnsi="宋体" w:eastAsia="宋体" w:cs="宋体"/>
          <w:b/>
          <w:sz w:val="24"/>
          <w:highlight w:val="none"/>
        </w:rPr>
        <w:t>22.2递交投标文件的截止时间</w:t>
      </w:r>
    </w:p>
    <w:p>
      <w:pPr>
        <w:tabs>
          <w:tab w:val="left" w:pos="0"/>
        </w:tabs>
        <w:spacing w:line="360" w:lineRule="auto"/>
        <w:ind w:firstLine="642"/>
        <w:rPr>
          <w:rFonts w:hint="eastAsia" w:ascii="宋体" w:hAnsi="宋体" w:eastAsia="宋体" w:cs="宋体"/>
          <w:b/>
          <w:sz w:val="24"/>
          <w:highlight w:val="none"/>
        </w:rPr>
      </w:pPr>
      <w:r>
        <w:rPr>
          <w:rFonts w:hint="eastAsia" w:ascii="宋体" w:hAnsi="宋体" w:eastAsia="宋体" w:cs="宋体"/>
          <w:sz w:val="24"/>
          <w:highlight w:val="none"/>
        </w:rPr>
        <w:t>22.2.1招标采购单位应在招标公告或投标邀请中规定的地址、时间，收到投标人递交的投标文件的时间应不迟于投标邀请中规定的截止时间。</w:t>
      </w:r>
    </w:p>
    <w:p>
      <w:pPr>
        <w:tabs>
          <w:tab w:val="left" w:pos="0"/>
        </w:tabs>
        <w:spacing w:line="360" w:lineRule="auto"/>
        <w:ind w:firstLine="642"/>
        <w:rPr>
          <w:rFonts w:hint="eastAsia" w:ascii="宋体" w:hAnsi="宋体" w:eastAsia="宋体" w:cs="宋体"/>
          <w:b/>
          <w:sz w:val="24"/>
          <w:highlight w:val="none"/>
        </w:rPr>
      </w:pPr>
      <w:r>
        <w:rPr>
          <w:rFonts w:hint="eastAsia" w:ascii="宋体" w:hAnsi="宋体" w:eastAsia="宋体" w:cs="宋体"/>
          <w:sz w:val="24"/>
          <w:highlight w:val="none"/>
        </w:rPr>
        <w:t>22.2.2招标采购单位可根据本须知的规定，通过修改招标文件自行决定酌情延长投标截止日期。在此情况下，招标采购单位和投标人受投标截止日期制约的所有权利和义务均应延长至新的截止日期。</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22.3迟交的投标文件</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按本须知第23.1条的规定招标采购单位将拒绝并原封退回在其规定的截止时间后收到的任何投标文件。</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22.4 投标文件的修改与撤回</w:t>
      </w:r>
    </w:p>
    <w:p>
      <w:pPr>
        <w:spacing w:line="360" w:lineRule="auto"/>
        <w:ind w:firstLine="645"/>
        <w:rPr>
          <w:rFonts w:hint="eastAsia" w:ascii="宋体" w:hAnsi="宋体" w:eastAsia="宋体" w:cs="宋体"/>
          <w:sz w:val="24"/>
          <w:highlight w:val="none"/>
        </w:rPr>
      </w:pPr>
      <w:r>
        <w:rPr>
          <w:rFonts w:hint="eastAsia" w:ascii="宋体" w:hAnsi="宋体" w:eastAsia="宋体" w:cs="宋体"/>
          <w:sz w:val="24"/>
          <w:highlight w:val="none"/>
        </w:rPr>
        <w:t>22.4.1投标人在投标截止时间前，可以对递交的投标文件进行补充、修改或撤回，并书面通知招标采购单位。补充修改的内容应按招标文件要求签署、盖章，并作为投标文件的组成部分。</w:t>
      </w:r>
    </w:p>
    <w:p>
      <w:pPr>
        <w:spacing w:line="360" w:lineRule="auto"/>
        <w:ind w:firstLine="645"/>
        <w:rPr>
          <w:rFonts w:hint="eastAsia" w:ascii="宋体" w:hAnsi="宋体" w:eastAsia="宋体" w:cs="宋体"/>
          <w:sz w:val="24"/>
          <w:highlight w:val="none"/>
        </w:rPr>
      </w:pPr>
      <w:r>
        <w:rPr>
          <w:rFonts w:hint="eastAsia" w:ascii="宋体" w:hAnsi="宋体" w:eastAsia="宋体" w:cs="宋体"/>
          <w:sz w:val="24"/>
          <w:highlight w:val="none"/>
        </w:rPr>
        <w:t>22.4.2在投标截止时间之后，投标人不得对其投标文件进行修改。</w:t>
      </w:r>
    </w:p>
    <w:p>
      <w:pPr>
        <w:rPr>
          <w:rFonts w:hint="eastAsia" w:ascii="宋体" w:hAnsi="宋体" w:eastAsia="宋体" w:cs="宋体"/>
          <w:highlight w:val="none"/>
        </w:rPr>
      </w:pPr>
    </w:p>
    <w:p>
      <w:pPr>
        <w:pStyle w:val="4"/>
        <w:spacing w:before="0" w:after="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五、开标及评标</w:t>
      </w:r>
      <w:bookmarkEnd w:id="35"/>
      <w:bookmarkEnd w:id="36"/>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23.1开标时间和地点</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开标应当在招标文件确定的递交投标文件截止时间的同一时间公开进行；开标地点应当为招标文件预先确定的地点。</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23.2开标程序</w:t>
      </w:r>
    </w:p>
    <w:p>
      <w:pPr>
        <w:spacing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sz w:val="24"/>
          <w:highlight w:val="none"/>
        </w:rPr>
        <w:t>开标由集采代理机构主持，采购人、投标人和有关方面代表参加。</w:t>
      </w:r>
      <w:r>
        <w:rPr>
          <w:rFonts w:hint="eastAsia" w:ascii="宋体" w:hAnsi="宋体" w:eastAsia="宋体" w:cs="宋体"/>
          <w:bCs/>
          <w:color w:val="000000"/>
          <w:sz w:val="24"/>
          <w:highlight w:val="none"/>
        </w:rPr>
        <w:t>投标人须由法定代表人或其代理人参加开标仪式，并随时准备对评委的询问予以书面应答。法定代表人或其代理人参加开标仪式时，须携带身份证或其他与法定代表人或其代理人身份相符的有效证件，以备查验。</w:t>
      </w:r>
    </w:p>
    <w:p>
      <w:pPr>
        <w:spacing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主持人按下列程序进行开标：</w:t>
      </w:r>
    </w:p>
    <w:p>
      <w:pPr>
        <w:spacing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（1）宣布开标纪律；</w:t>
      </w:r>
    </w:p>
    <w:p>
      <w:pPr>
        <w:spacing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（2）公布在投标截止时间前递交投标文件的投标人名称；</w:t>
      </w:r>
    </w:p>
    <w:p>
      <w:pPr>
        <w:spacing w:line="360" w:lineRule="auto"/>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（3）宣布开标人、唱标人、记录人、监标人等有关人员；</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（4）设有标底的，公布标底；</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highlight w:val="none"/>
        </w:rPr>
        <w:t>（5）开标时，由投标人或者其推选的代表检查投标文件密封情况，经确认无误后，由投标单位拆封，</w:t>
      </w:r>
      <w:r>
        <w:rPr>
          <w:rFonts w:hint="eastAsia" w:ascii="宋体" w:hAnsi="宋体" w:eastAsia="宋体" w:cs="宋体"/>
          <w:sz w:val="24"/>
          <w:szCs w:val="24"/>
          <w:highlight w:val="none"/>
        </w:rPr>
        <w:t>采购人或集采代理机构应当依法对投标人的资格进行审查。资格审查合格的投标人不足3家的，不得评标。</w:t>
      </w:r>
    </w:p>
    <w:p>
      <w:pPr>
        <w:pStyle w:val="9"/>
        <w:ind w:firstLine="480" w:firstLineChars="200"/>
        <w:rPr>
          <w:rFonts w:hint="default" w:eastAsia="宋体"/>
          <w:highlight w:val="none"/>
          <w:lang w:val="en-US" w:eastAsia="zh-CN"/>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拆封文件并公布所有投标人的投标报价；</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7</w:t>
      </w:r>
      <w:r>
        <w:rPr>
          <w:rFonts w:hint="eastAsia" w:ascii="宋体" w:hAnsi="宋体" w:eastAsia="宋体" w:cs="宋体"/>
          <w:sz w:val="24"/>
          <w:highlight w:val="none"/>
        </w:rPr>
        <w:t>）投标人代表、采购人代表、监标人、记录人等有关人员在开标记录上签字确认；</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r>
        <w:rPr>
          <w:rFonts w:hint="eastAsia" w:ascii="宋体" w:hAnsi="宋体" w:cs="宋体"/>
          <w:sz w:val="24"/>
          <w:highlight w:val="none"/>
          <w:lang w:val="en-US" w:eastAsia="zh-CN"/>
        </w:rPr>
        <w:t>8</w:t>
      </w:r>
      <w:r>
        <w:rPr>
          <w:rFonts w:hint="eastAsia" w:ascii="宋体" w:hAnsi="宋体" w:eastAsia="宋体" w:cs="宋体"/>
          <w:sz w:val="24"/>
          <w:highlight w:val="none"/>
        </w:rPr>
        <w:t>）开标结束。</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23.3评标委员会</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highlight w:val="none"/>
        </w:rPr>
        <w:t xml:space="preserve">23.3.1 </w:t>
      </w:r>
      <w:r>
        <w:rPr>
          <w:rFonts w:hint="eastAsia" w:ascii="宋体" w:hAnsi="宋体" w:eastAsia="宋体" w:cs="宋体"/>
          <w:color w:val="auto"/>
          <w:highlight w:val="none"/>
        </w:rPr>
        <w:t>评标委员会成员由采购人代表和评审专家组成，成员人数应当为5人以上单数，其中评审专家不得少于成员总数的三分之二。</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highlight w:val="none"/>
        </w:rPr>
        <w:t xml:space="preserve">23.3.2 </w:t>
      </w:r>
      <w:r>
        <w:rPr>
          <w:rFonts w:hint="eastAsia" w:ascii="宋体" w:hAnsi="宋体" w:eastAsia="宋体" w:cs="宋体"/>
          <w:color w:val="auto"/>
          <w:highlight w:val="none"/>
        </w:rPr>
        <w:t>评标委员会负责审查投标文件是否符合招标文件的要求，并进行审查、询标、评估和比较。评标委员会认为必要时，可向投标人进行询标。</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highlight w:val="none"/>
        </w:rPr>
        <w:t xml:space="preserve">23.3.3 </w:t>
      </w:r>
      <w:r>
        <w:rPr>
          <w:rFonts w:hint="eastAsia" w:ascii="宋体" w:hAnsi="宋体" w:eastAsia="宋体" w:cs="宋体"/>
          <w:color w:val="auto"/>
          <w:highlight w:val="none"/>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23.3.4评标委员会负责完成全部评标过程，向招标采购单位提出经所有评委会成员签字的书面评标报告。</w:t>
      </w:r>
    </w:p>
    <w:p>
      <w:pPr>
        <w:pStyle w:val="34"/>
        <w:spacing w:line="360" w:lineRule="auto"/>
        <w:jc w:val="both"/>
        <w:rPr>
          <w:rFonts w:hint="eastAsia" w:ascii="宋体" w:hAnsi="宋体" w:eastAsia="宋体" w:cs="宋体"/>
          <w:color w:val="auto"/>
          <w:highlight w:val="none"/>
        </w:rPr>
      </w:pPr>
      <w:bookmarkStart w:id="37" w:name="_Toc148434315"/>
      <w:bookmarkStart w:id="38" w:name="_Toc149723964"/>
      <w:r>
        <w:rPr>
          <w:rFonts w:hint="eastAsia" w:ascii="宋体" w:hAnsi="宋体" w:eastAsia="宋体" w:cs="宋体"/>
          <w:color w:val="auto"/>
          <w:highlight w:val="none"/>
        </w:rPr>
        <w:t xml:space="preserve"> </w:t>
      </w:r>
      <w:r>
        <w:rPr>
          <w:rFonts w:hint="eastAsia" w:ascii="宋体" w:hAnsi="宋体" w:eastAsia="宋体" w:cs="宋体"/>
          <w:b/>
          <w:highlight w:val="none"/>
        </w:rPr>
        <w:t xml:space="preserve">23.4 </w:t>
      </w:r>
      <w:r>
        <w:rPr>
          <w:rFonts w:hint="eastAsia" w:ascii="宋体" w:hAnsi="宋体" w:eastAsia="宋体" w:cs="宋体"/>
          <w:b/>
          <w:color w:val="auto"/>
          <w:highlight w:val="none"/>
        </w:rPr>
        <w:t>对投标文件的审查和响应性的确定</w:t>
      </w:r>
    </w:p>
    <w:p>
      <w:pPr>
        <w:pStyle w:val="34"/>
        <w:spacing w:line="360" w:lineRule="auto"/>
        <w:ind w:firstLine="482" w:firstLineChars="200"/>
        <w:jc w:val="both"/>
        <w:rPr>
          <w:rFonts w:hint="eastAsia" w:ascii="宋体" w:hAnsi="宋体" w:eastAsia="宋体" w:cs="宋体"/>
          <w:color w:val="auto"/>
          <w:highlight w:val="none"/>
        </w:rPr>
      </w:pPr>
      <w:r>
        <w:rPr>
          <w:rFonts w:hint="eastAsia" w:ascii="宋体" w:hAnsi="宋体" w:eastAsia="宋体" w:cs="宋体"/>
          <w:b/>
          <w:highlight w:val="none"/>
        </w:rPr>
        <w:t>23.4.1</w:t>
      </w:r>
      <w:r>
        <w:rPr>
          <w:rFonts w:hint="eastAsia" w:ascii="宋体" w:hAnsi="宋体" w:eastAsia="宋体" w:cs="宋体"/>
          <w:color w:val="auto"/>
          <w:highlight w:val="none"/>
        </w:rPr>
        <w:t xml:space="preserve">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pPr>
        <w:pStyle w:val="34"/>
        <w:spacing w:line="360" w:lineRule="auto"/>
        <w:ind w:firstLine="482" w:firstLineChars="200"/>
        <w:jc w:val="both"/>
        <w:rPr>
          <w:rFonts w:hint="eastAsia" w:ascii="宋体" w:hAnsi="宋体" w:eastAsia="宋体" w:cs="宋体"/>
          <w:color w:val="auto"/>
          <w:highlight w:val="none"/>
        </w:rPr>
      </w:pPr>
      <w:r>
        <w:rPr>
          <w:rFonts w:hint="eastAsia" w:ascii="宋体" w:hAnsi="宋体" w:eastAsia="宋体" w:cs="宋体"/>
          <w:b/>
          <w:highlight w:val="none"/>
        </w:rPr>
        <w:t>23.4.2</w:t>
      </w:r>
      <w:r>
        <w:rPr>
          <w:rFonts w:hint="eastAsia" w:ascii="宋体" w:hAnsi="宋体" w:eastAsia="宋体" w:cs="宋体"/>
          <w:color w:val="auto"/>
          <w:highlight w:val="none"/>
        </w:rPr>
        <w:t xml:space="preserve"> 投标截止时间后，除评标委员会要求提供外，不接受投标人及与投标人有关的任何一方递交的材料。</w:t>
      </w:r>
    </w:p>
    <w:p>
      <w:pPr>
        <w:pStyle w:val="34"/>
        <w:spacing w:line="360" w:lineRule="auto"/>
        <w:ind w:firstLine="482" w:firstLineChars="200"/>
        <w:jc w:val="both"/>
        <w:rPr>
          <w:rFonts w:hint="eastAsia" w:ascii="宋体" w:hAnsi="宋体" w:eastAsia="宋体" w:cs="宋体"/>
          <w:color w:val="auto"/>
          <w:highlight w:val="none"/>
        </w:rPr>
      </w:pPr>
      <w:r>
        <w:rPr>
          <w:rFonts w:hint="eastAsia" w:ascii="宋体" w:hAnsi="宋体" w:eastAsia="宋体" w:cs="宋体"/>
          <w:b/>
          <w:highlight w:val="none"/>
        </w:rPr>
        <w:t>23.4.3</w:t>
      </w:r>
      <w:r>
        <w:rPr>
          <w:rFonts w:hint="eastAsia" w:ascii="宋体" w:hAnsi="宋体" w:eastAsia="宋体" w:cs="宋体"/>
          <w:color w:val="auto"/>
          <w:highlight w:val="none"/>
        </w:rPr>
        <w:t xml:space="preserve"> 实质上没有响应招标文件要求的投标文件，将被拒绝。投标人不得通过修改或撤回不符合要求的重大偏离而使其投标成为响应性的投标。如出现下列情况之一的，其投标将被拒绝或中标无效：</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（1）若招标文件第二部分要求提供投标保证金的，投标人未提供投标保证金或投标保证金金额不足或投标保函的有效期短于投标有效期的；</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（2）投标有效期短于招标文件要求的；</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（3）投标文件中提供虚假或失实资料的；</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（4）不能满足招标文件中任何一条实质性要求或加注“★”号条款出现负偏离或投标内容不符合相关强制性规定的；</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（5）法定代表人授权书不符合招标文件要求的；</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（6）投标人报价为空、为零的；</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（7）投标报价超出采购预算或最高限价；</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（8）经评标委员会认定报价低于成本的；</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（9）围标或陪标的；</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（10）扰乱评标现场秩序，无理取闹，恶意诽谤的；</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（11）单位负责人或法定代表人为同一人，或者存在控股、管理关系的不同供应商，参加同一包或者未划分包的同一项目投标的，相关投标均无效；</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（12）除《招标项目需求》中说明并允许外，投标的每一个货物、服务的单项报价以及采购项目的投标总价存在多个报价或选择性报价的；</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（13）除《招标项目需求》中说明并允许外，招标文件中要求的每一项产品（服务）不是唯一产品（服务）投标的或投标文件与招标文件要求的每一项产品（服务）的采购数量不一致的。</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（14）《政府采购货物和服务招标投标管理办法》（财政部令87号）第37、59、60条规定的无效投标情形。</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（15）其他法定投标无效的情形。</w:t>
      </w:r>
    </w:p>
    <w:p>
      <w:pPr>
        <w:pStyle w:val="34"/>
        <w:spacing w:line="360" w:lineRule="auto"/>
        <w:jc w:val="both"/>
        <w:rPr>
          <w:rFonts w:hint="eastAsia" w:ascii="宋体" w:hAnsi="宋体" w:eastAsia="宋体" w:cs="宋体"/>
          <w:b/>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highlight w:val="none"/>
        </w:rPr>
        <w:t xml:space="preserve">23.4.4 </w:t>
      </w:r>
      <w:r>
        <w:rPr>
          <w:rFonts w:hint="eastAsia" w:ascii="宋体" w:hAnsi="宋体" w:eastAsia="宋体" w:cs="宋体"/>
          <w:color w:val="auto"/>
          <w:highlight w:val="none"/>
        </w:rPr>
        <w:t>评标委员会对确定为实质上响应的投标进行审核，投标文件报价出现前后不一致的，修改错误的原则如下：</w:t>
      </w:r>
    </w:p>
    <w:p>
      <w:pPr>
        <w:pStyle w:val="3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（1）投标文件中开标一览表（报价表）内容与投标文件中相应内容不一致的，以开标一览表（报价表）为准；</w:t>
      </w:r>
    </w:p>
    <w:p>
      <w:pPr>
        <w:pStyle w:val="3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pPr>
        <w:pStyle w:val="3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pPr>
        <w:pStyle w:val="3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（5）同时出现两种以上不一致的，按照前款规定的顺序修正。修正后的报价经投标人确认后产生约束力，投标人不确认的，其投标无效。</w:t>
      </w:r>
    </w:p>
    <w:p>
      <w:pPr>
        <w:pStyle w:val="34"/>
        <w:spacing w:line="360" w:lineRule="auto"/>
        <w:ind w:firstLine="482" w:firstLineChars="200"/>
        <w:jc w:val="both"/>
        <w:rPr>
          <w:rFonts w:hint="eastAsia" w:ascii="宋体" w:hAnsi="宋体" w:eastAsia="宋体" w:cs="宋体"/>
          <w:color w:val="auto"/>
          <w:highlight w:val="none"/>
        </w:rPr>
      </w:pPr>
      <w:r>
        <w:rPr>
          <w:rFonts w:hint="eastAsia" w:ascii="宋体" w:hAnsi="宋体" w:eastAsia="宋体" w:cs="宋体"/>
          <w:b/>
          <w:highlight w:val="none"/>
        </w:rPr>
        <w:t>23.4.5</w:t>
      </w:r>
      <w:r>
        <w:rPr>
          <w:rFonts w:hint="eastAsia" w:ascii="宋体" w:hAnsi="宋体" w:eastAsia="宋体" w:cs="宋体"/>
          <w:color w:val="auto"/>
          <w:highlight w:val="none"/>
        </w:rPr>
        <w:t xml:space="preserve"> 评标委员会将要求投标人按上述修改错误的方法调整投标报价，投标人同意后，调整后的报价对投标人起约束作用。如果投标人不接受修改后的报价，其投标将被拒绝。</w:t>
      </w:r>
    </w:p>
    <w:p>
      <w:pPr>
        <w:pStyle w:val="34"/>
        <w:spacing w:line="360" w:lineRule="auto"/>
        <w:jc w:val="both"/>
        <w:rPr>
          <w:rFonts w:hint="eastAsia" w:ascii="宋体" w:hAnsi="宋体" w:eastAsia="宋体" w:cs="宋体"/>
          <w:color w:val="auto"/>
          <w:highlight w:val="none"/>
        </w:rPr>
      </w:pPr>
      <w:r>
        <w:rPr>
          <w:rFonts w:hint="eastAsia" w:ascii="宋体" w:hAnsi="宋体" w:eastAsia="宋体" w:cs="宋体"/>
          <w:b/>
          <w:highlight w:val="none"/>
        </w:rPr>
        <w:t xml:space="preserve">23.5 </w:t>
      </w:r>
      <w:r>
        <w:rPr>
          <w:rFonts w:hint="eastAsia" w:ascii="宋体" w:hAnsi="宋体" w:eastAsia="宋体" w:cs="宋体"/>
          <w:b/>
          <w:color w:val="auto"/>
          <w:highlight w:val="none"/>
        </w:rPr>
        <w:t xml:space="preserve"> 投标文件的澄清</w:t>
      </w:r>
    </w:p>
    <w:p>
      <w:pPr>
        <w:pStyle w:val="34"/>
        <w:spacing w:line="360" w:lineRule="auto"/>
        <w:ind w:firstLine="482" w:firstLineChars="200"/>
        <w:jc w:val="both"/>
        <w:rPr>
          <w:rFonts w:hint="eastAsia" w:ascii="宋体" w:hAnsi="宋体" w:eastAsia="宋体" w:cs="宋体"/>
          <w:color w:val="auto"/>
          <w:highlight w:val="none"/>
        </w:rPr>
      </w:pPr>
      <w:r>
        <w:rPr>
          <w:rFonts w:hint="eastAsia" w:ascii="宋体" w:hAnsi="宋体" w:eastAsia="宋体" w:cs="宋体"/>
          <w:b/>
          <w:highlight w:val="none"/>
        </w:rPr>
        <w:t>23.5.1</w:t>
      </w:r>
      <w:r>
        <w:rPr>
          <w:rFonts w:hint="eastAsia" w:ascii="宋体" w:hAnsi="宋体" w:eastAsia="宋体" w:cs="宋体"/>
          <w:color w:val="auto"/>
          <w:highlight w:val="none"/>
        </w:rPr>
        <w:t xml:space="preserve">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的要求由投标代表人就相关问题进行澄清。</w:t>
      </w:r>
    </w:p>
    <w:p>
      <w:pPr>
        <w:pStyle w:val="34"/>
        <w:spacing w:line="360" w:lineRule="auto"/>
        <w:ind w:firstLine="482" w:firstLineChars="200"/>
        <w:rPr>
          <w:rFonts w:hint="eastAsia" w:ascii="宋体" w:hAnsi="宋体" w:eastAsia="宋体" w:cs="宋体"/>
          <w:color w:val="auto"/>
          <w:highlight w:val="none"/>
        </w:rPr>
      </w:pPr>
      <w:r>
        <w:rPr>
          <w:rFonts w:hint="eastAsia" w:ascii="宋体" w:hAnsi="宋体" w:eastAsia="宋体" w:cs="宋体"/>
          <w:b/>
          <w:highlight w:val="none"/>
        </w:rPr>
        <w:t>23.5.2</w:t>
      </w:r>
      <w:r>
        <w:rPr>
          <w:rFonts w:hint="eastAsia" w:ascii="宋体" w:hAnsi="宋体" w:eastAsia="宋体" w:cs="宋体"/>
          <w:color w:val="auto"/>
          <w:highlight w:val="none"/>
        </w:rPr>
        <w:t xml:space="preserve"> 投标人澄清、说明、答复或者补充的内容须为投标代表人手写应答，由签字确认。</w:t>
      </w:r>
    </w:p>
    <w:p>
      <w:pPr>
        <w:pStyle w:val="34"/>
        <w:spacing w:line="360" w:lineRule="auto"/>
        <w:ind w:firstLine="482" w:firstLineChars="200"/>
        <w:jc w:val="both"/>
        <w:rPr>
          <w:rFonts w:hint="eastAsia" w:ascii="宋体" w:hAnsi="宋体" w:eastAsia="宋体" w:cs="宋体"/>
          <w:color w:val="auto"/>
          <w:highlight w:val="none"/>
        </w:rPr>
      </w:pPr>
      <w:r>
        <w:rPr>
          <w:rFonts w:hint="eastAsia" w:ascii="宋体" w:hAnsi="宋体" w:eastAsia="宋体" w:cs="宋体"/>
          <w:b/>
          <w:highlight w:val="none"/>
        </w:rPr>
        <w:t>23.5.3</w:t>
      </w:r>
      <w:r>
        <w:rPr>
          <w:rFonts w:hint="eastAsia" w:ascii="宋体" w:hAnsi="宋体" w:eastAsia="宋体" w:cs="宋体"/>
          <w:color w:val="auto"/>
          <w:highlight w:val="none"/>
        </w:rPr>
        <w:t xml:space="preserve"> 投标人的澄清、说明、答复或者补充应在规定的时间内完成，并不得超出投标文件的范围或对投标内容进行实质性的修改。</w:t>
      </w:r>
    </w:p>
    <w:p>
      <w:pPr>
        <w:pStyle w:val="34"/>
        <w:spacing w:line="360" w:lineRule="auto"/>
        <w:ind w:firstLine="482" w:firstLineChars="200"/>
        <w:jc w:val="both"/>
        <w:rPr>
          <w:rFonts w:hint="eastAsia" w:ascii="宋体" w:hAnsi="宋体" w:eastAsia="宋体" w:cs="宋体"/>
          <w:color w:val="auto"/>
          <w:highlight w:val="none"/>
        </w:rPr>
      </w:pPr>
      <w:r>
        <w:rPr>
          <w:rFonts w:hint="eastAsia" w:ascii="宋体" w:hAnsi="宋体" w:eastAsia="宋体" w:cs="宋体"/>
          <w:b/>
          <w:highlight w:val="none"/>
        </w:rPr>
        <w:t xml:space="preserve">23.5.4 </w:t>
      </w:r>
      <w:r>
        <w:rPr>
          <w:rFonts w:hint="eastAsia" w:ascii="宋体" w:hAnsi="宋体" w:eastAsia="宋体" w:cs="宋体"/>
          <w:color w:val="auto"/>
          <w:highlight w:val="none"/>
        </w:rPr>
        <w:t>澄清文件将作为投标文件的一部分，与投标文件具有同等的法律效力。</w:t>
      </w:r>
    </w:p>
    <w:p>
      <w:pPr>
        <w:pStyle w:val="34"/>
        <w:spacing w:line="360" w:lineRule="auto"/>
        <w:jc w:val="both"/>
        <w:rPr>
          <w:rFonts w:hint="eastAsia" w:ascii="宋体" w:hAnsi="宋体" w:eastAsia="宋体" w:cs="宋体"/>
          <w:b/>
          <w:color w:val="auto"/>
          <w:highlight w:val="none"/>
        </w:rPr>
      </w:pPr>
      <w:r>
        <w:rPr>
          <w:rFonts w:hint="eastAsia" w:ascii="宋体" w:hAnsi="宋体" w:eastAsia="宋体" w:cs="宋体"/>
          <w:b/>
          <w:highlight w:val="none"/>
        </w:rPr>
        <w:t xml:space="preserve">23.6 </w:t>
      </w:r>
      <w:r>
        <w:rPr>
          <w:rFonts w:hint="eastAsia" w:ascii="宋体" w:hAnsi="宋体" w:eastAsia="宋体" w:cs="宋体"/>
          <w:b/>
          <w:color w:val="auto"/>
          <w:highlight w:val="none"/>
        </w:rPr>
        <w:t xml:space="preserve"> 投标的评估和比较</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评标委员会将根据招标文件确定的评标原则和评标方法对确定为实质上响应招标文件要求的投标进行评估和比较。</w:t>
      </w:r>
    </w:p>
    <w:p>
      <w:pPr>
        <w:pStyle w:val="34"/>
        <w:spacing w:line="360" w:lineRule="auto"/>
        <w:jc w:val="both"/>
        <w:rPr>
          <w:rFonts w:hint="eastAsia" w:ascii="宋体" w:hAnsi="宋体" w:eastAsia="宋体" w:cs="宋体"/>
          <w:b/>
          <w:color w:val="auto"/>
          <w:highlight w:val="none"/>
        </w:rPr>
      </w:pPr>
      <w:r>
        <w:rPr>
          <w:rFonts w:hint="eastAsia" w:ascii="宋体" w:hAnsi="宋体" w:eastAsia="宋体" w:cs="宋体"/>
          <w:b/>
          <w:highlight w:val="none"/>
        </w:rPr>
        <w:t xml:space="preserve">23.7  </w:t>
      </w:r>
      <w:r>
        <w:rPr>
          <w:rFonts w:hint="eastAsia" w:ascii="宋体" w:hAnsi="宋体" w:eastAsia="宋体" w:cs="宋体"/>
          <w:b/>
          <w:color w:val="auto"/>
          <w:highlight w:val="none"/>
        </w:rPr>
        <w:t>评标原则和评标方法</w:t>
      </w:r>
    </w:p>
    <w:p>
      <w:pPr>
        <w:pStyle w:val="34"/>
        <w:spacing w:line="360" w:lineRule="auto"/>
        <w:ind w:firstLine="482" w:firstLineChars="200"/>
        <w:jc w:val="both"/>
        <w:rPr>
          <w:rFonts w:hint="eastAsia" w:ascii="宋体" w:hAnsi="宋体" w:eastAsia="宋体" w:cs="宋体"/>
          <w:color w:val="auto"/>
          <w:highlight w:val="none"/>
        </w:rPr>
      </w:pPr>
      <w:r>
        <w:rPr>
          <w:rFonts w:hint="eastAsia" w:ascii="宋体" w:hAnsi="宋体" w:eastAsia="宋体" w:cs="宋体"/>
          <w:b/>
          <w:highlight w:val="none"/>
        </w:rPr>
        <w:t>23.7.1</w:t>
      </w:r>
      <w:r>
        <w:rPr>
          <w:rFonts w:hint="eastAsia" w:ascii="宋体" w:hAnsi="宋体" w:eastAsia="宋体" w:cs="宋体"/>
          <w:color w:val="auto"/>
          <w:highlight w:val="none"/>
        </w:rPr>
        <w:t xml:space="preserve"> 评标原则</w:t>
      </w:r>
    </w:p>
    <w:p>
      <w:pPr>
        <w:pStyle w:val="3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（1）评标委员会应当按照客观、公正、审慎的原则，根据招标文件规定的评审程序、评审方法和评审标准进行独立评审。</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评标委员会发现招标文件存在歧义、重大缺陷导致评标工作无法进行，或者招标文件内容违反国家有关强制性规定的，应当停止评标工作，与采购人或者集采代理机构沟通并作书面记录。采购人或者集采代理机构确认后，应当修改招标文件，重新组织采购活动。</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（3）对招标文件中描述有歧义或前后不一致的地方，但不影响项目评审的，评标委员会有权进行评判，但对同一条款的评判应适用于每个投标人。</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4"/>
        <w:spacing w:line="360" w:lineRule="auto"/>
        <w:ind w:firstLine="482" w:firstLineChars="200"/>
        <w:jc w:val="both"/>
        <w:rPr>
          <w:rFonts w:hint="eastAsia" w:ascii="宋体" w:hAnsi="宋体" w:eastAsia="宋体" w:cs="宋体"/>
          <w:color w:val="auto"/>
          <w:highlight w:val="none"/>
        </w:rPr>
      </w:pPr>
      <w:r>
        <w:rPr>
          <w:rFonts w:hint="eastAsia" w:ascii="宋体" w:hAnsi="宋体" w:eastAsia="宋体" w:cs="宋体"/>
          <w:b/>
          <w:highlight w:val="none"/>
        </w:rPr>
        <w:t>23.7.2</w:t>
      </w:r>
      <w:r>
        <w:rPr>
          <w:rFonts w:hint="eastAsia" w:ascii="宋体" w:hAnsi="宋体" w:eastAsia="宋体" w:cs="宋体"/>
          <w:color w:val="auto"/>
          <w:highlight w:val="none"/>
        </w:rPr>
        <w:t xml:space="preserve"> 评标方法</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（3）按照《关于调整优化节能产品、环境标志产品政府采购执行机制的通知》（财库〔2019〕9号）文件要求，对政府采购节能、环境标志品目清单内的产品实施优先采购和强制采购的评标方法。</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（4）评标委员会审查产品资质或检测报告等相关文件符合性时，应综合考虑行业特点、交易习惯、采购需求最本质原义等情况，而不应以投标文件中产品名称与招标文件产品名称是否一致作为审查的标准。</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5）中标候选供应商产生办法：按得分由高到低顺序确定中标候选供应商；得分相同的，按投标报价由低到高顺序确定中标候选供应商；得分且投标报价相同的，按技术指标优劣顺序确定中标候选供应商。采购人或评标委员会经采购人授权后按中标候选供应商顺序确定中标供应商。</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（6）根据《政府采购货物和服务招标投标管理办法》（财政部令第87号）第43条规定，如评审现场经财政部门批准本项目转为其他采购方式的，按相应采购方式程序执行。</w:t>
      </w:r>
    </w:p>
    <w:p>
      <w:pPr>
        <w:pStyle w:val="34"/>
        <w:snapToGrid w:val="0"/>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对于非专门面向中小微企业、监狱企业、残疾人福利性单位采购的项目，依照《政府采购促进中小企业发展暂行办法》的规定，凡符合要求的有效投标人，按照以下比例给予相应的价格扣除：</w:t>
      </w:r>
    </w:p>
    <w:tbl>
      <w:tblPr>
        <w:tblStyle w:val="2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699"/>
        <w:gridCol w:w="2759"/>
        <w:gridCol w:w="3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noWrap w:val="0"/>
            <w:vAlign w:val="center"/>
          </w:tcPr>
          <w:p>
            <w:pPr>
              <w:snapToGrid w:val="0"/>
              <w:spacing w:line="360" w:lineRule="auto"/>
              <w:jc w:val="center"/>
              <w:textAlignment w:val="auto"/>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序号</w:t>
            </w:r>
          </w:p>
        </w:tc>
        <w:tc>
          <w:tcPr>
            <w:tcW w:w="2699" w:type="dxa"/>
            <w:noWrap w:val="0"/>
            <w:vAlign w:val="center"/>
          </w:tcPr>
          <w:p>
            <w:pPr>
              <w:snapToGrid w:val="0"/>
              <w:spacing w:line="360" w:lineRule="auto"/>
              <w:jc w:val="center"/>
              <w:textAlignment w:val="auto"/>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情形</w:t>
            </w:r>
          </w:p>
        </w:tc>
        <w:tc>
          <w:tcPr>
            <w:tcW w:w="2759" w:type="dxa"/>
            <w:noWrap w:val="0"/>
            <w:vAlign w:val="center"/>
          </w:tcPr>
          <w:p>
            <w:pPr>
              <w:snapToGrid w:val="0"/>
              <w:spacing w:line="360" w:lineRule="auto"/>
              <w:jc w:val="center"/>
              <w:textAlignment w:val="auto"/>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价格扣除</w:t>
            </w:r>
            <w:r>
              <w:rPr>
                <w:rFonts w:hint="eastAsia" w:ascii="宋体" w:hAnsi="宋体" w:eastAsia="宋体" w:cs="宋体"/>
                <w:sz w:val="24"/>
                <w:szCs w:val="24"/>
                <w:highlight w:val="none"/>
                <w:lang w:val="en-GB"/>
              </w:rPr>
              <w:t>比例</w:t>
            </w:r>
          </w:p>
        </w:tc>
        <w:tc>
          <w:tcPr>
            <w:tcW w:w="3181" w:type="dxa"/>
            <w:noWrap w:val="0"/>
            <w:vAlign w:val="center"/>
          </w:tcPr>
          <w:p>
            <w:pPr>
              <w:snapToGrid w:val="0"/>
              <w:spacing w:line="360" w:lineRule="auto"/>
              <w:jc w:val="center"/>
              <w:textAlignment w:val="auto"/>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43" w:type="dxa"/>
            <w:noWrap w:val="0"/>
            <w:vAlign w:val="center"/>
          </w:tcPr>
          <w:p>
            <w:pPr>
              <w:snapToGrid w:val="0"/>
              <w:spacing w:line="360" w:lineRule="auto"/>
              <w:jc w:val="center"/>
              <w:textAlignment w:val="auto"/>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w:t>
            </w:r>
          </w:p>
        </w:tc>
        <w:tc>
          <w:tcPr>
            <w:tcW w:w="2699" w:type="dxa"/>
            <w:noWrap w:val="0"/>
            <w:vAlign w:val="center"/>
          </w:tcPr>
          <w:p>
            <w:pPr>
              <w:snapToGrid w:val="0"/>
              <w:spacing w:line="360" w:lineRule="auto"/>
              <w:jc w:val="center"/>
              <w:textAlignment w:val="auto"/>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非联合体供应商</w:t>
            </w:r>
          </w:p>
          <w:p>
            <w:pPr>
              <w:snapToGrid w:val="0"/>
              <w:spacing w:line="360" w:lineRule="auto"/>
              <w:jc w:val="center"/>
              <w:textAlignment w:val="auto"/>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（供应商须为小微企业、监狱企业、残疾人福利性单位）</w:t>
            </w:r>
          </w:p>
        </w:tc>
        <w:tc>
          <w:tcPr>
            <w:tcW w:w="2759" w:type="dxa"/>
            <w:noWrap w:val="0"/>
            <w:vAlign w:val="center"/>
          </w:tcPr>
          <w:p>
            <w:pPr>
              <w:snapToGrid w:val="0"/>
              <w:spacing w:line="360" w:lineRule="auto"/>
              <w:jc w:val="center"/>
              <w:textAlignment w:val="auto"/>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对小型、微型企业和残疾人福利性单位产品的价格扣除</w:t>
            </w:r>
            <w:r>
              <w:rPr>
                <w:rFonts w:hint="eastAsia" w:ascii="宋体" w:hAnsi="宋体" w:cs="宋体"/>
                <w:sz w:val="24"/>
                <w:szCs w:val="24"/>
                <w:highlight w:val="none"/>
                <w:u w:val="single"/>
                <w:lang w:val="en-US" w:eastAsia="zh-CN"/>
              </w:rPr>
              <w:t>20</w:t>
            </w:r>
            <w:r>
              <w:rPr>
                <w:rFonts w:hint="eastAsia" w:ascii="宋体" w:hAnsi="宋体" w:eastAsia="宋体" w:cs="宋体"/>
                <w:sz w:val="24"/>
                <w:szCs w:val="24"/>
                <w:highlight w:val="none"/>
              </w:rPr>
              <w:t>%</w:t>
            </w:r>
          </w:p>
        </w:tc>
        <w:tc>
          <w:tcPr>
            <w:tcW w:w="3181" w:type="dxa"/>
            <w:vMerge w:val="restart"/>
            <w:noWrap w:val="0"/>
            <w:vAlign w:val="center"/>
          </w:tcPr>
          <w:p>
            <w:pPr>
              <w:snapToGrid w:val="0"/>
              <w:spacing w:line="360" w:lineRule="auto"/>
              <w:jc w:val="center"/>
              <w:textAlignment w:val="auto"/>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评标价＝总投标报价—</w:t>
            </w:r>
            <w:r>
              <w:rPr>
                <w:rFonts w:hint="eastAsia" w:ascii="宋体" w:hAnsi="宋体" w:eastAsia="宋体" w:cs="宋体"/>
                <w:sz w:val="24"/>
                <w:szCs w:val="24"/>
                <w:highlight w:val="none"/>
              </w:rPr>
              <w:t>小型、微型企业和残疾人福利性单位产品的价格</w:t>
            </w:r>
            <w:r>
              <w:rPr>
                <w:rFonts w:hint="eastAsia" w:ascii="宋体" w:hAnsi="宋体" w:eastAsia="宋体" w:cs="宋体"/>
                <w:sz w:val="24"/>
                <w:szCs w:val="24"/>
                <w:highlight w:val="none"/>
                <w:lang w:val="en-GB"/>
              </w:rPr>
              <w:t>×</w:t>
            </w:r>
            <w:r>
              <w:rPr>
                <w:rFonts w:hint="eastAsia" w:ascii="宋体" w:hAnsi="宋体" w:cs="宋体"/>
                <w:sz w:val="24"/>
                <w:szCs w:val="24"/>
                <w:highlight w:val="none"/>
                <w:u w:val="single"/>
                <w:lang w:val="en-US" w:eastAsia="zh-CN"/>
              </w:rPr>
              <w:t>20</w:t>
            </w:r>
            <w:r>
              <w:rPr>
                <w:rFonts w:hint="eastAsia" w:ascii="宋体" w:hAnsi="宋体" w:eastAsia="宋体" w:cs="宋体"/>
                <w:sz w:val="24"/>
                <w:szCs w:val="24"/>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43" w:type="dxa"/>
            <w:noWrap w:val="0"/>
            <w:vAlign w:val="center"/>
          </w:tcPr>
          <w:p>
            <w:pPr>
              <w:snapToGrid w:val="0"/>
              <w:spacing w:line="360" w:lineRule="auto"/>
              <w:jc w:val="center"/>
              <w:textAlignment w:val="auto"/>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2</w:t>
            </w:r>
          </w:p>
        </w:tc>
        <w:tc>
          <w:tcPr>
            <w:tcW w:w="2699" w:type="dxa"/>
            <w:noWrap w:val="0"/>
            <w:vAlign w:val="center"/>
          </w:tcPr>
          <w:p>
            <w:pPr>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GB"/>
              </w:rPr>
              <w:t>联合体各方均为小微企业、监狱企业、残疾人福利性单位</w:t>
            </w:r>
          </w:p>
        </w:tc>
        <w:tc>
          <w:tcPr>
            <w:tcW w:w="2759" w:type="dxa"/>
            <w:noWrap w:val="0"/>
            <w:vAlign w:val="center"/>
          </w:tcPr>
          <w:p>
            <w:pPr>
              <w:snapToGrid w:val="0"/>
              <w:spacing w:line="36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对小型、微型企业和残疾人福利性单位产品的价格扣除</w:t>
            </w:r>
            <w:r>
              <w:rPr>
                <w:rFonts w:hint="eastAsia" w:ascii="宋体" w:hAnsi="宋体" w:cs="宋体"/>
                <w:sz w:val="24"/>
                <w:szCs w:val="24"/>
                <w:highlight w:val="none"/>
                <w:u w:val="single"/>
                <w:lang w:val="en-US" w:eastAsia="zh-CN"/>
              </w:rPr>
              <w:t>20</w:t>
            </w:r>
            <w:r>
              <w:rPr>
                <w:rFonts w:hint="eastAsia" w:ascii="宋体" w:hAnsi="宋体" w:eastAsia="宋体" w:cs="宋体"/>
                <w:sz w:val="24"/>
                <w:szCs w:val="24"/>
                <w:highlight w:val="none"/>
              </w:rPr>
              <w:t>%</w:t>
            </w:r>
          </w:p>
          <w:p>
            <w:pPr>
              <w:snapToGrid w:val="0"/>
              <w:spacing w:line="360" w:lineRule="auto"/>
              <w:jc w:val="center"/>
              <w:textAlignment w:val="auto"/>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（不再享受序号3的价格折扣）</w:t>
            </w:r>
          </w:p>
        </w:tc>
        <w:tc>
          <w:tcPr>
            <w:tcW w:w="3181" w:type="dxa"/>
            <w:vMerge w:val="continue"/>
            <w:noWrap w:val="0"/>
            <w:vAlign w:val="top"/>
          </w:tcPr>
          <w:p>
            <w:pPr>
              <w:snapToGrid w:val="0"/>
              <w:spacing w:line="360" w:lineRule="auto"/>
              <w:jc w:val="center"/>
              <w:textAlignment w:val="auto"/>
              <w:rPr>
                <w:rFonts w:hint="eastAsia" w:ascii="宋体" w:hAnsi="宋体" w:eastAsia="宋体" w:cs="宋体"/>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43" w:type="dxa"/>
            <w:noWrap w:val="0"/>
            <w:vAlign w:val="center"/>
          </w:tcPr>
          <w:p>
            <w:pPr>
              <w:snapToGrid w:val="0"/>
              <w:spacing w:line="360" w:lineRule="auto"/>
              <w:jc w:val="center"/>
              <w:textAlignment w:val="auto"/>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3</w:t>
            </w:r>
          </w:p>
        </w:tc>
        <w:tc>
          <w:tcPr>
            <w:tcW w:w="2699" w:type="dxa"/>
            <w:noWrap w:val="0"/>
            <w:vAlign w:val="center"/>
          </w:tcPr>
          <w:p>
            <w:pPr>
              <w:snapToGrid w:val="0"/>
              <w:spacing w:line="360" w:lineRule="auto"/>
              <w:jc w:val="center"/>
              <w:textAlignment w:val="auto"/>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联合体一方为小微企业、监狱企业、残疾人福利性单位且小微企业、监狱企业、残疾人福利性单位协议合同金额占联合体协议合同总金额30%以上的</w:t>
            </w:r>
          </w:p>
        </w:tc>
        <w:tc>
          <w:tcPr>
            <w:tcW w:w="2759" w:type="dxa"/>
            <w:noWrap w:val="0"/>
            <w:vAlign w:val="center"/>
          </w:tcPr>
          <w:p>
            <w:pPr>
              <w:snapToGrid w:val="0"/>
              <w:spacing w:line="360" w:lineRule="auto"/>
              <w:jc w:val="center"/>
              <w:textAlignment w:val="auto"/>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对联合体总金额扣除</w:t>
            </w:r>
            <w:r>
              <w:rPr>
                <w:rFonts w:hint="eastAsia" w:ascii="宋体" w:hAnsi="宋体" w:cs="宋体"/>
                <w:sz w:val="24"/>
                <w:szCs w:val="24"/>
                <w:highlight w:val="none"/>
                <w:u w:val="single"/>
                <w:lang w:val="en-US" w:eastAsia="zh-CN"/>
              </w:rPr>
              <w:t>6</w:t>
            </w:r>
            <w:r>
              <w:rPr>
                <w:rFonts w:hint="eastAsia" w:ascii="宋体" w:hAnsi="宋体" w:eastAsia="宋体" w:cs="宋体"/>
                <w:sz w:val="24"/>
                <w:szCs w:val="24"/>
                <w:highlight w:val="none"/>
              </w:rPr>
              <w:t>%</w:t>
            </w:r>
          </w:p>
        </w:tc>
        <w:tc>
          <w:tcPr>
            <w:tcW w:w="3181" w:type="dxa"/>
            <w:noWrap w:val="0"/>
            <w:vAlign w:val="center"/>
          </w:tcPr>
          <w:p>
            <w:pPr>
              <w:snapToGrid w:val="0"/>
              <w:spacing w:line="360" w:lineRule="auto"/>
              <w:jc w:val="center"/>
              <w:textAlignment w:val="auto"/>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评标价＝总投标报价×</w:t>
            </w:r>
            <w:r>
              <w:rPr>
                <w:rFonts w:hint="eastAsia" w:ascii="宋体" w:hAnsi="宋体" w:eastAsia="宋体" w:cs="宋体"/>
                <w:sz w:val="24"/>
                <w:szCs w:val="24"/>
                <w:highlight w:val="none"/>
              </w:rPr>
              <w:t>(1-</w:t>
            </w:r>
            <w:r>
              <w:rPr>
                <w:rFonts w:hint="eastAsia" w:ascii="宋体" w:hAnsi="宋体" w:cs="宋体"/>
                <w:sz w:val="24"/>
                <w:szCs w:val="24"/>
                <w:highlight w:val="none"/>
                <w:u w:val="single"/>
                <w:lang w:val="en-US" w:eastAsia="zh-CN"/>
              </w:rPr>
              <w:t>6</w:t>
            </w:r>
            <w:r>
              <w:rPr>
                <w:rFonts w:hint="eastAsia" w:ascii="宋体" w:hAnsi="宋体" w:eastAsia="宋体" w:cs="宋体"/>
                <w:sz w:val="24"/>
                <w:szCs w:val="24"/>
                <w:highlight w:val="none"/>
                <w:u w:val="single"/>
              </w:rPr>
              <w:t>%)</w:t>
            </w:r>
          </w:p>
        </w:tc>
      </w:tr>
    </w:tbl>
    <w:p>
      <w:pPr>
        <w:pStyle w:val="34"/>
        <w:numPr>
          <w:ilvl w:val="0"/>
          <w:numId w:val="5"/>
        </w:numPr>
        <w:snapToGrid w:val="0"/>
        <w:spacing w:line="360" w:lineRule="auto"/>
        <w:ind w:firstLine="480" w:firstLineChars="200"/>
        <w:jc w:val="both"/>
        <w:rPr>
          <w:rFonts w:hint="eastAsia" w:ascii="宋体" w:hAnsi="宋体" w:eastAsia="宋体" w:cs="宋体"/>
          <w:highlight w:val="none"/>
        </w:rPr>
      </w:pPr>
      <w:r>
        <w:rPr>
          <w:rFonts w:hint="eastAsia" w:ascii="宋体" w:hAnsi="宋体" w:eastAsia="宋体" w:cs="宋体"/>
          <w:highlight w:val="none"/>
        </w:rPr>
        <w:t>对于专门面向中小微企业、监狱企业、残疾人福利性单位采购的项目商务价格不给予</w:t>
      </w:r>
      <w:r>
        <w:rPr>
          <w:rFonts w:hint="eastAsia" w:ascii="宋体" w:hAnsi="宋体" w:eastAsia="宋体" w:cs="宋体"/>
          <w:highlight w:val="none"/>
          <w:lang w:val="en-US" w:eastAsia="zh-CN"/>
        </w:rPr>
        <w:t>20</w:t>
      </w:r>
      <w:r>
        <w:rPr>
          <w:rFonts w:hint="eastAsia" w:ascii="宋体" w:hAnsi="宋体" w:eastAsia="宋体" w:cs="宋体"/>
          <w:highlight w:val="none"/>
        </w:rPr>
        <w:t>%的扣除。</w:t>
      </w:r>
    </w:p>
    <w:p>
      <w:pPr>
        <w:pStyle w:val="34"/>
        <w:numPr>
          <w:ilvl w:val="0"/>
          <w:numId w:val="5"/>
        </w:numPr>
        <w:snapToGrid w:val="0"/>
        <w:spacing w:line="360" w:lineRule="auto"/>
        <w:ind w:firstLine="480" w:firstLineChars="200"/>
        <w:jc w:val="both"/>
        <w:rPr>
          <w:rFonts w:hint="eastAsia" w:ascii="宋体" w:hAnsi="宋体" w:eastAsia="宋体" w:cs="宋体"/>
          <w:highlight w:val="none"/>
        </w:rPr>
      </w:pPr>
      <w:r>
        <w:rPr>
          <w:rFonts w:hint="eastAsia"/>
          <w:sz w:val="24"/>
          <w:szCs w:val="24"/>
          <w:highlight w:val="none"/>
        </w:rPr>
        <w:t>评标委员会对于小微企业/监狱企业/残疾人福利性单位的价格扣除，审核投标人填写的《政府采购政策情况表》</w:t>
      </w:r>
    </w:p>
    <w:p>
      <w:pPr>
        <w:pStyle w:val="34"/>
        <w:spacing w:line="360" w:lineRule="auto"/>
        <w:jc w:val="both"/>
        <w:rPr>
          <w:rFonts w:hint="eastAsia" w:ascii="宋体" w:hAnsi="宋体" w:eastAsia="宋体" w:cs="宋体"/>
          <w:b/>
          <w:color w:val="auto"/>
          <w:highlight w:val="none"/>
        </w:rPr>
      </w:pPr>
      <w:r>
        <w:rPr>
          <w:rFonts w:hint="eastAsia" w:ascii="宋体" w:hAnsi="宋体" w:eastAsia="宋体" w:cs="宋体"/>
          <w:b/>
          <w:color w:val="auto"/>
          <w:highlight w:val="none"/>
        </w:rPr>
        <w:t>24. 其他注意事项</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24.1 在开标、投标期间，投标人不得向评标委员会成员或采购代理机构询问评标情况、施加任何影响，不得进行旨在影响评标结果的活动。</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24.2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pPr>
        <w:pStyle w:val="3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24.3 本项目不接受赠品、回扣或者与采购无关的其他商品、服务。</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24.4 不同投标人所投产品均为同一品牌或任一核心产品为同一品牌时，按以下原则处理：</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采用最低评标价法的采购项目，提供相同品牌产品的不同投标人参加同一合同项下投标的，以其中通过资格审查、符合性审查且报价最低的参加评标；报价相同的，由采购人自行选取一个投标人参加评标，其他投标无效。</w:t>
      </w:r>
    </w:p>
    <w:p>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采用综合评分法的采购项目，提供相同品牌产品且通过资格审查、符合性审查的不同投标人参加同一合同项下投标的，按一家投标人计算，评审后得分最高的同品牌投标人获得中标人推荐资格；评审得分相同的，由采购人自行选取一个投标人获得中标人推荐资格，其他同品牌投标人不作为中标候选人。</w:t>
      </w:r>
    </w:p>
    <w:p>
      <w:pPr>
        <w:pStyle w:val="4"/>
        <w:spacing w:before="0" w:after="0"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六、</w:t>
      </w:r>
      <w:bookmarkEnd w:id="37"/>
      <w:bookmarkEnd w:id="38"/>
      <w:r>
        <w:rPr>
          <w:rFonts w:hint="eastAsia" w:ascii="宋体" w:hAnsi="宋体" w:eastAsia="宋体" w:cs="宋体"/>
          <w:sz w:val="24"/>
          <w:szCs w:val="24"/>
          <w:highlight w:val="none"/>
        </w:rPr>
        <w:t>授予合同</w:t>
      </w:r>
    </w:p>
    <w:p>
      <w:pPr>
        <w:spacing w:line="360" w:lineRule="auto"/>
        <w:ind w:firstLine="450"/>
        <w:jc w:val="center"/>
        <w:rPr>
          <w:rFonts w:hint="eastAsia" w:ascii="宋体" w:hAnsi="宋体" w:eastAsia="宋体" w:cs="宋体"/>
          <w:b/>
          <w:bCs/>
          <w:sz w:val="24"/>
          <w:highlight w:val="none"/>
        </w:rPr>
      </w:pPr>
    </w:p>
    <w:p>
      <w:pPr>
        <w:spacing w:line="360" w:lineRule="auto"/>
        <w:rPr>
          <w:rFonts w:hint="eastAsia" w:ascii="宋体" w:hAnsi="宋体" w:eastAsia="宋体" w:cs="宋体"/>
          <w:b/>
          <w:sz w:val="24"/>
          <w:szCs w:val="24"/>
          <w:highlight w:val="none"/>
        </w:rPr>
      </w:pPr>
      <w:r>
        <w:rPr>
          <w:rFonts w:hint="eastAsia" w:ascii="宋体" w:hAnsi="宋体" w:eastAsia="宋体" w:cs="宋体"/>
          <w:b/>
          <w:sz w:val="24"/>
          <w:highlight w:val="none"/>
        </w:rPr>
        <w:t>26.1.</w:t>
      </w:r>
      <w:r>
        <w:rPr>
          <w:rFonts w:hint="eastAsia" w:ascii="宋体" w:hAnsi="宋体" w:eastAsia="宋体" w:cs="宋体"/>
          <w:b/>
          <w:sz w:val="24"/>
          <w:szCs w:val="24"/>
          <w:highlight w:val="none"/>
        </w:rPr>
        <w:t xml:space="preserve"> 中标供应商的产生</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highlight w:val="none"/>
        </w:rPr>
        <w:t>26.1.1</w:t>
      </w:r>
      <w:r>
        <w:rPr>
          <w:rFonts w:hint="eastAsia" w:ascii="宋体" w:hAnsi="宋体" w:eastAsia="宋体" w:cs="宋体"/>
          <w:sz w:val="24"/>
          <w:szCs w:val="24"/>
          <w:highlight w:val="none"/>
        </w:rPr>
        <w:t>采购人可以事先授权评标委员会直接确定中标供应商。</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26.1.2</w:t>
      </w:r>
      <w:r>
        <w:rPr>
          <w:rFonts w:hint="eastAsia" w:ascii="宋体" w:hAnsi="宋体" w:eastAsia="宋体" w:cs="宋体"/>
          <w:sz w:val="24"/>
          <w:szCs w:val="24"/>
          <w:highlight w:val="none"/>
        </w:rPr>
        <w:t>采购人也可以按照《政府采购法》及其实施条例等法律法规的规定和招标文件的要求确认中标供应商。</w:t>
      </w:r>
    </w:p>
    <w:p>
      <w:pPr>
        <w:spacing w:line="360" w:lineRule="auto"/>
        <w:rPr>
          <w:rFonts w:hint="eastAsia" w:ascii="宋体" w:hAnsi="宋体" w:eastAsia="宋体" w:cs="宋体"/>
          <w:b/>
          <w:sz w:val="24"/>
          <w:highlight w:val="none"/>
        </w:rPr>
      </w:pPr>
      <w:r>
        <w:rPr>
          <w:rFonts w:hint="eastAsia" w:ascii="宋体" w:hAnsi="宋体" w:eastAsia="宋体" w:cs="宋体"/>
          <w:b/>
          <w:sz w:val="24"/>
          <w:highlight w:val="none"/>
        </w:rPr>
        <w:t xml:space="preserve">26.2 </w:t>
      </w:r>
      <w:r>
        <w:rPr>
          <w:rFonts w:hint="eastAsia" w:ascii="宋体" w:hAnsi="宋体" w:eastAsia="宋体" w:cs="宋体"/>
          <w:b/>
          <w:sz w:val="24"/>
          <w:szCs w:val="24"/>
          <w:highlight w:val="none"/>
        </w:rPr>
        <w:t>中标通知</w:t>
      </w:r>
    </w:p>
    <w:p>
      <w:pPr>
        <w:pStyle w:val="34"/>
        <w:spacing w:line="360" w:lineRule="auto"/>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26.2.1中标公告发布同时，集采代理机构将以书面形式向中标人发出中标通知书。《中标通知书》一经发出即发生法律效力。</w:t>
      </w:r>
    </w:p>
    <w:p>
      <w:pPr>
        <w:autoSpaceDE w:val="0"/>
        <w:autoSpaceDN w:val="0"/>
        <w:adjustRightInd w:val="0"/>
        <w:spacing w:line="360" w:lineRule="auto"/>
        <w:rPr>
          <w:rFonts w:hint="eastAsia" w:ascii="宋体" w:hAnsi="宋体" w:eastAsia="宋体" w:cs="宋体"/>
          <w:highlight w:val="none"/>
        </w:rPr>
      </w:pPr>
      <w:r>
        <w:rPr>
          <w:rFonts w:hint="eastAsia" w:ascii="宋体" w:hAnsi="宋体" w:eastAsia="宋体" w:cs="宋体"/>
          <w:b/>
          <w:sz w:val="24"/>
          <w:highlight w:val="none"/>
        </w:rPr>
        <w:t xml:space="preserve">26.3 </w:t>
      </w:r>
      <w:r>
        <w:rPr>
          <w:rFonts w:hint="eastAsia" w:ascii="宋体" w:hAnsi="宋体" w:eastAsia="宋体" w:cs="宋体"/>
          <w:b/>
          <w:sz w:val="24"/>
          <w:szCs w:val="24"/>
          <w:highlight w:val="none"/>
        </w:rPr>
        <w:t>签订合同</w:t>
      </w:r>
    </w:p>
    <w:p>
      <w:pPr>
        <w:pStyle w:val="34"/>
        <w:spacing w:line="360" w:lineRule="auto"/>
        <w:ind w:firstLine="482" w:firstLineChars="200"/>
        <w:jc w:val="both"/>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 xml:space="preserve">26.3.1 </w:t>
      </w:r>
      <w:r>
        <w:rPr>
          <w:rFonts w:hint="eastAsia" w:ascii="宋体" w:hAnsi="宋体" w:eastAsia="宋体" w:cs="宋体"/>
          <w:color w:val="000000" w:themeColor="text1"/>
          <w:highlight w:val="none"/>
          <w14:textFill>
            <w14:solidFill>
              <w14:schemeClr w14:val="tx1"/>
            </w14:solidFill>
          </w14:textFill>
        </w:rPr>
        <w:t>采购人与中标供应商应当在中标通知书发出之日起三十日内，按照招标文件确定的事项签订政府采购合同。</w:t>
      </w:r>
    </w:p>
    <w:p>
      <w:pPr>
        <w:pStyle w:val="34"/>
        <w:spacing w:line="360" w:lineRule="auto"/>
        <w:ind w:firstLine="482" w:firstLineChars="200"/>
        <w:jc w:val="both"/>
        <w:rPr>
          <w:rFonts w:hint="eastAsia" w:ascii="宋体" w:hAnsi="宋体" w:eastAsia="宋体" w:cs="宋体"/>
          <w:color w:val="auto"/>
          <w:highlight w:val="none"/>
        </w:rPr>
      </w:pPr>
      <w:r>
        <w:rPr>
          <w:rFonts w:hint="eastAsia" w:ascii="宋体" w:hAnsi="宋体" w:eastAsia="宋体" w:cs="宋体"/>
          <w:b/>
          <w:highlight w:val="none"/>
        </w:rPr>
        <w:t xml:space="preserve">26.3.2  </w:t>
      </w:r>
      <w:r>
        <w:rPr>
          <w:rFonts w:hint="eastAsia" w:ascii="宋体" w:hAnsi="宋体" w:eastAsia="宋体" w:cs="宋体"/>
          <w:color w:val="auto"/>
          <w:highlight w:val="none"/>
        </w:rPr>
        <w:t>招标文件、中标供应商的投标文件及其澄清文件等，均为签订合同的依据，且为合同的组成部分。</w:t>
      </w:r>
    </w:p>
    <w:p>
      <w:pPr>
        <w:pStyle w:val="34"/>
        <w:spacing w:line="360" w:lineRule="auto"/>
        <w:jc w:val="both"/>
        <w:rPr>
          <w:rFonts w:hint="eastAsia" w:ascii="宋体" w:hAnsi="宋体" w:eastAsia="宋体" w:cs="宋体"/>
          <w:b/>
          <w:color w:val="auto"/>
          <w:highlight w:val="none"/>
        </w:rPr>
      </w:pPr>
      <w:r>
        <w:rPr>
          <w:rFonts w:hint="eastAsia" w:ascii="宋体" w:hAnsi="宋体" w:eastAsia="宋体" w:cs="宋体"/>
          <w:b/>
          <w:highlight w:val="none"/>
        </w:rPr>
        <w:t>26.4</w:t>
      </w:r>
      <w:bookmarkStart w:id="39" w:name="_Toc149723965"/>
      <w:bookmarkStart w:id="40" w:name="_Toc148434316"/>
      <w:r>
        <w:rPr>
          <w:rFonts w:hint="eastAsia" w:ascii="宋体" w:hAnsi="宋体" w:eastAsia="宋体" w:cs="宋体"/>
          <w:b/>
          <w:color w:val="auto"/>
          <w:highlight w:val="none"/>
        </w:rPr>
        <w:t xml:space="preserve"> 履约保证金</w:t>
      </w:r>
    </w:p>
    <w:p>
      <w:pPr>
        <w:pStyle w:val="34"/>
        <w:spacing w:line="360" w:lineRule="auto"/>
        <w:ind w:firstLine="482" w:firstLineChars="200"/>
        <w:jc w:val="both"/>
        <w:rPr>
          <w:rFonts w:hint="eastAsia" w:ascii="宋体" w:hAnsi="宋体" w:eastAsia="宋体" w:cs="宋体"/>
          <w:color w:val="auto"/>
          <w:highlight w:val="none"/>
        </w:rPr>
      </w:pPr>
      <w:r>
        <w:rPr>
          <w:rFonts w:hint="eastAsia" w:ascii="宋体" w:hAnsi="宋体" w:eastAsia="宋体" w:cs="宋体"/>
          <w:b/>
          <w:color w:val="000000" w:themeColor="text1"/>
          <w:highlight w:val="none"/>
          <w14:textFill>
            <w14:solidFill>
              <w14:schemeClr w14:val="tx1"/>
            </w14:solidFill>
          </w14:textFill>
        </w:rPr>
        <w:t>26.4.1</w:t>
      </w:r>
      <w:r>
        <w:rPr>
          <w:rFonts w:hint="eastAsia" w:ascii="宋体" w:hAnsi="宋体" w:eastAsia="宋体" w:cs="宋体"/>
          <w:b/>
          <w:color w:val="FF0000"/>
          <w:highlight w:val="none"/>
        </w:rPr>
        <w:t xml:space="preserve"> </w:t>
      </w:r>
      <w:r>
        <w:rPr>
          <w:rFonts w:hint="eastAsia" w:ascii="宋体" w:hAnsi="宋体" w:eastAsia="宋体" w:cs="宋体"/>
          <w:color w:val="auto"/>
          <w:highlight w:val="none"/>
        </w:rPr>
        <w:t xml:space="preserve"> 若《招标项目要求》规定须提交履约保证金的，合同签订前，中标供应商须按照规定要求提交履约保证金，履约保证金的有效期至货到并最终验收合格之日。</w:t>
      </w:r>
    </w:p>
    <w:p>
      <w:pPr>
        <w:pStyle w:val="34"/>
        <w:spacing w:line="360" w:lineRule="auto"/>
        <w:ind w:firstLine="482" w:firstLineChars="200"/>
        <w:jc w:val="both"/>
        <w:rPr>
          <w:rFonts w:hint="eastAsia" w:ascii="宋体" w:hAnsi="宋体" w:eastAsia="宋体" w:cs="宋体"/>
          <w:color w:val="auto"/>
          <w:highlight w:val="none"/>
        </w:rPr>
      </w:pPr>
      <w:r>
        <w:rPr>
          <w:rFonts w:hint="eastAsia" w:ascii="宋体" w:hAnsi="宋体" w:eastAsia="宋体" w:cs="宋体"/>
          <w:b/>
          <w:color w:val="000000" w:themeColor="text1"/>
          <w:highlight w:val="none"/>
          <w14:textFill>
            <w14:solidFill>
              <w14:schemeClr w14:val="tx1"/>
            </w14:solidFill>
          </w14:textFill>
        </w:rPr>
        <w:t xml:space="preserve">26.4.2  </w:t>
      </w:r>
      <w:r>
        <w:rPr>
          <w:rFonts w:hint="eastAsia" w:ascii="宋体" w:hAnsi="宋体" w:eastAsia="宋体" w:cs="宋体"/>
          <w:color w:val="auto"/>
          <w:highlight w:val="none"/>
        </w:rPr>
        <w:t>中标供应商未能按合同规定履行其义务，采购人有权没收其履约保证金。</w:t>
      </w:r>
    </w:p>
    <w:p>
      <w:pPr>
        <w:pStyle w:val="34"/>
        <w:spacing w:line="360" w:lineRule="auto"/>
        <w:ind w:firstLine="482" w:firstLineChars="200"/>
        <w:jc w:val="both"/>
        <w:rPr>
          <w:rFonts w:hint="eastAsia" w:ascii="宋体" w:hAnsi="宋体" w:eastAsia="宋体" w:cs="宋体"/>
          <w:color w:val="auto"/>
          <w:highlight w:val="none"/>
        </w:rPr>
      </w:pPr>
      <w:r>
        <w:rPr>
          <w:rFonts w:hint="eastAsia" w:ascii="宋体" w:hAnsi="宋体" w:eastAsia="宋体" w:cs="宋体"/>
          <w:b/>
          <w:highlight w:val="none"/>
        </w:rPr>
        <w:t>26.4.3</w:t>
      </w:r>
      <w:r>
        <w:rPr>
          <w:rFonts w:hint="eastAsia" w:ascii="宋体" w:hAnsi="宋体" w:eastAsia="宋体" w:cs="宋体"/>
          <w:color w:val="auto"/>
          <w:highlight w:val="none"/>
        </w:rPr>
        <w:t xml:space="preserve"> 中标供应商拒绝与采购人签订合同的，采购人可以按照评审报告推荐的中标候选人名单排序，确定下一候选人为中标供应商，也可以重新开展政府采购活动。</w:t>
      </w:r>
    </w:p>
    <w:p>
      <w:pPr>
        <w:pStyle w:val="34"/>
        <w:spacing w:line="360" w:lineRule="auto"/>
        <w:ind w:firstLine="482" w:firstLineChars="200"/>
        <w:jc w:val="both"/>
        <w:rPr>
          <w:rFonts w:hint="eastAsia" w:ascii="宋体" w:hAnsi="宋体" w:eastAsia="宋体" w:cs="宋体"/>
          <w:b/>
          <w:color w:val="auto"/>
          <w:highlight w:val="none"/>
        </w:rPr>
      </w:pPr>
      <w:r>
        <w:rPr>
          <w:rFonts w:hint="eastAsia" w:ascii="宋体" w:hAnsi="宋体" w:eastAsia="宋体" w:cs="宋体"/>
          <w:b/>
          <w:highlight w:val="none"/>
        </w:rPr>
        <w:t>26.5</w:t>
      </w:r>
      <w:r>
        <w:rPr>
          <w:rFonts w:hint="eastAsia" w:ascii="宋体" w:hAnsi="宋体" w:eastAsia="宋体" w:cs="宋体"/>
          <w:b/>
          <w:color w:val="auto"/>
          <w:highlight w:val="none"/>
        </w:rPr>
        <w:t xml:space="preserve"> 合同分包</w:t>
      </w:r>
    </w:p>
    <w:p>
      <w:pPr>
        <w:pStyle w:val="34"/>
        <w:spacing w:line="360" w:lineRule="auto"/>
        <w:ind w:firstLine="482" w:firstLineChars="200"/>
        <w:jc w:val="both"/>
        <w:rPr>
          <w:rFonts w:hint="eastAsia" w:ascii="宋体" w:hAnsi="宋体" w:eastAsia="宋体" w:cs="宋体"/>
          <w:color w:val="auto"/>
          <w:highlight w:val="none"/>
        </w:rPr>
      </w:pPr>
      <w:r>
        <w:rPr>
          <w:rFonts w:hint="eastAsia" w:ascii="宋体" w:hAnsi="宋体" w:eastAsia="宋体" w:cs="宋体"/>
          <w:b/>
          <w:color w:val="000000" w:themeColor="text1"/>
          <w:highlight w:val="none"/>
          <w14:textFill>
            <w14:solidFill>
              <w14:schemeClr w14:val="tx1"/>
            </w14:solidFill>
          </w14:textFill>
        </w:rPr>
        <w:t>26.5.1</w:t>
      </w:r>
      <w:r>
        <w:rPr>
          <w:rFonts w:hint="eastAsia" w:ascii="宋体" w:hAnsi="宋体" w:eastAsia="宋体" w:cs="宋体"/>
          <w:color w:val="auto"/>
          <w:highlight w:val="none"/>
        </w:rPr>
        <w:t xml:space="preserve">  未经采购人同意，中标供应商不得分包合同。</w:t>
      </w:r>
    </w:p>
    <w:p>
      <w:pPr>
        <w:pStyle w:val="34"/>
        <w:spacing w:line="360" w:lineRule="auto"/>
        <w:ind w:firstLine="482" w:firstLineChars="200"/>
        <w:jc w:val="both"/>
        <w:rPr>
          <w:rFonts w:hint="eastAsia" w:ascii="宋体" w:hAnsi="宋体" w:eastAsia="宋体" w:cs="宋体"/>
          <w:color w:val="auto"/>
          <w:highlight w:val="none"/>
        </w:rPr>
      </w:pPr>
      <w:r>
        <w:rPr>
          <w:rFonts w:hint="eastAsia" w:ascii="宋体" w:hAnsi="宋体" w:eastAsia="宋体" w:cs="宋体"/>
          <w:b/>
          <w:color w:val="000000" w:themeColor="text1"/>
          <w:highlight w:val="none"/>
          <w14:textFill>
            <w14:solidFill>
              <w14:schemeClr w14:val="tx1"/>
            </w14:solidFill>
          </w14:textFill>
        </w:rPr>
        <w:t>26.5.2</w:t>
      </w:r>
      <w:r>
        <w:rPr>
          <w:rFonts w:hint="eastAsia" w:ascii="宋体" w:hAnsi="宋体" w:eastAsia="宋体" w:cs="宋体"/>
          <w:color w:val="auto"/>
          <w:highlight w:val="none"/>
        </w:rPr>
        <w:t xml:space="preserve">  </w:t>
      </w:r>
      <w:r>
        <w:rPr>
          <w:rFonts w:hint="eastAsia" w:ascii="宋体" w:hAnsi="宋体" w:eastAsia="宋体" w:cs="宋体"/>
          <w:highlight w:val="none"/>
        </w:rPr>
        <w:t>政府采购合同分包履行的，中标供应商就采购项目和分包项目向采购人负责，分包供应商就分包项目承担责任。</w:t>
      </w:r>
      <w:bookmarkEnd w:id="39"/>
      <w:bookmarkEnd w:id="40"/>
    </w:p>
    <w:p>
      <w:pPr>
        <w:pStyle w:val="63"/>
        <w:keepNext w:val="0"/>
        <w:keepLines w:val="0"/>
        <w:numPr>
          <w:ilvl w:val="1"/>
          <w:numId w:val="0"/>
        </w:numPr>
        <w:tabs>
          <w:tab w:val="left" w:pos="0"/>
        </w:tabs>
        <w:adjustRightInd w:val="0"/>
        <w:spacing w:before="0" w:after="0" w:line="360" w:lineRule="auto"/>
        <w:ind w:firstLine="640"/>
        <w:jc w:val="center"/>
        <w:outlineLvl w:val="9"/>
        <w:rPr>
          <w:rFonts w:hint="eastAsia" w:ascii="宋体" w:hAnsi="宋体" w:eastAsia="宋体" w:cs="宋体"/>
          <w:szCs w:val="24"/>
          <w:highlight w:val="none"/>
        </w:rPr>
      </w:pPr>
      <w:r>
        <w:rPr>
          <w:rFonts w:hint="eastAsia" w:ascii="宋体" w:hAnsi="宋体" w:eastAsia="宋体" w:cs="宋体"/>
          <w:szCs w:val="24"/>
          <w:highlight w:val="none"/>
        </w:rPr>
        <w:t>七、纪律和监督</w:t>
      </w:r>
    </w:p>
    <w:p>
      <w:pPr>
        <w:spacing w:line="360" w:lineRule="auto"/>
        <w:rPr>
          <w:rFonts w:hint="eastAsia" w:ascii="宋体" w:hAnsi="宋体" w:eastAsia="宋体" w:cs="宋体"/>
          <w:b/>
          <w:bCs/>
          <w:kern w:val="44"/>
          <w:sz w:val="24"/>
          <w:highlight w:val="none"/>
        </w:rPr>
      </w:pPr>
      <w:r>
        <w:rPr>
          <w:rFonts w:hint="eastAsia" w:ascii="宋体" w:hAnsi="宋体" w:eastAsia="宋体" w:cs="宋体"/>
          <w:b/>
          <w:bCs/>
          <w:kern w:val="44"/>
          <w:sz w:val="24"/>
          <w:highlight w:val="none"/>
        </w:rPr>
        <w:t>27.1对采购人和集采代理机构纪律要求</w:t>
      </w:r>
    </w:p>
    <w:p>
      <w:pPr>
        <w:spacing w:line="360" w:lineRule="auto"/>
        <w:ind w:firstLine="480" w:firstLineChars="200"/>
        <w:rPr>
          <w:rFonts w:hint="eastAsia" w:ascii="宋体" w:hAnsi="宋体" w:eastAsia="宋体" w:cs="宋体"/>
          <w:bCs/>
          <w:kern w:val="44"/>
          <w:sz w:val="24"/>
          <w:highlight w:val="none"/>
        </w:rPr>
      </w:pPr>
      <w:r>
        <w:rPr>
          <w:rFonts w:hint="eastAsia" w:ascii="宋体" w:hAnsi="宋体" w:eastAsia="宋体" w:cs="宋体"/>
          <w:bCs/>
          <w:kern w:val="44"/>
          <w:sz w:val="24"/>
          <w:highlight w:val="none"/>
        </w:rPr>
        <w:t>采购人、集采代理机构不得泄漏招标投标活动中应当保密的情况和资料，不得与投标人串通损害国家利益、社会公共利益或者他人合法权益。</w:t>
      </w:r>
    </w:p>
    <w:p>
      <w:pPr>
        <w:spacing w:line="360" w:lineRule="auto"/>
        <w:rPr>
          <w:rFonts w:hint="eastAsia" w:ascii="宋体" w:hAnsi="宋体" w:eastAsia="宋体" w:cs="宋体"/>
          <w:b/>
          <w:bCs/>
          <w:kern w:val="44"/>
          <w:sz w:val="24"/>
          <w:highlight w:val="none"/>
        </w:rPr>
      </w:pPr>
      <w:r>
        <w:rPr>
          <w:rFonts w:hint="eastAsia" w:ascii="宋体" w:hAnsi="宋体" w:eastAsia="宋体" w:cs="宋体"/>
          <w:b/>
          <w:bCs/>
          <w:kern w:val="44"/>
          <w:sz w:val="24"/>
          <w:highlight w:val="none"/>
        </w:rPr>
        <w:t>27.2对投标人的纪律要求</w:t>
      </w:r>
    </w:p>
    <w:p>
      <w:pPr>
        <w:spacing w:line="360" w:lineRule="auto"/>
        <w:ind w:firstLine="480" w:firstLineChars="200"/>
        <w:rPr>
          <w:rFonts w:hint="eastAsia" w:ascii="宋体" w:hAnsi="宋体" w:eastAsia="宋体" w:cs="宋体"/>
          <w:bCs/>
          <w:kern w:val="44"/>
          <w:sz w:val="24"/>
          <w:highlight w:val="none"/>
        </w:rPr>
      </w:pPr>
      <w:r>
        <w:rPr>
          <w:rFonts w:hint="eastAsia" w:ascii="宋体" w:hAnsi="宋体" w:eastAsia="宋体" w:cs="宋体"/>
          <w:bCs/>
          <w:kern w:val="44"/>
          <w:sz w:val="24"/>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pPr>
        <w:spacing w:line="360" w:lineRule="auto"/>
        <w:rPr>
          <w:rFonts w:hint="eastAsia" w:ascii="宋体" w:hAnsi="宋体" w:eastAsia="宋体" w:cs="宋体"/>
          <w:b/>
          <w:bCs/>
          <w:kern w:val="44"/>
          <w:sz w:val="24"/>
          <w:highlight w:val="none"/>
        </w:rPr>
      </w:pPr>
      <w:r>
        <w:rPr>
          <w:rFonts w:hint="eastAsia" w:ascii="宋体" w:hAnsi="宋体" w:eastAsia="宋体" w:cs="宋体"/>
          <w:b/>
          <w:bCs/>
          <w:kern w:val="44"/>
          <w:sz w:val="24"/>
          <w:highlight w:val="none"/>
        </w:rPr>
        <w:t>27.3对评标委员会成员的纪律要求</w:t>
      </w:r>
    </w:p>
    <w:p>
      <w:pPr>
        <w:spacing w:line="360" w:lineRule="auto"/>
        <w:ind w:firstLine="480" w:firstLineChars="200"/>
        <w:rPr>
          <w:rFonts w:hint="eastAsia" w:ascii="宋体" w:hAnsi="宋体" w:eastAsia="宋体" w:cs="宋体"/>
          <w:bCs/>
          <w:kern w:val="44"/>
          <w:sz w:val="24"/>
          <w:highlight w:val="none"/>
        </w:rPr>
      </w:pPr>
      <w:r>
        <w:rPr>
          <w:rFonts w:hint="eastAsia" w:ascii="宋体" w:hAnsi="宋体" w:eastAsia="宋体" w:cs="宋体"/>
          <w:bCs/>
          <w:kern w:val="44"/>
          <w:sz w:val="24"/>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评标办法”没有规定的评审因素和标准进行评标。</w:t>
      </w:r>
    </w:p>
    <w:p>
      <w:pPr>
        <w:spacing w:line="360" w:lineRule="auto"/>
        <w:rPr>
          <w:rFonts w:hint="eastAsia" w:ascii="宋体" w:hAnsi="宋体" w:eastAsia="宋体" w:cs="宋体"/>
          <w:b/>
          <w:bCs/>
          <w:kern w:val="44"/>
          <w:sz w:val="24"/>
          <w:highlight w:val="none"/>
        </w:rPr>
      </w:pPr>
      <w:r>
        <w:rPr>
          <w:rFonts w:hint="eastAsia" w:ascii="宋体" w:hAnsi="宋体" w:eastAsia="宋体" w:cs="宋体"/>
          <w:b/>
          <w:bCs/>
          <w:kern w:val="44"/>
          <w:sz w:val="24"/>
          <w:highlight w:val="none"/>
        </w:rPr>
        <w:t>27.4对与评标活动有关的工作人员的纪律要求</w:t>
      </w:r>
    </w:p>
    <w:p>
      <w:pPr>
        <w:spacing w:line="360" w:lineRule="auto"/>
        <w:ind w:firstLine="645"/>
        <w:rPr>
          <w:rFonts w:hint="eastAsia" w:ascii="宋体" w:hAnsi="宋体" w:eastAsia="宋体" w:cs="宋体"/>
          <w:bCs/>
          <w:kern w:val="44"/>
          <w:sz w:val="24"/>
          <w:highlight w:val="none"/>
        </w:rPr>
      </w:pPr>
      <w:r>
        <w:rPr>
          <w:rFonts w:hint="eastAsia" w:ascii="宋体" w:hAnsi="宋体" w:eastAsia="宋体" w:cs="宋体"/>
          <w:bCs/>
          <w:kern w:val="44"/>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18"/>
        <w:outlineLvl w:val="9"/>
        <w:rPr>
          <w:rFonts w:hint="eastAsia" w:ascii="宋体" w:hAnsi="宋体" w:eastAsia="宋体" w:cs="宋体"/>
          <w:highlight w:val="none"/>
        </w:rPr>
      </w:pPr>
    </w:p>
    <w:p>
      <w:pPr>
        <w:rPr>
          <w:rFonts w:hint="eastAsia" w:ascii="宋体" w:hAnsi="宋体" w:eastAsia="宋体" w:cs="宋体"/>
          <w:highlight w:val="none"/>
        </w:rPr>
      </w:pPr>
      <w:r>
        <w:rPr>
          <w:rFonts w:hint="eastAsia" w:ascii="宋体" w:hAnsi="宋体" w:eastAsia="宋体" w:cs="宋体"/>
          <w:highlight w:val="none"/>
        </w:rPr>
        <w:br w:type="page"/>
      </w:r>
    </w:p>
    <w:p>
      <w:pPr>
        <w:pStyle w:val="18"/>
        <w:outlineLvl w:val="0"/>
        <w:rPr>
          <w:rFonts w:hint="eastAsia" w:ascii="宋体" w:hAnsi="宋体" w:eastAsia="宋体" w:cs="宋体"/>
          <w:highlight w:val="none"/>
        </w:rPr>
      </w:pPr>
      <w:bookmarkStart w:id="41" w:name="_Toc8207"/>
      <w:bookmarkStart w:id="42" w:name="_Toc7536"/>
      <w:bookmarkStart w:id="43" w:name="_Toc16316"/>
      <w:r>
        <w:rPr>
          <w:rFonts w:hint="eastAsia" w:ascii="宋体" w:hAnsi="宋体" w:eastAsia="宋体" w:cs="宋体"/>
          <w:highlight w:val="none"/>
        </w:rPr>
        <w:t>第四部分  合同条款</w:t>
      </w:r>
      <w:bookmarkEnd w:id="41"/>
      <w:bookmarkEnd w:id="42"/>
      <w:bookmarkEnd w:id="43"/>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b/>
          <w:bCs/>
          <w:color w:val="000000"/>
          <w:sz w:val="28"/>
          <w:szCs w:val="28"/>
          <w:highlight w:val="none"/>
        </w:rPr>
      </w:pPr>
      <w:r>
        <w:rPr>
          <w:rFonts w:hint="eastAsia"/>
          <w:b/>
          <w:bCs/>
          <w:color w:val="000000"/>
          <w:sz w:val="28"/>
          <w:szCs w:val="28"/>
          <w:highlight w:val="none"/>
        </w:rPr>
        <w:t>天津市政府采购采购合同（范本）</w:t>
      </w: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b/>
          <w:bCs/>
          <w:color w:val="000000"/>
          <w:sz w:val="28"/>
          <w:szCs w:val="28"/>
          <w:highlight w:val="none"/>
          <w:u w:val="single"/>
          <w:lang w:val="en-US" w:eastAsia="zh-CN"/>
        </w:rPr>
      </w:pPr>
      <w:bookmarkStart w:id="44" w:name="_Toc452563206"/>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b/>
          <w:bCs/>
          <w:color w:val="000000"/>
          <w:sz w:val="28"/>
          <w:szCs w:val="28"/>
          <w:highlight w:val="none"/>
        </w:rPr>
      </w:pPr>
      <w:r>
        <w:rPr>
          <w:rFonts w:hint="eastAsia"/>
          <w:b/>
          <w:bCs/>
          <w:color w:val="000000"/>
          <w:sz w:val="28"/>
          <w:szCs w:val="28"/>
          <w:highlight w:val="none"/>
          <w:u w:val="single"/>
          <w:lang w:val="en-US" w:eastAsia="zh-CN"/>
        </w:rPr>
        <w:t xml:space="preserve">                              </w:t>
      </w:r>
      <w:r>
        <w:rPr>
          <w:rFonts w:hint="eastAsia"/>
          <w:b/>
          <w:bCs/>
          <w:color w:val="000000"/>
          <w:sz w:val="28"/>
          <w:szCs w:val="28"/>
          <w:highlight w:val="none"/>
        </w:rPr>
        <w:t>项目合同</w:t>
      </w:r>
      <w:bookmarkEnd w:id="44"/>
      <w:r>
        <w:rPr>
          <w:rFonts w:hint="eastAsia"/>
          <w:b/>
          <w:bCs/>
          <w:color w:val="000000"/>
          <w:sz w:val="28"/>
          <w:szCs w:val="28"/>
          <w:highlight w:val="none"/>
        </w:rPr>
        <w:t>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center"/>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合同编号：</w:t>
      </w:r>
      <w:r>
        <w:rPr>
          <w:rFonts w:hint="eastAsia" w:ascii="宋体" w:hAnsi="宋体" w:cs="宋体"/>
          <w:color w:val="00000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采购人：</w:t>
      </w:r>
      <w:r>
        <w:rPr>
          <w:rFonts w:hint="eastAsia" w:ascii="宋体" w:hAnsi="宋体" w:eastAsia="宋体" w:cs="宋体"/>
          <w:color w:val="00000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供应商：</w:t>
      </w:r>
      <w:r>
        <w:rPr>
          <w:rFonts w:hint="eastAsia" w:ascii="宋体" w:hAnsi="宋体" w:eastAsia="宋体" w:cs="宋体"/>
          <w:color w:val="00000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双方根据</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日关于</w:t>
      </w:r>
      <w:r>
        <w:rPr>
          <w:rFonts w:hint="eastAsia" w:ascii="宋体" w:hAnsi="宋体" w:eastAsia="宋体" w:cs="宋体"/>
          <w:color w:val="000000"/>
          <w:sz w:val="24"/>
          <w:szCs w:val="24"/>
          <w:highlight w:val="none"/>
          <w:u w:val="single"/>
        </w:rPr>
        <w:t xml:space="preserve">              项目</w:t>
      </w:r>
      <w:r>
        <w:rPr>
          <w:rFonts w:hint="eastAsia" w:ascii="宋体" w:hAnsi="宋体" w:eastAsia="宋体" w:cs="宋体"/>
          <w:color w:val="000000"/>
          <w:sz w:val="24"/>
          <w:szCs w:val="24"/>
          <w:highlight w:val="none"/>
        </w:rPr>
        <w:t>的评审结果和招标文件的要求，并经双方协商一致，达成服务合同：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lang w:val="en-US" w:eastAsia="zh-CN"/>
        </w:rPr>
        <w:t>一、</w:t>
      </w:r>
      <w:r>
        <w:rPr>
          <w:rFonts w:hint="eastAsia" w:ascii="宋体" w:hAnsi="宋体" w:eastAsia="宋体" w:cs="宋体"/>
          <w:color w:val="000000"/>
          <w:sz w:val="24"/>
          <w:szCs w:val="24"/>
          <w:highlight w:val="none"/>
        </w:rPr>
        <w:t>服务名称：</w:t>
      </w:r>
      <w:r>
        <w:rPr>
          <w:rFonts w:hint="eastAsia" w:ascii="宋体" w:hAnsi="宋体" w:eastAsia="宋体" w:cs="宋体"/>
          <w:color w:val="00000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000000"/>
          <w:sz w:val="24"/>
          <w:szCs w:val="24"/>
          <w:highlight w:val="none"/>
          <w:u w:val="single"/>
          <w:lang w:val="en-US" w:eastAsia="zh-CN"/>
        </w:rPr>
      </w:pPr>
      <w:r>
        <w:rPr>
          <w:rFonts w:hint="eastAsia" w:ascii="宋体" w:hAnsi="宋体" w:eastAsia="宋体" w:cs="宋体"/>
          <w:color w:val="000000"/>
          <w:sz w:val="24"/>
          <w:szCs w:val="24"/>
          <w:highlight w:val="none"/>
          <w:lang w:val="en-US" w:eastAsia="zh-CN"/>
        </w:rPr>
        <w:t>服务内容：</w:t>
      </w:r>
      <w:r>
        <w:rPr>
          <w:rFonts w:hint="eastAsia" w:ascii="宋体" w:hAnsi="宋体" w:eastAsia="宋体" w:cs="宋体"/>
          <w:color w:val="000000"/>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服务总价款：</w:t>
      </w:r>
      <w:r>
        <w:rPr>
          <w:rFonts w:hint="eastAsia" w:ascii="宋体" w:hAnsi="宋体" w:eastAsia="宋体" w:cs="宋体"/>
          <w:color w:val="00000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大写：</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二、服务质量要求及供方对质量负责条件和期限：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1.服务具体技术指标见招标文件。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2.标人提供的服务必须与中标时供方承诺所供服务所示服务完全一致，不存在任何偏差。如出现不一致，供方将承担违约责任。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三、供应商所提供的服务必须具有合法手续及相关文件。如涉及知识产权则必须是自己拥有或合法使用的。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四、服务时间、地点、方式：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合同签定后，于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日开始至</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日进行服务工作，产生的费用由供方负责。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五、供应商应随服务向需方交付服务的使用说明书及与服务相关的资料。如果所提交文件是外文的，供应商有义务为需方提供中文或译成中文文件。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六、货款支付方式：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1、本合同以人民币进行结算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2、付款方式：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具体支付方式在发包人与中标人的合同阶段详细商订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3、如所供服务出现问题，采购人在付款期内随时有权停止付款，待供方对该服务消除障碍正常运转后再行付款。付款的时间则相应顺延。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七、违约责任：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待定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八、因服务的问题发生争议，依据国家标准，由天津市技术监督局或其指定的技术单位进行质量鉴定，该鉴定结论是终局的，双方应当接受，质量鉴定期间所发生的相关费用由服务质量责任方承担。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九、由于双方在履行本合同过程中出现问题，由双方直接交涉解决，包括采用诉诸法律的手段。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十、本合同未作明示约定，而又有相关法律、法规规定的，从其规定。本合同发生争议产生的诉讼，由合同履行所在地人民法院管辖。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十一、本合同一式</w:t>
      </w:r>
      <w:r>
        <w:rPr>
          <w:rFonts w:hint="eastAsia" w:ascii="宋体" w:hAnsi="宋体" w:eastAsia="宋体" w:cs="宋体"/>
          <w:color w:val="000000"/>
          <w:sz w:val="24"/>
          <w:szCs w:val="24"/>
          <w:highlight w:val="none"/>
          <w:lang w:val="en-US" w:eastAsia="zh-CN"/>
        </w:rPr>
        <w:t>五</w:t>
      </w:r>
      <w:r>
        <w:rPr>
          <w:rFonts w:hint="eastAsia" w:ascii="宋体" w:hAnsi="宋体" w:eastAsia="宋体" w:cs="宋体"/>
          <w:color w:val="000000"/>
          <w:sz w:val="24"/>
          <w:szCs w:val="24"/>
          <w:highlight w:val="none"/>
        </w:rPr>
        <w:t>份，</w:t>
      </w:r>
      <w:r>
        <w:rPr>
          <w:rFonts w:hint="eastAsia" w:ascii="宋体" w:hAnsi="宋体" w:eastAsia="宋体" w:cs="宋体"/>
          <w:color w:val="000000"/>
          <w:sz w:val="24"/>
          <w:szCs w:val="24"/>
          <w:highlight w:val="none"/>
          <w:lang w:val="en-US" w:eastAsia="zh-CN"/>
        </w:rPr>
        <w:t>采购人、供应商</w:t>
      </w:r>
      <w:r>
        <w:rPr>
          <w:rFonts w:hint="eastAsia" w:ascii="宋体" w:hAnsi="宋体" w:eastAsia="宋体" w:cs="宋体"/>
          <w:color w:val="000000"/>
          <w:sz w:val="24"/>
          <w:szCs w:val="24"/>
          <w:highlight w:val="none"/>
        </w:rPr>
        <w:t>双方各持两份，</w:t>
      </w:r>
      <w:r>
        <w:rPr>
          <w:rFonts w:hint="eastAsia" w:ascii="宋体" w:hAnsi="宋体" w:eastAsia="宋体" w:cs="宋体"/>
          <w:color w:val="000000"/>
          <w:sz w:val="24"/>
          <w:szCs w:val="24"/>
          <w:highlight w:val="none"/>
          <w:lang w:val="en-US" w:eastAsia="zh-CN"/>
        </w:rPr>
        <w:t>中易（天津）工程咨询有限公司持一份，</w:t>
      </w:r>
      <w:r>
        <w:rPr>
          <w:rFonts w:hint="eastAsia" w:ascii="宋体" w:hAnsi="宋体" w:eastAsia="宋体" w:cs="宋体"/>
          <w:color w:val="000000"/>
          <w:sz w:val="24"/>
          <w:szCs w:val="24"/>
          <w:highlight w:val="none"/>
        </w:rPr>
        <w:t>均具同等效力，签字盖章后生效。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采购人（公章）：             供应商（公章）：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地址：                 </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地址：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法定代表人：                法定代表人：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委托代理人：                委托代理人：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电话：                </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电话：</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开户银行：                  开户银行：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开户银行行号：              开户银行代码：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帐号：                      帐号：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lang w:val="en-GB"/>
        </w:rPr>
      </w:pPr>
      <w:r>
        <w:rPr>
          <w:rFonts w:hint="eastAsia" w:ascii="宋体" w:hAnsi="宋体" w:eastAsia="宋体" w:cs="宋体"/>
          <w:color w:val="000000"/>
          <w:sz w:val="24"/>
          <w:szCs w:val="24"/>
          <w:highlight w:val="none"/>
          <w:lang w:val="en-GB"/>
        </w:rPr>
        <w:t>时间：     年   月   日</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000000"/>
          <w:sz w:val="24"/>
          <w:szCs w:val="24"/>
          <w:highlight w:val="none"/>
        </w:rPr>
      </w:pPr>
    </w:p>
    <w:p>
      <w:pPr>
        <w:pStyle w:val="9"/>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注：本合同作为示范文本，具体以采购人与中标人所签定正式合同为准。</w:t>
      </w:r>
    </w:p>
    <w:p>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宋体" w:hAnsi="宋体" w:eastAsia="宋体" w:cs="宋体"/>
          <w:sz w:val="24"/>
          <w:szCs w:val="24"/>
          <w:highlight w:val="none"/>
        </w:rPr>
      </w:pPr>
    </w:p>
    <w:p>
      <w:pPr>
        <w:rPr>
          <w:rFonts w:hint="eastAsia" w:ascii="宋体" w:hAnsi="宋体" w:eastAsia="宋体" w:cs="宋体"/>
          <w:sz w:val="24"/>
          <w:highlight w:val="none"/>
        </w:rPr>
      </w:pPr>
    </w:p>
    <w:p>
      <w:pPr>
        <w:rPr>
          <w:rFonts w:hint="eastAsia" w:ascii="宋体" w:hAnsi="宋体" w:eastAsia="宋体" w:cs="宋体"/>
          <w:sz w:val="24"/>
          <w:highlight w:val="none"/>
        </w:rPr>
      </w:pPr>
    </w:p>
    <w:p>
      <w:pPr>
        <w:rPr>
          <w:rFonts w:hint="eastAsia" w:ascii="宋体" w:hAnsi="宋体" w:eastAsia="宋体" w:cs="宋体"/>
          <w:sz w:val="24"/>
          <w:highlight w:val="none"/>
        </w:rPr>
      </w:pPr>
    </w:p>
    <w:p>
      <w:pPr>
        <w:rPr>
          <w:rFonts w:hint="eastAsia" w:ascii="宋体" w:hAnsi="宋体" w:eastAsia="宋体" w:cs="宋体"/>
          <w:sz w:val="24"/>
          <w:highlight w:val="none"/>
        </w:rPr>
      </w:pPr>
    </w:p>
    <w:p>
      <w:pPr>
        <w:rPr>
          <w:rFonts w:hint="eastAsia" w:ascii="宋体" w:hAnsi="宋体" w:eastAsia="宋体" w:cs="宋体"/>
          <w:sz w:val="24"/>
          <w:highlight w:val="none"/>
        </w:rPr>
      </w:pPr>
      <w:r>
        <w:rPr>
          <w:rFonts w:hint="eastAsia" w:ascii="宋体" w:hAnsi="宋体" w:eastAsia="宋体" w:cs="宋体"/>
          <w:sz w:val="24"/>
          <w:highlight w:val="none"/>
        </w:rPr>
        <w:br w:type="page"/>
      </w:r>
    </w:p>
    <w:p>
      <w:pPr>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合同特殊条款</w:t>
      </w:r>
    </w:p>
    <w:p>
      <w:pPr>
        <w:tabs>
          <w:tab w:val="left" w:pos="360"/>
        </w:tabs>
        <w:spacing w:line="520" w:lineRule="exact"/>
        <w:ind w:firstLine="410" w:firstLineChars="171"/>
        <w:rPr>
          <w:rFonts w:hint="eastAsia" w:ascii="宋体" w:hAnsi="宋体" w:eastAsia="宋体" w:cs="宋体"/>
          <w:color w:val="000000"/>
          <w:sz w:val="24"/>
          <w:szCs w:val="24"/>
          <w:highlight w:val="none"/>
        </w:rPr>
      </w:pPr>
    </w:p>
    <w:p>
      <w:pPr>
        <w:tabs>
          <w:tab w:val="left" w:pos="360"/>
        </w:tabs>
        <w:spacing w:line="520" w:lineRule="exac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合同特殊条款是合同一般条款的补充和修改。如果两者之间有抵触，应以特殊条款为准。</w:t>
      </w:r>
    </w:p>
    <w:p>
      <w:pPr>
        <w:tabs>
          <w:tab w:val="left" w:pos="360"/>
        </w:tabs>
        <w:spacing w:line="520" w:lineRule="exact"/>
        <w:ind w:firstLine="410" w:firstLineChars="171"/>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合同特殊条款由供方和需方根据项目的具体情况协商拟订。</w:t>
      </w:r>
    </w:p>
    <w:p>
      <w:pPr>
        <w:pStyle w:val="18"/>
        <w:outlineLvl w:val="0"/>
        <w:rPr>
          <w:rFonts w:hint="eastAsia" w:ascii="宋体" w:hAnsi="宋体" w:eastAsia="宋体" w:cs="宋体"/>
          <w:highlight w:val="none"/>
        </w:rPr>
      </w:pPr>
      <w:r>
        <w:rPr>
          <w:rFonts w:hint="eastAsia" w:ascii="宋体" w:hAnsi="宋体" w:eastAsia="宋体" w:cs="宋体"/>
          <w:b w:val="0"/>
          <w:sz w:val="30"/>
          <w:szCs w:val="30"/>
          <w:highlight w:val="none"/>
        </w:rPr>
        <w:br w:type="page"/>
      </w:r>
      <w:bookmarkStart w:id="45" w:name="_Toc18560"/>
      <w:bookmarkStart w:id="46" w:name="_Toc2344"/>
      <w:bookmarkStart w:id="47" w:name="_Toc16307"/>
      <w:r>
        <w:rPr>
          <w:rFonts w:hint="eastAsia" w:ascii="宋体" w:hAnsi="宋体" w:eastAsia="宋体" w:cs="宋体"/>
          <w:highlight w:val="none"/>
        </w:rPr>
        <w:t>第五部分  投标文件格式</w:t>
      </w:r>
      <w:bookmarkEnd w:id="45"/>
      <w:bookmarkEnd w:id="46"/>
      <w:bookmarkEnd w:id="47"/>
    </w:p>
    <w:p>
      <w:pPr>
        <w:autoSpaceDE w:val="0"/>
        <w:autoSpaceDN w:val="0"/>
        <w:adjustRightInd w:val="0"/>
        <w:spacing w:line="520" w:lineRule="exact"/>
        <w:rPr>
          <w:rFonts w:hint="eastAsia" w:ascii="宋体" w:hAnsi="宋体" w:eastAsia="宋体" w:cs="宋体"/>
          <w:highlight w:val="none"/>
        </w:rPr>
      </w:pPr>
    </w:p>
    <w:p>
      <w:pPr>
        <w:autoSpaceDE w:val="0"/>
        <w:autoSpaceDN w:val="0"/>
        <w:adjustRightInd w:val="0"/>
        <w:spacing w:line="520" w:lineRule="exact"/>
        <w:rPr>
          <w:rFonts w:hint="eastAsia" w:ascii="宋体" w:hAnsi="宋体" w:eastAsia="宋体" w:cs="宋体"/>
          <w:b/>
          <w:kern w:val="0"/>
          <w:sz w:val="24"/>
          <w:highlight w:val="none"/>
        </w:rPr>
      </w:pPr>
    </w:p>
    <w:p>
      <w:pPr>
        <w:autoSpaceDE w:val="0"/>
        <w:autoSpaceDN w:val="0"/>
        <w:adjustRightInd w:val="0"/>
        <w:spacing w:line="520" w:lineRule="exact"/>
        <w:rPr>
          <w:rFonts w:hint="eastAsia" w:ascii="宋体" w:hAnsi="宋体" w:eastAsia="宋体" w:cs="宋体"/>
          <w:b/>
          <w:kern w:val="0"/>
          <w:sz w:val="24"/>
          <w:highlight w:val="none"/>
        </w:rPr>
      </w:pPr>
    </w:p>
    <w:p>
      <w:pPr>
        <w:autoSpaceDE w:val="0"/>
        <w:autoSpaceDN w:val="0"/>
        <w:adjustRightInd w:val="0"/>
        <w:spacing w:line="520" w:lineRule="exact"/>
        <w:rPr>
          <w:rFonts w:hint="eastAsia" w:ascii="宋体" w:hAnsi="宋体" w:eastAsia="宋体" w:cs="宋体"/>
          <w:b/>
          <w:kern w:val="0"/>
          <w:sz w:val="24"/>
          <w:highlight w:val="none"/>
        </w:rPr>
      </w:pPr>
    </w:p>
    <w:p>
      <w:pPr>
        <w:autoSpaceDE w:val="0"/>
        <w:autoSpaceDN w:val="0"/>
        <w:adjustRightInd w:val="0"/>
        <w:jc w:val="center"/>
        <w:outlineLvl w:val="0"/>
        <w:rPr>
          <w:rFonts w:hint="eastAsia" w:ascii="宋体" w:hAnsi="宋体" w:eastAsia="宋体" w:cs="宋体"/>
          <w:kern w:val="0"/>
          <w:sz w:val="144"/>
          <w:szCs w:val="144"/>
          <w:highlight w:val="none"/>
        </w:rPr>
      </w:pPr>
      <w:bookmarkStart w:id="48" w:name="_Toc3280"/>
      <w:bookmarkStart w:id="49" w:name="_Toc20219"/>
      <w:bookmarkStart w:id="50" w:name="_Toc30164"/>
      <w:r>
        <w:rPr>
          <w:rFonts w:hint="eastAsia" w:ascii="宋体" w:hAnsi="宋体" w:eastAsia="宋体" w:cs="宋体"/>
          <w:sz w:val="160"/>
          <w:szCs w:val="84"/>
          <w:highlight w:val="none"/>
        </w:rPr>
        <w:t>投</w:t>
      </w:r>
      <w:r>
        <w:rPr>
          <w:rFonts w:hint="eastAsia" w:ascii="宋体" w:hAnsi="宋体" w:eastAsia="宋体" w:cs="宋体"/>
          <w:sz w:val="90"/>
          <w:szCs w:val="90"/>
          <w:highlight w:val="none"/>
        </w:rPr>
        <w:t xml:space="preserve"> </w:t>
      </w:r>
      <w:r>
        <w:rPr>
          <w:rFonts w:hint="eastAsia" w:ascii="宋体" w:hAnsi="宋体" w:eastAsia="宋体" w:cs="宋体"/>
          <w:sz w:val="160"/>
          <w:szCs w:val="84"/>
          <w:highlight w:val="none"/>
        </w:rPr>
        <w:t>标</w:t>
      </w:r>
      <w:r>
        <w:rPr>
          <w:rFonts w:hint="eastAsia" w:ascii="宋体" w:hAnsi="宋体" w:eastAsia="宋体" w:cs="宋体"/>
          <w:sz w:val="84"/>
          <w:szCs w:val="84"/>
          <w:highlight w:val="none"/>
        </w:rPr>
        <w:t xml:space="preserve"> </w:t>
      </w:r>
      <w:r>
        <w:rPr>
          <w:rFonts w:hint="eastAsia" w:ascii="宋体" w:hAnsi="宋体" w:eastAsia="宋体" w:cs="宋体"/>
          <w:sz w:val="160"/>
          <w:szCs w:val="84"/>
          <w:highlight w:val="none"/>
        </w:rPr>
        <w:t>文</w:t>
      </w:r>
      <w:r>
        <w:rPr>
          <w:rFonts w:hint="eastAsia" w:ascii="宋体" w:hAnsi="宋体" w:eastAsia="宋体" w:cs="宋体"/>
          <w:sz w:val="84"/>
          <w:szCs w:val="84"/>
          <w:highlight w:val="none"/>
        </w:rPr>
        <w:t xml:space="preserve"> </w:t>
      </w:r>
      <w:r>
        <w:rPr>
          <w:rFonts w:hint="eastAsia" w:ascii="宋体" w:hAnsi="宋体" w:eastAsia="宋体" w:cs="宋体"/>
          <w:sz w:val="160"/>
          <w:szCs w:val="84"/>
          <w:highlight w:val="none"/>
        </w:rPr>
        <w:t>件</w:t>
      </w:r>
      <w:bookmarkEnd w:id="48"/>
      <w:bookmarkEnd w:id="49"/>
      <w:bookmarkEnd w:id="50"/>
    </w:p>
    <w:p>
      <w:pPr>
        <w:autoSpaceDE w:val="0"/>
        <w:autoSpaceDN w:val="0"/>
        <w:adjustRightInd w:val="0"/>
        <w:spacing w:line="520" w:lineRule="exact"/>
        <w:rPr>
          <w:rFonts w:hint="eastAsia" w:ascii="宋体" w:hAnsi="宋体" w:eastAsia="宋体" w:cs="宋体"/>
          <w:b/>
          <w:kern w:val="0"/>
          <w:sz w:val="36"/>
          <w:szCs w:val="36"/>
          <w:highlight w:val="none"/>
        </w:rPr>
      </w:pPr>
    </w:p>
    <w:p>
      <w:pPr>
        <w:autoSpaceDE w:val="0"/>
        <w:autoSpaceDN w:val="0"/>
        <w:adjustRightInd w:val="0"/>
        <w:spacing w:line="520" w:lineRule="exact"/>
        <w:jc w:val="center"/>
        <w:rPr>
          <w:rFonts w:hint="eastAsia" w:ascii="宋体" w:hAnsi="宋体" w:eastAsia="宋体" w:cs="宋体"/>
          <w:b/>
          <w:color w:val="FF0000"/>
          <w:kern w:val="0"/>
          <w:sz w:val="24"/>
          <w:highlight w:val="none"/>
        </w:rPr>
      </w:pPr>
    </w:p>
    <w:p>
      <w:pPr>
        <w:spacing w:beforeLines="30" w:afterLines="70" w:line="540" w:lineRule="exact"/>
        <w:ind w:left="630" w:leftChars="300"/>
        <w:outlineLvl w:val="0"/>
        <w:rPr>
          <w:rFonts w:hint="eastAsia" w:ascii="宋体" w:hAnsi="宋体" w:eastAsia="宋体" w:cs="宋体"/>
          <w:b/>
          <w:sz w:val="34"/>
          <w:szCs w:val="34"/>
          <w:highlight w:val="none"/>
        </w:rPr>
      </w:pPr>
      <w:bookmarkStart w:id="51" w:name="_Toc6701"/>
      <w:bookmarkStart w:id="52" w:name="_Toc12068"/>
      <w:bookmarkStart w:id="53" w:name="_Toc287"/>
      <w:r>
        <w:rPr>
          <w:rFonts w:hint="eastAsia" w:ascii="宋体" w:hAnsi="宋体" w:eastAsia="宋体" w:cs="宋体"/>
          <w:b/>
          <w:sz w:val="34"/>
          <w:szCs w:val="34"/>
          <w:highlight w:val="none"/>
        </w:rPr>
        <w:t>项目编号：</w:t>
      </w:r>
      <w:bookmarkEnd w:id="51"/>
      <w:bookmarkEnd w:id="52"/>
      <w:bookmarkEnd w:id="53"/>
    </w:p>
    <w:p>
      <w:pPr>
        <w:spacing w:beforeLines="30" w:afterLines="70" w:line="540" w:lineRule="exact"/>
        <w:ind w:left="2152" w:leftChars="300" w:hanging="1522" w:hangingChars="446"/>
        <w:outlineLvl w:val="0"/>
        <w:rPr>
          <w:rFonts w:hint="eastAsia" w:ascii="宋体" w:hAnsi="宋体" w:eastAsia="宋体" w:cs="宋体"/>
          <w:b/>
          <w:sz w:val="34"/>
          <w:szCs w:val="34"/>
          <w:highlight w:val="none"/>
        </w:rPr>
      </w:pPr>
      <w:bookmarkStart w:id="54" w:name="_Toc27013"/>
      <w:bookmarkStart w:id="55" w:name="_Toc6347"/>
      <w:bookmarkStart w:id="56" w:name="_Toc25127"/>
      <w:r>
        <w:rPr>
          <w:rFonts w:hint="eastAsia" w:ascii="宋体" w:hAnsi="宋体" w:eastAsia="宋体" w:cs="宋体"/>
          <w:b/>
          <w:sz w:val="34"/>
          <w:szCs w:val="34"/>
          <w:highlight w:val="none"/>
        </w:rPr>
        <w:t>项目名称：</w:t>
      </w:r>
      <w:bookmarkEnd w:id="54"/>
      <w:bookmarkEnd w:id="55"/>
      <w:bookmarkEnd w:id="56"/>
    </w:p>
    <w:p>
      <w:pPr>
        <w:spacing w:beforeLines="30" w:afterLines="70" w:line="540" w:lineRule="exact"/>
        <w:ind w:left="2152" w:leftChars="300" w:hanging="1522" w:hangingChars="446"/>
        <w:outlineLvl w:val="0"/>
        <w:rPr>
          <w:rFonts w:hint="eastAsia" w:ascii="宋体" w:hAnsi="宋体" w:eastAsia="宋体" w:cs="宋体"/>
          <w:b/>
          <w:sz w:val="34"/>
          <w:szCs w:val="34"/>
          <w:highlight w:val="none"/>
        </w:rPr>
      </w:pPr>
      <w:bookmarkStart w:id="57" w:name="_Toc16421"/>
      <w:bookmarkStart w:id="58" w:name="_Toc5086"/>
      <w:bookmarkStart w:id="59" w:name="_Toc24829"/>
      <w:r>
        <w:rPr>
          <w:rFonts w:hint="eastAsia" w:ascii="宋体" w:hAnsi="宋体" w:eastAsia="宋体" w:cs="宋体"/>
          <w:b/>
          <w:sz w:val="34"/>
          <w:szCs w:val="34"/>
          <w:highlight w:val="none"/>
        </w:rPr>
        <w:t>投标包号：</w:t>
      </w:r>
      <w:bookmarkEnd w:id="57"/>
      <w:bookmarkEnd w:id="58"/>
      <w:bookmarkEnd w:id="59"/>
    </w:p>
    <w:p>
      <w:pPr>
        <w:spacing w:beforeLines="30" w:afterLines="70" w:line="540" w:lineRule="exact"/>
        <w:ind w:left="630" w:leftChars="300"/>
        <w:outlineLvl w:val="0"/>
        <w:rPr>
          <w:rFonts w:hint="eastAsia" w:ascii="宋体" w:hAnsi="宋体" w:eastAsia="宋体" w:cs="宋体"/>
          <w:b/>
          <w:sz w:val="34"/>
          <w:szCs w:val="34"/>
          <w:highlight w:val="none"/>
        </w:rPr>
      </w:pPr>
      <w:bookmarkStart w:id="60" w:name="_Toc26406"/>
      <w:bookmarkStart w:id="61" w:name="_Toc4003"/>
      <w:bookmarkStart w:id="62" w:name="_Toc11414"/>
      <w:r>
        <w:rPr>
          <w:rFonts w:hint="eastAsia" w:ascii="宋体" w:hAnsi="宋体" w:eastAsia="宋体" w:cs="宋体"/>
          <w:b/>
          <w:sz w:val="34"/>
          <w:szCs w:val="34"/>
          <w:highlight w:val="none"/>
        </w:rPr>
        <w:t>投标单位名称：</w:t>
      </w:r>
      <w:bookmarkEnd w:id="60"/>
      <w:bookmarkEnd w:id="61"/>
      <w:bookmarkEnd w:id="62"/>
    </w:p>
    <w:p>
      <w:pPr>
        <w:spacing w:beforeLines="30" w:afterLines="70" w:line="540" w:lineRule="exact"/>
        <w:ind w:left="630" w:leftChars="300"/>
        <w:outlineLvl w:val="0"/>
        <w:rPr>
          <w:rFonts w:hint="eastAsia" w:ascii="宋体" w:hAnsi="宋体" w:eastAsia="宋体" w:cs="宋体"/>
          <w:b/>
          <w:sz w:val="34"/>
          <w:szCs w:val="34"/>
          <w:highlight w:val="none"/>
        </w:rPr>
      </w:pPr>
      <w:bookmarkStart w:id="63" w:name="_Toc30447"/>
      <w:bookmarkStart w:id="64" w:name="_Toc8215"/>
      <w:bookmarkStart w:id="65" w:name="_Toc11744"/>
      <w:r>
        <w:rPr>
          <w:rFonts w:hint="eastAsia" w:ascii="宋体" w:hAnsi="宋体" w:eastAsia="宋体" w:cs="宋体"/>
          <w:b/>
          <w:sz w:val="34"/>
          <w:szCs w:val="34"/>
          <w:highlight w:val="none"/>
        </w:rPr>
        <w:t>投标单位电话：</w:t>
      </w:r>
      <w:bookmarkEnd w:id="63"/>
      <w:bookmarkEnd w:id="64"/>
      <w:bookmarkEnd w:id="65"/>
    </w:p>
    <w:p>
      <w:pPr>
        <w:spacing w:beforeLines="30" w:afterLines="70" w:line="540" w:lineRule="exact"/>
        <w:ind w:left="630" w:leftChars="300"/>
        <w:outlineLvl w:val="0"/>
        <w:rPr>
          <w:rFonts w:hint="eastAsia" w:ascii="宋体" w:hAnsi="宋体" w:eastAsia="宋体" w:cs="宋体"/>
          <w:b/>
          <w:sz w:val="34"/>
          <w:szCs w:val="34"/>
          <w:highlight w:val="none"/>
        </w:rPr>
      </w:pPr>
      <w:bookmarkStart w:id="66" w:name="_Toc18147"/>
      <w:bookmarkStart w:id="67" w:name="_Toc16400"/>
      <w:bookmarkStart w:id="68" w:name="_Toc11716"/>
      <w:r>
        <w:rPr>
          <w:rFonts w:hint="eastAsia" w:ascii="宋体" w:hAnsi="宋体" w:eastAsia="宋体" w:cs="宋体"/>
          <w:b/>
          <w:sz w:val="34"/>
          <w:szCs w:val="34"/>
          <w:highlight w:val="none"/>
        </w:rPr>
        <w:t>投标单位详细地址：</w:t>
      </w:r>
      <w:bookmarkEnd w:id="66"/>
      <w:bookmarkEnd w:id="67"/>
      <w:bookmarkEnd w:id="68"/>
    </w:p>
    <w:p>
      <w:pPr>
        <w:spacing w:beforeLines="30" w:afterLines="70" w:line="540" w:lineRule="exact"/>
        <w:ind w:left="630" w:leftChars="300"/>
        <w:outlineLvl w:val="0"/>
        <w:rPr>
          <w:rFonts w:hint="eastAsia" w:ascii="宋体" w:hAnsi="宋体" w:eastAsia="宋体" w:cs="宋体"/>
          <w:b/>
          <w:sz w:val="34"/>
          <w:szCs w:val="34"/>
          <w:highlight w:val="none"/>
        </w:rPr>
      </w:pPr>
      <w:bookmarkStart w:id="69" w:name="_Toc24500"/>
      <w:bookmarkStart w:id="70" w:name="_Toc21198"/>
      <w:bookmarkStart w:id="71" w:name="_Toc9882"/>
      <w:r>
        <w:rPr>
          <w:rFonts w:hint="eastAsia" w:ascii="宋体" w:hAnsi="宋体" w:eastAsia="宋体" w:cs="宋体"/>
          <w:b/>
          <w:kern w:val="0"/>
          <w:sz w:val="34"/>
          <w:szCs w:val="34"/>
          <w:highlight w:val="none"/>
        </w:rPr>
        <w:t>投标代表人姓名：</w:t>
      </w:r>
      <w:bookmarkEnd w:id="69"/>
      <w:bookmarkEnd w:id="70"/>
      <w:bookmarkEnd w:id="71"/>
    </w:p>
    <w:p>
      <w:pPr>
        <w:spacing w:beforeLines="30" w:afterLines="70" w:line="540" w:lineRule="exact"/>
        <w:ind w:left="630" w:leftChars="300"/>
        <w:outlineLvl w:val="0"/>
        <w:rPr>
          <w:rFonts w:hint="eastAsia" w:ascii="宋体" w:hAnsi="宋体" w:eastAsia="宋体" w:cs="宋体"/>
          <w:b/>
          <w:sz w:val="34"/>
          <w:szCs w:val="34"/>
          <w:highlight w:val="none"/>
        </w:rPr>
      </w:pPr>
      <w:bookmarkStart w:id="72" w:name="_Toc15847"/>
      <w:bookmarkStart w:id="73" w:name="_Toc27800"/>
      <w:bookmarkStart w:id="74" w:name="_Toc21182"/>
      <w:r>
        <w:rPr>
          <w:rFonts w:hint="eastAsia" w:ascii="宋体" w:hAnsi="宋体" w:eastAsia="宋体" w:cs="宋体"/>
          <w:b/>
          <w:sz w:val="34"/>
          <w:szCs w:val="34"/>
          <w:highlight w:val="none"/>
        </w:rPr>
        <w:t>法定代表人：</w:t>
      </w:r>
      <w:bookmarkEnd w:id="72"/>
      <w:bookmarkEnd w:id="73"/>
      <w:bookmarkEnd w:id="74"/>
    </w:p>
    <w:p>
      <w:pPr>
        <w:spacing w:beforeLines="30" w:afterLines="70" w:line="540" w:lineRule="exact"/>
        <w:ind w:left="630" w:leftChars="300"/>
        <w:outlineLvl w:val="0"/>
        <w:rPr>
          <w:rFonts w:hint="eastAsia" w:ascii="宋体" w:hAnsi="宋体" w:eastAsia="宋体" w:cs="宋体"/>
          <w:b/>
          <w:bCs/>
          <w:sz w:val="24"/>
          <w:highlight w:val="none"/>
        </w:rPr>
      </w:pPr>
      <w:bookmarkStart w:id="75" w:name="_Toc11824"/>
      <w:bookmarkStart w:id="76" w:name="_Toc790"/>
      <w:bookmarkStart w:id="77" w:name="_Toc9520"/>
      <w:r>
        <w:rPr>
          <w:rFonts w:hint="eastAsia" w:ascii="宋体" w:hAnsi="宋体" w:eastAsia="宋体" w:cs="宋体"/>
          <w:b/>
          <w:sz w:val="34"/>
          <w:szCs w:val="34"/>
          <w:highlight w:val="none"/>
        </w:rPr>
        <w:t>投标日期：   年   月   日</w:t>
      </w:r>
      <w:bookmarkEnd w:id="75"/>
      <w:bookmarkEnd w:id="76"/>
      <w:bookmarkEnd w:id="77"/>
    </w:p>
    <w:p>
      <w:pPr>
        <w:widowControl/>
        <w:jc w:val="left"/>
        <w:rPr>
          <w:rFonts w:hint="eastAsia" w:ascii="宋体" w:hAnsi="宋体" w:eastAsia="宋体" w:cs="宋体"/>
          <w:b/>
          <w:bCs/>
          <w:sz w:val="24"/>
          <w:highlight w:val="none"/>
        </w:rPr>
      </w:pPr>
      <w:r>
        <w:rPr>
          <w:rFonts w:hint="eastAsia" w:ascii="宋体" w:hAnsi="宋体" w:eastAsia="宋体" w:cs="宋体"/>
          <w:b/>
          <w:bCs/>
          <w:sz w:val="24"/>
          <w:highlight w:val="none"/>
        </w:rPr>
        <w:br w:type="page"/>
      </w:r>
    </w:p>
    <w:p>
      <w:pPr>
        <w:autoSpaceDN w:val="0"/>
        <w:spacing w:line="360" w:lineRule="auto"/>
        <w:jc w:val="center"/>
        <w:outlineLvl w:val="0"/>
        <w:rPr>
          <w:rFonts w:hint="eastAsia" w:ascii="宋体" w:hAnsi="宋体" w:eastAsia="宋体" w:cs="宋体"/>
          <w:b/>
          <w:bCs/>
          <w:sz w:val="24"/>
          <w:highlight w:val="none"/>
        </w:rPr>
      </w:pPr>
      <w:bookmarkStart w:id="78" w:name="_Toc20678"/>
      <w:bookmarkStart w:id="79" w:name="_Toc32247"/>
      <w:bookmarkStart w:id="80" w:name="_Toc32395"/>
      <w:r>
        <w:rPr>
          <w:rFonts w:hint="eastAsia" w:ascii="宋体" w:hAnsi="宋体" w:eastAsia="宋体" w:cs="宋体"/>
          <w:b/>
          <w:bCs/>
          <w:sz w:val="24"/>
          <w:highlight w:val="none"/>
        </w:rPr>
        <w:t>投标文件目录格式</w:t>
      </w:r>
      <w:bookmarkEnd w:id="78"/>
      <w:bookmarkEnd w:id="79"/>
      <w:bookmarkEnd w:id="80"/>
    </w:p>
    <w:p>
      <w:pPr>
        <w:autoSpaceDN w:val="0"/>
        <w:spacing w:line="360" w:lineRule="auto"/>
        <w:jc w:val="center"/>
        <w:outlineLvl w:val="0"/>
        <w:rPr>
          <w:rFonts w:hint="eastAsia" w:ascii="宋体" w:hAnsi="宋体" w:eastAsia="宋体" w:cs="宋体"/>
          <w:b/>
          <w:bCs/>
          <w:sz w:val="24"/>
          <w:highlight w:val="none"/>
        </w:rPr>
      </w:pPr>
      <w:bookmarkStart w:id="81" w:name="_Toc17712"/>
      <w:bookmarkStart w:id="82" w:name="_Toc11278"/>
      <w:bookmarkStart w:id="83" w:name="_Toc13877"/>
      <w:r>
        <w:rPr>
          <w:rFonts w:hint="eastAsia" w:ascii="宋体" w:hAnsi="宋体" w:eastAsia="宋体" w:cs="宋体"/>
          <w:b/>
          <w:bCs/>
          <w:sz w:val="24"/>
          <w:highlight w:val="none"/>
        </w:rPr>
        <w:t>（投标人自行编制）</w:t>
      </w:r>
      <w:bookmarkEnd w:id="81"/>
      <w:bookmarkEnd w:id="82"/>
      <w:bookmarkEnd w:id="83"/>
    </w:p>
    <w:p>
      <w:pPr>
        <w:widowControl/>
        <w:jc w:val="center"/>
        <w:rPr>
          <w:rFonts w:hint="eastAsia" w:ascii="宋体" w:hAnsi="宋体" w:eastAsia="宋体" w:cs="宋体"/>
          <w:b/>
          <w:sz w:val="24"/>
          <w:highlight w:val="none"/>
        </w:rPr>
      </w:pPr>
    </w:p>
    <w:p>
      <w:pPr>
        <w:widowControl/>
        <w:jc w:val="left"/>
        <w:rPr>
          <w:rFonts w:hint="eastAsia" w:ascii="宋体" w:hAnsi="宋体" w:eastAsia="宋体" w:cs="宋体"/>
          <w:b/>
          <w:sz w:val="24"/>
          <w:highlight w:val="none"/>
        </w:rPr>
      </w:pPr>
    </w:p>
    <w:p>
      <w:pPr>
        <w:widowControl/>
        <w:jc w:val="left"/>
        <w:rPr>
          <w:rFonts w:hint="eastAsia" w:ascii="宋体" w:hAnsi="宋体" w:eastAsia="宋体" w:cs="宋体"/>
          <w:b/>
          <w:sz w:val="24"/>
          <w:highlight w:val="none"/>
        </w:rPr>
      </w:pPr>
    </w:p>
    <w:p>
      <w:pPr>
        <w:rPr>
          <w:rFonts w:hint="eastAsia" w:ascii="宋体" w:hAnsi="宋体" w:eastAsia="宋体" w:cs="宋体"/>
          <w:b/>
          <w:sz w:val="24"/>
          <w:highlight w:val="none"/>
        </w:rPr>
      </w:pPr>
      <w:r>
        <w:rPr>
          <w:rFonts w:hint="eastAsia" w:ascii="宋体" w:hAnsi="宋体" w:eastAsia="宋体" w:cs="宋体"/>
          <w:b/>
          <w:sz w:val="24"/>
          <w:highlight w:val="none"/>
        </w:rPr>
        <w:br w:type="page"/>
      </w:r>
    </w:p>
    <w:p>
      <w:pPr>
        <w:pStyle w:val="9"/>
        <w:jc w:val="center"/>
        <w:outlineLvl w:val="0"/>
        <w:rPr>
          <w:rFonts w:hint="eastAsia" w:ascii="宋体" w:hAnsi="宋体" w:eastAsia="宋体" w:cs="宋体"/>
          <w:b/>
          <w:bCs/>
          <w:sz w:val="24"/>
          <w:szCs w:val="24"/>
          <w:highlight w:val="none"/>
          <w:lang w:val="en-US" w:eastAsia="zh-CN"/>
        </w:rPr>
      </w:pPr>
      <w:bookmarkStart w:id="84" w:name="_Toc6788"/>
      <w:bookmarkStart w:id="85" w:name="_Toc17033"/>
      <w:bookmarkStart w:id="86" w:name="_Toc28110"/>
      <w:r>
        <w:rPr>
          <w:rFonts w:hint="eastAsia" w:ascii="宋体" w:hAnsi="宋体" w:eastAsia="宋体" w:cs="宋体"/>
          <w:b/>
          <w:bCs/>
          <w:sz w:val="24"/>
          <w:szCs w:val="24"/>
          <w:highlight w:val="none"/>
          <w:lang w:val="en-US" w:eastAsia="zh-CN"/>
        </w:rPr>
        <w:t>评分因素及评标标准页码检索</w:t>
      </w:r>
      <w:bookmarkEnd w:id="84"/>
      <w:bookmarkEnd w:id="85"/>
      <w:bookmarkEnd w:id="86"/>
    </w:p>
    <w:p>
      <w:pPr>
        <w:widowControl/>
        <w:jc w:val="left"/>
        <w:rPr>
          <w:rFonts w:hint="eastAsia" w:ascii="宋体" w:hAnsi="宋体" w:eastAsia="宋体" w:cs="宋体"/>
          <w:b/>
          <w:sz w:val="24"/>
          <w:highlight w:val="none"/>
        </w:rPr>
      </w:pPr>
    </w:p>
    <w:p>
      <w:pPr>
        <w:widowControl/>
        <w:jc w:val="left"/>
        <w:rPr>
          <w:rFonts w:hint="eastAsia" w:ascii="宋体" w:hAnsi="宋体" w:eastAsia="宋体" w:cs="宋体"/>
          <w:b/>
          <w:sz w:val="24"/>
          <w:highlight w:val="none"/>
        </w:rPr>
      </w:pPr>
    </w:p>
    <w:p>
      <w:pPr>
        <w:widowControl/>
        <w:jc w:val="left"/>
        <w:rPr>
          <w:rFonts w:hint="eastAsia" w:ascii="宋体" w:hAnsi="宋体" w:eastAsia="宋体" w:cs="宋体"/>
          <w:b/>
          <w:sz w:val="24"/>
          <w:highlight w:val="none"/>
        </w:rPr>
      </w:pPr>
    </w:p>
    <w:p>
      <w:pPr>
        <w:widowControl/>
        <w:jc w:val="left"/>
        <w:rPr>
          <w:rFonts w:hint="eastAsia" w:ascii="宋体" w:hAnsi="宋体" w:eastAsia="宋体" w:cs="宋体"/>
          <w:b/>
          <w:sz w:val="24"/>
          <w:highlight w:val="none"/>
        </w:rPr>
      </w:pPr>
    </w:p>
    <w:p>
      <w:pPr>
        <w:widowControl/>
        <w:jc w:val="left"/>
        <w:rPr>
          <w:rFonts w:hint="eastAsia" w:ascii="宋体" w:hAnsi="宋体" w:eastAsia="宋体" w:cs="宋体"/>
          <w:b/>
          <w:sz w:val="24"/>
          <w:highlight w:val="none"/>
        </w:rPr>
      </w:pPr>
    </w:p>
    <w:p>
      <w:pPr>
        <w:widowControl/>
        <w:jc w:val="left"/>
        <w:rPr>
          <w:rFonts w:hint="eastAsia" w:ascii="宋体" w:hAnsi="宋体" w:eastAsia="宋体" w:cs="宋体"/>
          <w:b/>
          <w:sz w:val="24"/>
          <w:highlight w:val="none"/>
        </w:rPr>
      </w:pPr>
    </w:p>
    <w:p>
      <w:pPr>
        <w:widowControl/>
        <w:jc w:val="left"/>
        <w:rPr>
          <w:rFonts w:hint="eastAsia" w:ascii="宋体" w:hAnsi="宋体" w:eastAsia="宋体" w:cs="宋体"/>
          <w:b/>
          <w:sz w:val="24"/>
          <w:highlight w:val="none"/>
        </w:rPr>
      </w:pPr>
    </w:p>
    <w:p>
      <w:pPr>
        <w:widowControl/>
        <w:jc w:val="left"/>
        <w:rPr>
          <w:rFonts w:hint="eastAsia" w:ascii="宋体" w:hAnsi="宋体" w:eastAsia="宋体" w:cs="宋体"/>
          <w:b/>
          <w:sz w:val="24"/>
          <w:highlight w:val="none"/>
        </w:rPr>
      </w:pPr>
    </w:p>
    <w:p>
      <w:pPr>
        <w:widowControl/>
        <w:jc w:val="left"/>
        <w:rPr>
          <w:rFonts w:hint="eastAsia" w:ascii="宋体" w:hAnsi="宋体" w:eastAsia="宋体" w:cs="宋体"/>
          <w:b/>
          <w:sz w:val="24"/>
          <w:highlight w:val="none"/>
        </w:rPr>
      </w:pPr>
    </w:p>
    <w:p>
      <w:pPr>
        <w:widowControl/>
        <w:jc w:val="left"/>
        <w:rPr>
          <w:rFonts w:hint="eastAsia" w:ascii="宋体" w:hAnsi="宋体" w:eastAsia="宋体" w:cs="宋体"/>
          <w:b/>
          <w:sz w:val="24"/>
          <w:highlight w:val="none"/>
        </w:rPr>
      </w:pPr>
      <w:r>
        <w:rPr>
          <w:rFonts w:hint="eastAsia" w:ascii="宋体" w:hAnsi="宋体" w:eastAsia="宋体" w:cs="宋体"/>
          <w:b/>
          <w:sz w:val="24"/>
          <w:highlight w:val="none"/>
        </w:rPr>
        <w:br w:type="page"/>
      </w:r>
    </w:p>
    <w:p>
      <w:pPr>
        <w:tabs>
          <w:tab w:val="left" w:pos="360"/>
        </w:tabs>
        <w:spacing w:afterLines="100" w:line="360" w:lineRule="auto"/>
        <w:outlineLvl w:val="0"/>
        <w:rPr>
          <w:rFonts w:hint="eastAsia" w:ascii="宋体" w:hAnsi="宋体" w:eastAsia="宋体" w:cs="宋体"/>
          <w:sz w:val="24"/>
          <w:highlight w:val="none"/>
        </w:rPr>
      </w:pPr>
      <w:bookmarkStart w:id="87" w:name="_Toc31538"/>
      <w:bookmarkStart w:id="88" w:name="_Toc3038"/>
      <w:bookmarkStart w:id="89" w:name="_Toc14943"/>
      <w:r>
        <w:rPr>
          <w:rFonts w:hint="eastAsia" w:ascii="宋体" w:hAnsi="宋体" w:eastAsia="宋体" w:cs="宋体"/>
          <w:sz w:val="24"/>
          <w:highlight w:val="none"/>
        </w:rPr>
        <w:t>附件1</w:t>
      </w:r>
      <w:bookmarkEnd w:id="87"/>
      <w:bookmarkEnd w:id="88"/>
      <w:bookmarkEnd w:id="89"/>
    </w:p>
    <w:p>
      <w:pPr>
        <w:autoSpaceDN w:val="0"/>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投标书</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lang w:val="en-US" w:eastAsia="zh-CN"/>
        </w:rPr>
        <w:t>天津市东丽区市场监督管理局</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中易（天津）工程咨询有限公司</w:t>
      </w:r>
    </w:p>
    <w:p>
      <w:pPr>
        <w:keepNext w:val="0"/>
        <w:keepLines w:val="0"/>
        <w:pageBreakBefore w:val="0"/>
        <w:widowControl w:val="0"/>
        <w:tabs>
          <w:tab w:val="left" w:pos="540"/>
          <w:tab w:val="left" w:pos="72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根据贵方为</w:t>
      </w:r>
      <w:r>
        <w:rPr>
          <w:rFonts w:hint="eastAsia" w:ascii="宋体" w:hAnsi="宋体" w:eastAsia="宋体" w:cs="宋体"/>
          <w:sz w:val="24"/>
          <w:szCs w:val="24"/>
          <w:highlight w:val="none"/>
          <w:u w:val="single"/>
        </w:rPr>
        <w:t xml:space="preserve">                      项</w:t>
      </w:r>
      <w:r>
        <w:rPr>
          <w:rFonts w:hint="eastAsia" w:ascii="宋体" w:hAnsi="宋体" w:eastAsia="宋体" w:cs="宋体"/>
          <w:sz w:val="24"/>
          <w:szCs w:val="24"/>
          <w:highlight w:val="none"/>
        </w:rPr>
        <w:t>目</w:t>
      </w:r>
      <w:bookmarkStart w:id="90" w:name="_Hlk37163208"/>
      <w:r>
        <w:rPr>
          <w:rFonts w:hint="eastAsia" w:ascii="宋体" w:hAnsi="宋体" w:eastAsia="宋体" w:cs="宋体"/>
          <w:sz w:val="24"/>
          <w:szCs w:val="24"/>
          <w:highlight w:val="none"/>
        </w:rPr>
        <w:t>（项目编号</w:t>
      </w:r>
      <w:r>
        <w:rPr>
          <w:rFonts w:hint="eastAsia" w:ascii="宋体" w:hAnsi="宋体" w:eastAsia="宋体" w:cs="宋体"/>
          <w:sz w:val="24"/>
          <w:szCs w:val="24"/>
          <w:highlight w:val="none"/>
          <w:u w:val="single"/>
        </w:rPr>
        <w:t>：              ）（第   包）</w:t>
      </w:r>
      <w:bookmarkEnd w:id="90"/>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 xml:space="preserve">邀请，签字代表 </w:t>
      </w:r>
      <w:r>
        <w:rPr>
          <w:rFonts w:hint="eastAsia" w:ascii="宋体" w:hAnsi="宋体" w:eastAsia="宋体" w:cs="宋体"/>
          <w:sz w:val="24"/>
          <w:szCs w:val="24"/>
          <w:highlight w:val="none"/>
          <w:u w:val="single"/>
        </w:rPr>
        <w:t xml:space="preserve">               （姓名/职务）</w:t>
      </w:r>
      <w:r>
        <w:rPr>
          <w:rFonts w:hint="eastAsia" w:ascii="宋体" w:hAnsi="宋体" w:eastAsia="宋体" w:cs="宋体"/>
          <w:sz w:val="24"/>
          <w:szCs w:val="24"/>
          <w:highlight w:val="none"/>
        </w:rPr>
        <w:t>经正式授权并代表供应商</w:t>
      </w:r>
      <w:r>
        <w:rPr>
          <w:rFonts w:hint="eastAsia" w:ascii="宋体" w:hAnsi="宋体" w:eastAsia="宋体" w:cs="宋体"/>
          <w:sz w:val="24"/>
          <w:szCs w:val="24"/>
          <w:highlight w:val="none"/>
          <w:u w:val="single"/>
        </w:rPr>
        <w:t xml:space="preserve">                  （供应商名称、地址）</w:t>
      </w:r>
      <w:r>
        <w:rPr>
          <w:rFonts w:hint="eastAsia" w:ascii="宋体" w:hAnsi="宋体" w:eastAsia="宋体" w:cs="宋体"/>
          <w:sz w:val="24"/>
          <w:szCs w:val="24"/>
          <w:highlight w:val="none"/>
        </w:rPr>
        <w:t>提交下述文件正本</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份、副本</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份、电子文件</w:t>
      </w: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份。</w:t>
      </w:r>
    </w:p>
    <w:p>
      <w:pPr>
        <w:keepNext w:val="0"/>
        <w:keepLines w:val="0"/>
        <w:pageBreakBefore w:val="0"/>
        <w:widowControl w:val="0"/>
        <w:tabs>
          <w:tab w:val="left" w:pos="540"/>
          <w:tab w:val="left" w:pos="72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据此函，签字代表宣布同意如下：</w:t>
      </w:r>
    </w:p>
    <w:p>
      <w:pPr>
        <w:keepNext w:val="0"/>
        <w:keepLines w:val="0"/>
        <w:pageBreakBefore w:val="0"/>
        <w:widowControl w:val="0"/>
        <w:tabs>
          <w:tab w:val="left" w:pos="540"/>
          <w:tab w:val="left" w:pos="720"/>
        </w:tabs>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FF0000"/>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所附投标报价表中规定的应提供和交付的服务投标总价及服务期</w:t>
      </w:r>
      <w:bookmarkStart w:id="91" w:name="_Hlk37163186"/>
      <w:r>
        <w:rPr>
          <w:rFonts w:hint="eastAsia" w:ascii="宋体" w:hAnsi="宋体" w:cs="宋体"/>
          <w:sz w:val="24"/>
          <w:szCs w:val="24"/>
          <w:highlight w:val="none"/>
          <w:lang w:val="en-US" w:eastAsia="zh-CN"/>
        </w:rPr>
        <w:t>为：服务投标总价：</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元（人民币），</w:t>
      </w:r>
      <w:r>
        <w:rPr>
          <w:rFonts w:hint="eastAsia" w:ascii="宋体" w:hAnsi="宋体" w:cs="宋体"/>
          <w:sz w:val="24"/>
          <w:szCs w:val="24"/>
          <w:highlight w:val="none"/>
          <w:lang w:eastAsia="zh-CN"/>
        </w:rPr>
        <w:t>人民币</w:t>
      </w: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bookmarkEnd w:id="91"/>
      <w:r>
        <w:rPr>
          <w:rFonts w:hint="eastAsia" w:ascii="宋体" w:hAnsi="宋体" w:cs="宋体"/>
          <w:sz w:val="24"/>
          <w:szCs w:val="24"/>
          <w:highlight w:val="none"/>
          <w:u w:val="none"/>
          <w:lang w:eastAsia="zh-CN"/>
        </w:rPr>
        <w:t>；</w:t>
      </w:r>
      <w:r>
        <w:rPr>
          <w:rFonts w:hint="eastAsia" w:ascii="宋体" w:hAnsi="宋体" w:cs="宋体"/>
          <w:sz w:val="24"/>
          <w:szCs w:val="24"/>
          <w:highlight w:val="none"/>
          <w:lang w:val="en-US" w:eastAsia="zh-CN"/>
        </w:rPr>
        <w:t>服务期：</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我公司将按招标文件的规定履行合同责任和义务。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 我公司的投标有效期为提交投标文件的截止之日起60天。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 我公司同意按照招标方要求提供的与投标有关的一切数据或资料，并声明投标文件及所提供的一切资料均真实有效。由于我公司提供资料不实而造成的责任和后果由我公司自行承担。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 xml:space="preserve"> 我公司承诺完全符合《政府采购法》、《政府采购法实施条例》等法律法规规定，并随时接受采购人、集采代理机构的检查验证。在整个招标过程中，我公司若有违规行为，我公司完全接受贵中心依照相关法律法规和招标文件的规定给予处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eastAsia="宋体" w:cs="宋体"/>
          <w:sz w:val="24"/>
          <w:szCs w:val="24"/>
          <w:highlight w:val="none"/>
        </w:rPr>
        <w:t>.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投标截止日前3年在经营活动中没有重大违法记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 我公司若中标，本承诺将成为合同不可分割的一部分，与合同具有同等的法律效力。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 如违反上述承诺，我公司投标无效且接受相关部门依法作出的处罚，并承担通过“天津市政府采购网”等相关媒体予以公布的任何风险和责任。</w:t>
      </w:r>
    </w:p>
    <w:p>
      <w:pPr>
        <w:pStyle w:val="9"/>
        <w:ind w:firstLine="480" w:firstLineChars="200"/>
        <w:rPr>
          <w:rFonts w:hint="default" w:eastAsia="宋体"/>
          <w:highlight w:val="none"/>
          <w:lang w:val="en-US" w:eastAsia="zh-CN"/>
        </w:rPr>
      </w:pPr>
      <w:r>
        <w:rPr>
          <w:rFonts w:hint="eastAsia" w:ascii="宋体" w:hAnsi="宋体" w:cs="宋体"/>
          <w:sz w:val="24"/>
          <w:szCs w:val="24"/>
          <w:highlight w:val="none"/>
          <w:lang w:val="en-US" w:eastAsia="zh-CN"/>
        </w:rPr>
        <w:t>10. 与本投标有关的一切正式往来通讯请寄：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    址：</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邮政编码：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    话：</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传    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投标人代表姓名、职务：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投标人名称（公章）：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日期：     年    月    日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投标人代表签字：</w:t>
      </w:r>
    </w:p>
    <w:p>
      <w:pPr>
        <w:tabs>
          <w:tab w:val="left" w:pos="360"/>
        </w:tabs>
        <w:spacing w:afterLines="100" w:line="360" w:lineRule="auto"/>
        <w:rPr>
          <w:rFonts w:hint="eastAsia" w:ascii="宋体" w:hAnsi="宋体" w:eastAsia="宋体" w:cs="宋体"/>
          <w:sz w:val="24"/>
          <w:highlight w:val="none"/>
        </w:rPr>
      </w:pPr>
    </w:p>
    <w:p>
      <w:pPr>
        <w:tabs>
          <w:tab w:val="left" w:pos="360"/>
        </w:tabs>
        <w:spacing w:afterLines="100" w:line="360" w:lineRule="auto"/>
        <w:rPr>
          <w:rFonts w:hint="eastAsia" w:ascii="宋体" w:hAnsi="宋体" w:eastAsia="宋体" w:cs="宋体"/>
          <w:sz w:val="24"/>
          <w:highlight w:val="none"/>
        </w:rPr>
      </w:pPr>
    </w:p>
    <w:p>
      <w:pPr>
        <w:rPr>
          <w:rFonts w:hint="eastAsia" w:ascii="宋体" w:hAnsi="宋体" w:eastAsia="宋体" w:cs="宋体"/>
          <w:sz w:val="24"/>
          <w:highlight w:val="none"/>
        </w:rPr>
      </w:pPr>
      <w:r>
        <w:rPr>
          <w:rFonts w:hint="eastAsia" w:ascii="宋体" w:hAnsi="宋体" w:eastAsia="宋体" w:cs="宋体"/>
          <w:sz w:val="24"/>
          <w:highlight w:val="none"/>
        </w:rPr>
        <w:br w:type="page"/>
      </w:r>
    </w:p>
    <w:p>
      <w:pPr>
        <w:widowControl/>
        <w:jc w:val="left"/>
        <w:outlineLvl w:val="0"/>
        <w:rPr>
          <w:rFonts w:hint="eastAsia" w:ascii="宋体" w:hAnsi="宋体" w:eastAsia="宋体" w:cs="宋体"/>
          <w:sz w:val="24"/>
          <w:highlight w:val="none"/>
          <w:lang w:val="en-US" w:eastAsia="zh-CN"/>
        </w:rPr>
      </w:pPr>
      <w:bookmarkStart w:id="92" w:name="_Toc3118"/>
      <w:bookmarkStart w:id="93" w:name="_Toc15565"/>
      <w:bookmarkStart w:id="94" w:name="_Toc3591"/>
      <w:r>
        <w:rPr>
          <w:rFonts w:hint="eastAsia" w:ascii="宋体" w:hAnsi="宋体" w:eastAsia="宋体" w:cs="宋体"/>
          <w:sz w:val="24"/>
          <w:highlight w:val="none"/>
        </w:rPr>
        <w:t>附件</w:t>
      </w:r>
      <w:bookmarkEnd w:id="92"/>
      <w:bookmarkEnd w:id="93"/>
      <w:r>
        <w:rPr>
          <w:rFonts w:hint="eastAsia" w:ascii="宋体" w:hAnsi="宋体" w:cs="宋体"/>
          <w:sz w:val="24"/>
          <w:highlight w:val="none"/>
          <w:lang w:val="en-US" w:eastAsia="zh-CN"/>
        </w:rPr>
        <w:t>2</w:t>
      </w:r>
      <w:bookmarkEnd w:id="94"/>
    </w:p>
    <w:p>
      <w:pPr>
        <w:autoSpaceDN w:val="0"/>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开标一览表</w:t>
      </w:r>
    </w:p>
    <w:p>
      <w:pPr>
        <w:ind w:right="84"/>
        <w:rPr>
          <w:rFonts w:hint="eastAsia" w:ascii="宋体" w:hAnsi="宋体" w:eastAsia="宋体" w:cs="宋体"/>
          <w:sz w:val="24"/>
          <w:highlight w:val="none"/>
        </w:rPr>
      </w:pPr>
    </w:p>
    <w:p>
      <w:pPr>
        <w:spacing w:line="460" w:lineRule="exact"/>
        <w:ind w:left="192"/>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pPr>
        <w:spacing w:line="460" w:lineRule="exact"/>
        <w:ind w:left="192"/>
        <w:rPr>
          <w:rFonts w:hint="eastAsia" w:ascii="宋体" w:hAnsi="宋体" w:eastAsia="宋体" w:cs="宋体"/>
          <w:sz w:val="24"/>
          <w:highlight w:val="none"/>
        </w:rPr>
      </w:pPr>
      <w:r>
        <w:rPr>
          <w:rFonts w:hint="eastAsia" w:ascii="宋体" w:hAnsi="宋体" w:eastAsia="宋体" w:cs="宋体"/>
          <w:sz w:val="24"/>
          <w:highlight w:val="none"/>
        </w:rPr>
        <w:t>项目编号：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pPr>
        <w:spacing w:line="460" w:lineRule="exact"/>
        <w:rPr>
          <w:rFonts w:hint="eastAsia" w:ascii="宋体" w:hAnsi="宋体" w:eastAsia="宋体" w:cs="宋体"/>
          <w:sz w:val="24"/>
          <w:highlight w:val="none"/>
        </w:rPr>
      </w:pPr>
      <w:r>
        <w:rPr>
          <w:rFonts w:hint="eastAsia" w:ascii="宋体" w:hAnsi="宋体" w:eastAsia="宋体" w:cs="宋体"/>
          <w:sz w:val="24"/>
          <w:highlight w:val="none"/>
        </w:rPr>
        <w:t xml:space="preserve">                                                       单位：元</w:t>
      </w:r>
    </w:p>
    <w:tbl>
      <w:tblPr>
        <w:tblStyle w:val="23"/>
        <w:tblW w:w="99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2"/>
        <w:gridCol w:w="2102"/>
        <w:gridCol w:w="1244"/>
        <w:gridCol w:w="1244"/>
        <w:gridCol w:w="1244"/>
        <w:gridCol w:w="2102"/>
        <w:gridCol w:w="11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872" w:type="dxa"/>
            <w:noWrap w:val="0"/>
            <w:vAlign w:val="center"/>
          </w:tcPr>
          <w:p>
            <w:pPr>
              <w:spacing w:line="4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102" w:type="dxa"/>
            <w:noWrap w:val="0"/>
            <w:vAlign w:val="center"/>
          </w:tcPr>
          <w:p>
            <w:pPr>
              <w:spacing w:line="4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服务名称</w:t>
            </w:r>
          </w:p>
        </w:tc>
        <w:tc>
          <w:tcPr>
            <w:tcW w:w="1244" w:type="dxa"/>
            <w:noWrap w:val="0"/>
            <w:vAlign w:val="center"/>
          </w:tcPr>
          <w:p>
            <w:pPr>
              <w:spacing w:line="46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服务内容</w:t>
            </w:r>
          </w:p>
        </w:tc>
        <w:tc>
          <w:tcPr>
            <w:tcW w:w="1244" w:type="dxa"/>
            <w:noWrap w:val="0"/>
            <w:vAlign w:val="center"/>
          </w:tcPr>
          <w:p>
            <w:pPr>
              <w:spacing w:line="460" w:lineRule="exact"/>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服务期限</w:t>
            </w:r>
          </w:p>
        </w:tc>
        <w:tc>
          <w:tcPr>
            <w:tcW w:w="1244" w:type="dxa"/>
            <w:noWrap w:val="0"/>
            <w:vAlign w:val="center"/>
          </w:tcPr>
          <w:p>
            <w:pPr>
              <w:spacing w:line="4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2102" w:type="dxa"/>
            <w:noWrap w:val="0"/>
            <w:vAlign w:val="center"/>
          </w:tcPr>
          <w:p>
            <w:pPr>
              <w:spacing w:line="4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投标总价（元）</w:t>
            </w:r>
          </w:p>
        </w:tc>
        <w:tc>
          <w:tcPr>
            <w:tcW w:w="1128" w:type="dxa"/>
            <w:noWrap w:val="0"/>
            <w:vAlign w:val="center"/>
          </w:tcPr>
          <w:p>
            <w:pPr>
              <w:spacing w:line="4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40" w:hRule="atLeast"/>
          <w:jc w:val="center"/>
        </w:trPr>
        <w:tc>
          <w:tcPr>
            <w:tcW w:w="872" w:type="dxa"/>
            <w:noWrap w:val="0"/>
            <w:vAlign w:val="center"/>
          </w:tcPr>
          <w:p>
            <w:pPr>
              <w:spacing w:line="4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102" w:type="dxa"/>
            <w:noWrap w:val="0"/>
            <w:vAlign w:val="center"/>
          </w:tcPr>
          <w:p>
            <w:pPr>
              <w:spacing w:line="460" w:lineRule="exact"/>
              <w:jc w:val="center"/>
              <w:rPr>
                <w:rFonts w:hint="eastAsia" w:ascii="宋体" w:hAnsi="宋体" w:eastAsia="宋体" w:cs="宋体"/>
                <w:sz w:val="24"/>
                <w:szCs w:val="24"/>
                <w:highlight w:val="none"/>
              </w:rPr>
            </w:pPr>
          </w:p>
        </w:tc>
        <w:tc>
          <w:tcPr>
            <w:tcW w:w="1244" w:type="dxa"/>
            <w:noWrap w:val="0"/>
            <w:vAlign w:val="center"/>
          </w:tcPr>
          <w:p>
            <w:pPr>
              <w:spacing w:line="460" w:lineRule="exact"/>
              <w:jc w:val="center"/>
              <w:rPr>
                <w:rFonts w:hint="eastAsia" w:ascii="宋体" w:hAnsi="宋体" w:eastAsia="宋体" w:cs="宋体"/>
                <w:sz w:val="24"/>
                <w:szCs w:val="24"/>
                <w:highlight w:val="none"/>
              </w:rPr>
            </w:pPr>
          </w:p>
        </w:tc>
        <w:tc>
          <w:tcPr>
            <w:tcW w:w="1244" w:type="dxa"/>
            <w:noWrap w:val="0"/>
            <w:vAlign w:val="center"/>
          </w:tcPr>
          <w:p>
            <w:pPr>
              <w:spacing w:line="460" w:lineRule="exact"/>
              <w:jc w:val="center"/>
              <w:rPr>
                <w:rFonts w:hint="eastAsia" w:ascii="宋体" w:hAnsi="宋体" w:eastAsia="宋体" w:cs="宋体"/>
                <w:sz w:val="24"/>
                <w:szCs w:val="24"/>
                <w:highlight w:val="none"/>
              </w:rPr>
            </w:pPr>
          </w:p>
        </w:tc>
        <w:tc>
          <w:tcPr>
            <w:tcW w:w="1244" w:type="dxa"/>
            <w:noWrap w:val="0"/>
            <w:vAlign w:val="center"/>
          </w:tcPr>
          <w:p>
            <w:pPr>
              <w:spacing w:line="460" w:lineRule="exact"/>
              <w:jc w:val="center"/>
              <w:rPr>
                <w:rFonts w:hint="eastAsia" w:ascii="宋体" w:hAnsi="宋体" w:eastAsia="宋体" w:cs="宋体"/>
                <w:sz w:val="24"/>
                <w:szCs w:val="24"/>
                <w:highlight w:val="none"/>
              </w:rPr>
            </w:pPr>
          </w:p>
        </w:tc>
        <w:tc>
          <w:tcPr>
            <w:tcW w:w="2102" w:type="dxa"/>
            <w:noWrap w:val="0"/>
            <w:vAlign w:val="center"/>
          </w:tcPr>
          <w:p>
            <w:pPr>
              <w:spacing w:line="460" w:lineRule="exact"/>
              <w:jc w:val="center"/>
              <w:rPr>
                <w:rFonts w:hint="eastAsia" w:ascii="宋体" w:hAnsi="宋体" w:eastAsia="宋体" w:cs="宋体"/>
                <w:sz w:val="24"/>
                <w:szCs w:val="24"/>
                <w:highlight w:val="none"/>
              </w:rPr>
            </w:pPr>
          </w:p>
        </w:tc>
        <w:tc>
          <w:tcPr>
            <w:tcW w:w="1128" w:type="dxa"/>
            <w:noWrap w:val="0"/>
            <w:vAlign w:val="center"/>
          </w:tcPr>
          <w:p>
            <w:pPr>
              <w:spacing w:line="46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4" w:hRule="atLeast"/>
          <w:jc w:val="center"/>
        </w:trPr>
        <w:tc>
          <w:tcPr>
            <w:tcW w:w="2974" w:type="dxa"/>
            <w:gridSpan w:val="2"/>
            <w:noWrap w:val="0"/>
            <w:vAlign w:val="center"/>
          </w:tcPr>
          <w:p>
            <w:pPr>
              <w:spacing w:line="46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合计</w:t>
            </w:r>
          </w:p>
        </w:tc>
        <w:tc>
          <w:tcPr>
            <w:tcW w:w="6962" w:type="dxa"/>
            <w:gridSpan w:val="5"/>
            <w:noWrap w:val="0"/>
            <w:vAlign w:val="center"/>
          </w:tcPr>
          <w:p>
            <w:pPr>
              <w:spacing w:line="460" w:lineRule="exact"/>
              <w:jc w:val="left"/>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en-US" w:eastAsia="zh-CN"/>
              </w:rPr>
              <w:t>小写：</w:t>
            </w:r>
            <w:r>
              <w:rPr>
                <w:rFonts w:hint="eastAsia" w:ascii="宋体" w:hAnsi="宋体" w:eastAsia="宋体" w:cs="宋体"/>
                <w:sz w:val="24"/>
                <w:szCs w:val="24"/>
                <w:highlight w:val="none"/>
                <w:u w:val="single"/>
                <w:lang w:val="en-US" w:eastAsia="zh-CN"/>
              </w:rPr>
              <w:t xml:space="preserve">¥                        </w:t>
            </w:r>
          </w:p>
          <w:p>
            <w:pPr>
              <w:spacing w:line="460" w:lineRule="exact"/>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大写：</w:t>
            </w:r>
            <w:r>
              <w:rPr>
                <w:rFonts w:hint="eastAsia" w:ascii="宋体" w:hAnsi="宋体" w:eastAsia="宋体" w:cs="宋体"/>
                <w:sz w:val="24"/>
                <w:szCs w:val="24"/>
                <w:highlight w:val="none"/>
                <w:u w:val="single"/>
                <w:lang w:val="en-US" w:eastAsia="zh-CN"/>
              </w:rPr>
              <w:t xml:space="preserve">人民币                   </w:t>
            </w:r>
          </w:p>
        </w:tc>
      </w:tr>
    </w:tbl>
    <w:p>
      <w:pPr>
        <w:pStyle w:val="9"/>
        <w:rPr>
          <w:rFonts w:hint="eastAsia" w:ascii="宋体" w:hAnsi="宋体" w:eastAsia="宋体" w:cs="宋体"/>
          <w:highlight w:val="none"/>
        </w:rPr>
      </w:pPr>
    </w:p>
    <w:p>
      <w:pPr>
        <w:rPr>
          <w:rFonts w:hint="eastAsia" w:ascii="宋体" w:hAnsi="宋体" w:eastAsia="宋体" w:cs="宋体"/>
          <w:highlight w:val="none"/>
        </w:rPr>
      </w:pPr>
    </w:p>
    <w:p>
      <w:pPr>
        <w:pStyle w:val="9"/>
        <w:rPr>
          <w:rFonts w:hint="eastAsia" w:ascii="宋体" w:hAnsi="宋体" w:eastAsia="宋体" w:cs="宋体"/>
          <w:highlight w:val="none"/>
        </w:rPr>
      </w:pPr>
    </w:p>
    <w:p>
      <w:pPr>
        <w:rPr>
          <w:rFonts w:hint="eastAsia" w:ascii="宋体" w:hAnsi="宋体" w:eastAsia="宋体" w:cs="宋体"/>
          <w:highlight w:val="none"/>
        </w:rPr>
      </w:pPr>
    </w:p>
    <w:p>
      <w:pPr>
        <w:pStyle w:val="9"/>
        <w:rPr>
          <w:rFonts w:hint="eastAsia" w:ascii="宋体" w:hAnsi="宋体" w:eastAsia="宋体" w:cs="宋体"/>
          <w:highlight w:val="none"/>
        </w:rPr>
      </w:pPr>
    </w:p>
    <w:p>
      <w:pPr>
        <w:rPr>
          <w:rFonts w:hint="eastAsia" w:ascii="宋体" w:hAnsi="宋体" w:eastAsia="宋体" w:cs="宋体"/>
          <w:highlight w:val="none"/>
        </w:rPr>
      </w:pPr>
    </w:p>
    <w:p>
      <w:pPr>
        <w:pStyle w:val="9"/>
        <w:rPr>
          <w:rFonts w:hint="eastAsia" w:ascii="宋体" w:hAnsi="宋体" w:eastAsia="宋体" w:cs="宋体"/>
          <w:highlight w:val="none"/>
        </w:rPr>
      </w:pPr>
    </w:p>
    <w:p>
      <w:pPr>
        <w:rPr>
          <w:rFonts w:hint="eastAsia" w:ascii="宋体" w:hAnsi="宋体" w:eastAsia="宋体" w:cs="宋体"/>
          <w:highlight w:val="none"/>
        </w:rPr>
      </w:pPr>
    </w:p>
    <w:p>
      <w:pPr>
        <w:pStyle w:val="9"/>
        <w:rPr>
          <w:rFonts w:hint="eastAsia" w:ascii="宋体" w:hAnsi="宋体" w:eastAsia="宋体" w:cs="宋体"/>
          <w:highlight w:val="none"/>
        </w:rPr>
      </w:pPr>
    </w:p>
    <w:p>
      <w:pPr>
        <w:rPr>
          <w:rFonts w:hint="eastAsia" w:ascii="宋体" w:hAnsi="宋体" w:eastAsia="宋体" w:cs="宋体"/>
          <w:highlight w:val="none"/>
        </w:rPr>
      </w:pPr>
    </w:p>
    <w:p>
      <w:pPr>
        <w:pStyle w:val="9"/>
        <w:rPr>
          <w:rFonts w:hint="eastAsia"/>
          <w:highlight w:val="none"/>
        </w:rPr>
      </w:pPr>
    </w:p>
    <w:p>
      <w:pPr>
        <w:spacing w:line="360" w:lineRule="auto"/>
        <w:ind w:firstLine="3840" w:firstLineChars="1600"/>
        <w:rPr>
          <w:rFonts w:hint="eastAsia" w:ascii="宋体" w:hAnsi="宋体" w:eastAsia="宋体" w:cs="宋体"/>
          <w:sz w:val="24"/>
          <w:highlight w:val="none"/>
        </w:rPr>
      </w:pPr>
      <w:r>
        <w:rPr>
          <w:rFonts w:hint="eastAsia" w:ascii="宋体" w:hAnsi="宋体" w:eastAsia="宋体" w:cs="宋体"/>
          <w:sz w:val="24"/>
          <w:highlight w:val="none"/>
        </w:rPr>
        <w:t>投标人名称</w:t>
      </w:r>
      <w:r>
        <w:rPr>
          <w:rFonts w:hint="eastAsia" w:ascii="宋体" w:hAnsi="宋体" w:cs="宋体"/>
          <w:sz w:val="24"/>
          <w:highlight w:val="none"/>
          <w:lang w:eastAsia="zh-CN"/>
        </w:rPr>
        <w:t>（</w:t>
      </w:r>
      <w:r>
        <w:rPr>
          <w:rFonts w:hint="eastAsia" w:ascii="宋体" w:hAnsi="宋体" w:cs="宋体"/>
          <w:sz w:val="24"/>
          <w:highlight w:val="none"/>
          <w:lang w:val="en-US" w:eastAsia="zh-CN"/>
        </w:rPr>
        <w:t>盖章</w:t>
      </w:r>
      <w:r>
        <w:rPr>
          <w:rFonts w:hint="eastAsia" w:ascii="宋体" w:hAnsi="宋体" w:cs="宋体"/>
          <w:sz w:val="24"/>
          <w:highlight w:val="none"/>
          <w:lang w:eastAsia="zh-CN"/>
        </w:rPr>
        <w:t>）</w:t>
      </w:r>
      <w:r>
        <w:rPr>
          <w:rFonts w:hint="eastAsia" w:ascii="宋体" w:hAnsi="宋体" w:eastAsia="宋体" w:cs="宋体"/>
          <w:sz w:val="24"/>
          <w:highlight w:val="none"/>
        </w:rPr>
        <w:t>：</w:t>
      </w:r>
    </w:p>
    <w:p>
      <w:pPr>
        <w:pStyle w:val="9"/>
        <w:jc w:val="right"/>
        <w:rPr>
          <w:rFonts w:hint="default"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法定代表人或授权委托人（签字或盖章）：</w:t>
      </w:r>
    </w:p>
    <w:p>
      <w:pPr>
        <w:spacing w:line="360" w:lineRule="auto"/>
        <w:ind w:firstLine="3840" w:firstLineChars="1600"/>
        <w:rPr>
          <w:rFonts w:hint="eastAsia" w:ascii="宋体" w:hAnsi="宋体" w:eastAsia="宋体" w:cs="宋体"/>
          <w:sz w:val="24"/>
          <w:highlight w:val="none"/>
        </w:rPr>
      </w:pPr>
      <w:r>
        <w:rPr>
          <w:rFonts w:hint="eastAsia" w:ascii="宋体" w:hAnsi="宋体" w:eastAsia="宋体" w:cs="宋体"/>
          <w:sz w:val="24"/>
          <w:highlight w:val="none"/>
        </w:rPr>
        <w:t>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spacing w:line="360" w:lineRule="auto"/>
        <w:ind w:right="84" w:firstLine="420"/>
        <w:rPr>
          <w:rFonts w:hint="eastAsia" w:ascii="宋体" w:hAnsi="宋体" w:eastAsia="宋体" w:cs="宋体"/>
          <w:sz w:val="24"/>
          <w:highlight w:val="none"/>
        </w:rPr>
      </w:pPr>
    </w:p>
    <w:p>
      <w:pPr>
        <w:spacing w:line="360" w:lineRule="auto"/>
        <w:ind w:right="84" w:firstLine="420"/>
        <w:rPr>
          <w:rFonts w:hint="eastAsia" w:ascii="宋体" w:hAnsi="宋体" w:eastAsia="宋体" w:cs="宋体"/>
          <w:sz w:val="24"/>
          <w:highlight w:val="none"/>
        </w:rPr>
      </w:pPr>
    </w:p>
    <w:p>
      <w:pPr>
        <w:widowControl/>
        <w:jc w:val="left"/>
        <w:rPr>
          <w:rFonts w:hint="eastAsia" w:ascii="宋体" w:hAnsi="宋体" w:eastAsia="宋体" w:cs="宋体"/>
          <w:sz w:val="24"/>
          <w:highlight w:val="none"/>
        </w:rPr>
      </w:pPr>
      <w:r>
        <w:rPr>
          <w:rFonts w:hint="eastAsia" w:ascii="宋体" w:hAnsi="宋体" w:eastAsia="宋体" w:cs="宋体"/>
          <w:sz w:val="24"/>
          <w:highlight w:val="none"/>
        </w:rPr>
        <w:br w:type="page"/>
      </w:r>
    </w:p>
    <w:p>
      <w:pPr>
        <w:tabs>
          <w:tab w:val="left" w:pos="360"/>
        </w:tabs>
        <w:spacing w:afterLines="100" w:line="360" w:lineRule="auto"/>
        <w:outlineLvl w:val="0"/>
        <w:rPr>
          <w:rFonts w:hint="eastAsia" w:ascii="宋体" w:hAnsi="宋体" w:eastAsia="宋体" w:cs="宋体"/>
          <w:sz w:val="24"/>
          <w:highlight w:val="none"/>
          <w:lang w:val="en-US" w:eastAsia="zh-CN"/>
        </w:rPr>
      </w:pPr>
      <w:bookmarkStart w:id="95" w:name="_Toc11208"/>
      <w:bookmarkStart w:id="96" w:name="_Toc17881"/>
      <w:bookmarkStart w:id="97" w:name="_Toc24032"/>
      <w:r>
        <w:rPr>
          <w:rFonts w:hint="eastAsia" w:ascii="宋体" w:hAnsi="宋体" w:eastAsia="宋体" w:cs="宋体"/>
          <w:sz w:val="24"/>
          <w:highlight w:val="none"/>
        </w:rPr>
        <w:t>附件</w:t>
      </w:r>
      <w:bookmarkEnd w:id="95"/>
      <w:bookmarkEnd w:id="96"/>
      <w:r>
        <w:rPr>
          <w:rFonts w:hint="eastAsia" w:ascii="宋体" w:hAnsi="宋体" w:cs="宋体"/>
          <w:sz w:val="24"/>
          <w:highlight w:val="none"/>
          <w:lang w:val="en-US" w:eastAsia="zh-CN"/>
        </w:rPr>
        <w:t>3</w:t>
      </w:r>
      <w:bookmarkEnd w:id="97"/>
    </w:p>
    <w:p>
      <w:pPr>
        <w:autoSpaceDN w:val="0"/>
        <w:spacing w:line="36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项目明细报价表</w:t>
      </w:r>
    </w:p>
    <w:p>
      <w:pPr>
        <w:ind w:right="84"/>
        <w:rPr>
          <w:rFonts w:hint="eastAsia" w:ascii="宋体" w:hAnsi="宋体" w:eastAsia="宋体" w:cs="宋体"/>
          <w:sz w:val="24"/>
          <w:highlight w:val="none"/>
        </w:rPr>
      </w:pPr>
    </w:p>
    <w:p>
      <w:pPr>
        <w:spacing w:line="460" w:lineRule="exact"/>
        <w:ind w:left="192"/>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p>
    <w:p>
      <w:pPr>
        <w:spacing w:line="460" w:lineRule="exact"/>
        <w:ind w:left="192"/>
        <w:rPr>
          <w:rFonts w:hint="eastAsia" w:ascii="宋体" w:hAnsi="宋体" w:eastAsia="宋体" w:cs="宋体"/>
          <w:sz w:val="24"/>
          <w:highlight w:val="none"/>
        </w:rPr>
      </w:pPr>
      <w:r>
        <w:rPr>
          <w:rFonts w:hint="eastAsia" w:ascii="宋体" w:hAnsi="宋体" w:eastAsia="宋体" w:cs="宋体"/>
          <w:sz w:val="24"/>
          <w:highlight w:val="none"/>
        </w:rPr>
        <w:t>项目编号：</w:t>
      </w:r>
      <w:r>
        <w:rPr>
          <w:rFonts w:hint="eastAsia" w:ascii="宋体" w:hAnsi="宋体" w:eastAsia="宋体" w:cs="宋体"/>
          <w:sz w:val="24"/>
          <w:highlight w:val="none"/>
          <w:u w:val="single"/>
        </w:rPr>
        <w:t xml:space="preserve">                    </w:t>
      </w:r>
    </w:p>
    <w:p>
      <w:pPr>
        <w:spacing w:line="460" w:lineRule="exact"/>
        <w:ind w:left="192"/>
        <w:rPr>
          <w:rFonts w:hint="eastAsia" w:ascii="宋体" w:hAnsi="宋体" w:eastAsia="宋体" w:cs="宋体"/>
          <w:sz w:val="24"/>
          <w:highlight w:val="none"/>
        </w:rPr>
      </w:pPr>
      <w:r>
        <w:rPr>
          <w:rFonts w:hint="eastAsia" w:ascii="宋体" w:hAnsi="宋体" w:eastAsia="宋体" w:cs="宋体"/>
          <w:sz w:val="24"/>
          <w:highlight w:val="none"/>
        </w:rPr>
        <w:t>包    号：</w:t>
      </w:r>
      <w:r>
        <w:rPr>
          <w:rFonts w:hint="eastAsia" w:ascii="宋体" w:hAnsi="宋体" w:eastAsia="宋体" w:cs="宋体"/>
          <w:sz w:val="24"/>
          <w:highlight w:val="none"/>
          <w:u w:val="single"/>
        </w:rPr>
        <w:t xml:space="preserve">                    </w:t>
      </w:r>
    </w:p>
    <w:p>
      <w:pPr>
        <w:spacing w:line="460" w:lineRule="exact"/>
        <w:ind w:firstLine="6960" w:firstLineChars="2900"/>
        <w:rPr>
          <w:rFonts w:hint="eastAsia" w:ascii="宋体" w:hAnsi="宋体" w:eastAsia="宋体" w:cs="宋体"/>
          <w:sz w:val="24"/>
          <w:highlight w:val="none"/>
        </w:rPr>
      </w:pPr>
      <w:r>
        <w:rPr>
          <w:rFonts w:hint="eastAsia" w:ascii="宋体" w:hAnsi="宋体" w:eastAsia="宋体" w:cs="宋体"/>
          <w:sz w:val="24"/>
          <w:highlight w:val="none"/>
        </w:rPr>
        <w:t>单位：元</w:t>
      </w:r>
    </w:p>
    <w:tbl>
      <w:tblPr>
        <w:tblStyle w:val="23"/>
        <w:tblW w:w="9417" w:type="dxa"/>
        <w:jc w:val="center"/>
        <w:tblLayout w:type="fixed"/>
        <w:tblCellMar>
          <w:top w:w="0" w:type="dxa"/>
          <w:left w:w="108" w:type="dxa"/>
          <w:bottom w:w="0" w:type="dxa"/>
          <w:right w:w="108" w:type="dxa"/>
        </w:tblCellMar>
      </w:tblPr>
      <w:tblGrid>
        <w:gridCol w:w="1277"/>
        <w:gridCol w:w="1979"/>
        <w:gridCol w:w="1642"/>
        <w:gridCol w:w="1093"/>
        <w:gridCol w:w="1623"/>
        <w:gridCol w:w="1803"/>
      </w:tblGrid>
      <w:tr>
        <w:tblPrEx>
          <w:tblCellMar>
            <w:top w:w="0" w:type="dxa"/>
            <w:left w:w="108" w:type="dxa"/>
            <w:bottom w:w="0" w:type="dxa"/>
            <w:right w:w="108" w:type="dxa"/>
          </w:tblCellMar>
        </w:tblPrEx>
        <w:trPr>
          <w:trHeight w:val="996" w:hRule="atLeast"/>
          <w:jc w:val="center"/>
        </w:trPr>
        <w:tc>
          <w:tcPr>
            <w:tcW w:w="1277" w:type="dxa"/>
            <w:tcBorders>
              <w:top w:val="single" w:color="auto" w:sz="8" w:space="0"/>
              <w:left w:val="single" w:color="auto" w:sz="8" w:space="0"/>
              <w:bottom w:val="single" w:color="auto" w:sz="4" w:space="0"/>
              <w:right w:val="single" w:color="auto" w:sz="4" w:space="0"/>
            </w:tcBorders>
            <w:noWrap w:val="0"/>
            <w:vAlign w:val="center"/>
          </w:tcPr>
          <w:p>
            <w:pPr>
              <w:spacing w:line="460" w:lineRule="exact"/>
              <w:jc w:val="center"/>
              <w:rPr>
                <w:color w:val="000000"/>
                <w:sz w:val="24"/>
                <w:szCs w:val="24"/>
                <w:highlight w:val="none"/>
              </w:rPr>
            </w:pPr>
            <w:r>
              <w:rPr>
                <w:rFonts w:hint="eastAsia"/>
                <w:color w:val="000000"/>
                <w:sz w:val="24"/>
                <w:szCs w:val="24"/>
                <w:highlight w:val="none"/>
              </w:rPr>
              <w:t>项号</w:t>
            </w:r>
          </w:p>
        </w:tc>
        <w:tc>
          <w:tcPr>
            <w:tcW w:w="1979" w:type="dxa"/>
            <w:tcBorders>
              <w:top w:val="single" w:color="auto" w:sz="8" w:space="0"/>
              <w:left w:val="nil"/>
              <w:bottom w:val="single" w:color="auto" w:sz="4" w:space="0"/>
              <w:right w:val="single" w:color="auto" w:sz="4" w:space="0"/>
            </w:tcBorders>
            <w:noWrap w:val="0"/>
            <w:vAlign w:val="center"/>
          </w:tcPr>
          <w:p>
            <w:pPr>
              <w:spacing w:line="460" w:lineRule="exact"/>
              <w:jc w:val="center"/>
              <w:rPr>
                <w:color w:val="000000"/>
                <w:sz w:val="24"/>
                <w:szCs w:val="24"/>
                <w:highlight w:val="none"/>
              </w:rPr>
            </w:pPr>
            <w:r>
              <w:rPr>
                <w:rFonts w:hint="eastAsia"/>
                <w:color w:val="000000"/>
                <w:sz w:val="24"/>
                <w:szCs w:val="24"/>
                <w:highlight w:val="none"/>
              </w:rPr>
              <w:t>服务分项名称</w:t>
            </w:r>
          </w:p>
        </w:tc>
        <w:tc>
          <w:tcPr>
            <w:tcW w:w="1642" w:type="dxa"/>
            <w:tcBorders>
              <w:top w:val="single" w:color="auto" w:sz="8" w:space="0"/>
              <w:left w:val="nil"/>
              <w:bottom w:val="single" w:color="auto" w:sz="4" w:space="0"/>
              <w:right w:val="single" w:color="auto" w:sz="4" w:space="0"/>
            </w:tcBorders>
            <w:noWrap w:val="0"/>
            <w:vAlign w:val="center"/>
          </w:tcPr>
          <w:p>
            <w:pPr>
              <w:spacing w:line="460" w:lineRule="exact"/>
              <w:jc w:val="center"/>
              <w:rPr>
                <w:rFonts w:hint="eastAsia" w:eastAsia="宋体"/>
                <w:color w:val="000000"/>
                <w:sz w:val="24"/>
                <w:szCs w:val="24"/>
                <w:highlight w:val="none"/>
                <w:lang w:eastAsia="zh-CN"/>
              </w:rPr>
            </w:pPr>
            <w:r>
              <w:rPr>
                <w:rFonts w:hint="eastAsia"/>
                <w:color w:val="000000"/>
                <w:sz w:val="24"/>
                <w:szCs w:val="24"/>
                <w:highlight w:val="none"/>
                <w:lang w:val="en-US" w:eastAsia="zh-CN"/>
              </w:rPr>
              <w:t>服务期限</w:t>
            </w:r>
          </w:p>
        </w:tc>
        <w:tc>
          <w:tcPr>
            <w:tcW w:w="1093" w:type="dxa"/>
            <w:tcBorders>
              <w:top w:val="single" w:color="auto" w:sz="8" w:space="0"/>
              <w:left w:val="nil"/>
              <w:bottom w:val="single" w:color="auto" w:sz="4" w:space="0"/>
              <w:right w:val="single" w:color="auto" w:sz="4" w:space="0"/>
            </w:tcBorders>
            <w:noWrap w:val="0"/>
            <w:vAlign w:val="center"/>
          </w:tcPr>
          <w:p>
            <w:pPr>
              <w:spacing w:line="460" w:lineRule="exact"/>
              <w:jc w:val="center"/>
              <w:rPr>
                <w:rFonts w:hint="eastAsia" w:eastAsia="宋体"/>
                <w:color w:val="000000"/>
                <w:sz w:val="24"/>
                <w:szCs w:val="24"/>
                <w:highlight w:val="none"/>
                <w:lang w:eastAsia="zh-CN"/>
              </w:rPr>
            </w:pPr>
            <w:r>
              <w:rPr>
                <w:rFonts w:hint="eastAsia"/>
                <w:color w:val="000000"/>
                <w:sz w:val="24"/>
                <w:szCs w:val="24"/>
                <w:highlight w:val="none"/>
                <w:lang w:val="en-US" w:eastAsia="zh-CN"/>
              </w:rPr>
              <w:t>数量</w:t>
            </w:r>
          </w:p>
        </w:tc>
        <w:tc>
          <w:tcPr>
            <w:tcW w:w="1623" w:type="dxa"/>
            <w:tcBorders>
              <w:top w:val="single" w:color="auto" w:sz="8" w:space="0"/>
              <w:left w:val="nil"/>
              <w:bottom w:val="single" w:color="auto" w:sz="4" w:space="0"/>
              <w:right w:val="single" w:color="auto" w:sz="4" w:space="0"/>
            </w:tcBorders>
            <w:noWrap w:val="0"/>
            <w:vAlign w:val="center"/>
          </w:tcPr>
          <w:p>
            <w:pPr>
              <w:widowControl/>
              <w:jc w:val="center"/>
              <w:rPr>
                <w:rFonts w:hint="eastAsia" w:ascii="宋体" w:hAnsi="宋体" w:eastAsia="宋体" w:cs="宋体"/>
                <w:bCs/>
                <w:color w:val="000000"/>
                <w:kern w:val="0"/>
                <w:sz w:val="24"/>
                <w:szCs w:val="24"/>
                <w:highlight w:val="none"/>
                <w:lang w:eastAsia="zh-CN"/>
              </w:rPr>
            </w:pPr>
            <w:r>
              <w:rPr>
                <w:rFonts w:hint="eastAsia" w:ascii="宋体" w:hAnsi="宋体" w:cs="宋体"/>
                <w:bCs/>
                <w:color w:val="000000"/>
                <w:kern w:val="0"/>
                <w:sz w:val="24"/>
                <w:szCs w:val="24"/>
                <w:highlight w:val="none"/>
                <w:lang w:val="en-US" w:eastAsia="zh-CN"/>
              </w:rPr>
              <w:t>计量单位</w:t>
            </w:r>
          </w:p>
        </w:tc>
        <w:tc>
          <w:tcPr>
            <w:tcW w:w="1803" w:type="dxa"/>
            <w:tcBorders>
              <w:top w:val="single" w:color="auto" w:sz="8" w:space="0"/>
              <w:left w:val="nil"/>
              <w:bottom w:val="single" w:color="auto" w:sz="4" w:space="0"/>
              <w:right w:val="single" w:color="auto" w:sz="8" w:space="0"/>
            </w:tcBorders>
            <w:noWrap w:val="0"/>
            <w:vAlign w:val="center"/>
          </w:tcPr>
          <w:p>
            <w:pPr>
              <w:widowControl/>
              <w:jc w:val="center"/>
              <w:rPr>
                <w:rFonts w:ascii="宋体" w:hAnsi="宋体" w:cs="宋体"/>
                <w:bCs/>
                <w:color w:val="000000"/>
                <w:kern w:val="0"/>
                <w:sz w:val="24"/>
                <w:szCs w:val="24"/>
                <w:highlight w:val="none"/>
              </w:rPr>
            </w:pPr>
            <w:r>
              <w:rPr>
                <w:rFonts w:hint="eastAsia" w:ascii="宋体" w:hAnsi="宋体" w:cs="宋体"/>
                <w:bCs/>
                <w:color w:val="000000"/>
                <w:kern w:val="0"/>
                <w:sz w:val="24"/>
                <w:szCs w:val="24"/>
                <w:highlight w:val="none"/>
              </w:rPr>
              <w:t>总价</w:t>
            </w:r>
          </w:p>
        </w:tc>
      </w:tr>
      <w:tr>
        <w:tblPrEx>
          <w:tblCellMar>
            <w:top w:w="0" w:type="dxa"/>
            <w:left w:w="108" w:type="dxa"/>
            <w:bottom w:w="0" w:type="dxa"/>
            <w:right w:w="108" w:type="dxa"/>
          </w:tblCellMar>
        </w:tblPrEx>
        <w:trPr>
          <w:trHeight w:val="503" w:hRule="atLeast"/>
          <w:jc w:val="center"/>
        </w:trPr>
        <w:tc>
          <w:tcPr>
            <w:tcW w:w="1277"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c>
          <w:tcPr>
            <w:tcW w:w="1979"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c>
          <w:tcPr>
            <w:tcW w:w="16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c>
          <w:tcPr>
            <w:tcW w:w="10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c>
          <w:tcPr>
            <w:tcW w:w="162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szCs w:val="24"/>
                <w:highlight w:val="none"/>
              </w:rPr>
            </w:pPr>
          </w:p>
        </w:tc>
        <w:tc>
          <w:tcPr>
            <w:tcW w:w="1803" w:type="dxa"/>
            <w:tcBorders>
              <w:top w:val="nil"/>
              <w:left w:val="nil"/>
              <w:bottom w:val="single" w:color="auto" w:sz="4" w:space="0"/>
              <w:right w:val="single" w:color="auto" w:sz="8"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r>
      <w:tr>
        <w:tblPrEx>
          <w:tblCellMar>
            <w:top w:w="0" w:type="dxa"/>
            <w:left w:w="108" w:type="dxa"/>
            <w:bottom w:w="0" w:type="dxa"/>
            <w:right w:w="108" w:type="dxa"/>
          </w:tblCellMar>
        </w:tblPrEx>
        <w:trPr>
          <w:trHeight w:val="503" w:hRule="atLeast"/>
          <w:jc w:val="center"/>
        </w:trPr>
        <w:tc>
          <w:tcPr>
            <w:tcW w:w="1277"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c>
          <w:tcPr>
            <w:tcW w:w="1979"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c>
          <w:tcPr>
            <w:tcW w:w="16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c>
          <w:tcPr>
            <w:tcW w:w="10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c>
          <w:tcPr>
            <w:tcW w:w="162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c>
          <w:tcPr>
            <w:tcW w:w="1803" w:type="dxa"/>
            <w:tcBorders>
              <w:top w:val="nil"/>
              <w:left w:val="nil"/>
              <w:bottom w:val="single" w:color="auto" w:sz="4" w:space="0"/>
              <w:right w:val="single" w:color="auto" w:sz="8"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r>
      <w:tr>
        <w:tblPrEx>
          <w:tblCellMar>
            <w:top w:w="0" w:type="dxa"/>
            <w:left w:w="108" w:type="dxa"/>
            <w:bottom w:w="0" w:type="dxa"/>
            <w:right w:w="108" w:type="dxa"/>
          </w:tblCellMar>
        </w:tblPrEx>
        <w:trPr>
          <w:trHeight w:val="503" w:hRule="atLeast"/>
          <w:jc w:val="center"/>
        </w:trPr>
        <w:tc>
          <w:tcPr>
            <w:tcW w:w="1277"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c>
          <w:tcPr>
            <w:tcW w:w="1979"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c>
          <w:tcPr>
            <w:tcW w:w="16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c>
          <w:tcPr>
            <w:tcW w:w="10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c>
          <w:tcPr>
            <w:tcW w:w="162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c>
          <w:tcPr>
            <w:tcW w:w="1803" w:type="dxa"/>
            <w:tcBorders>
              <w:top w:val="nil"/>
              <w:left w:val="nil"/>
              <w:bottom w:val="single" w:color="auto" w:sz="4" w:space="0"/>
              <w:right w:val="single" w:color="auto" w:sz="8"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r>
      <w:tr>
        <w:tblPrEx>
          <w:tblCellMar>
            <w:top w:w="0" w:type="dxa"/>
            <w:left w:w="108" w:type="dxa"/>
            <w:bottom w:w="0" w:type="dxa"/>
            <w:right w:w="108" w:type="dxa"/>
          </w:tblCellMar>
        </w:tblPrEx>
        <w:trPr>
          <w:trHeight w:val="503" w:hRule="atLeast"/>
          <w:jc w:val="center"/>
        </w:trPr>
        <w:tc>
          <w:tcPr>
            <w:tcW w:w="1277"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c>
          <w:tcPr>
            <w:tcW w:w="1979"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c>
          <w:tcPr>
            <w:tcW w:w="16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c>
          <w:tcPr>
            <w:tcW w:w="10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c>
          <w:tcPr>
            <w:tcW w:w="162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c>
          <w:tcPr>
            <w:tcW w:w="1803" w:type="dxa"/>
            <w:tcBorders>
              <w:top w:val="nil"/>
              <w:left w:val="nil"/>
              <w:bottom w:val="single" w:color="auto" w:sz="4" w:space="0"/>
              <w:right w:val="single" w:color="auto" w:sz="8"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r>
      <w:tr>
        <w:tblPrEx>
          <w:tblCellMar>
            <w:top w:w="0" w:type="dxa"/>
            <w:left w:w="108" w:type="dxa"/>
            <w:bottom w:w="0" w:type="dxa"/>
            <w:right w:w="108" w:type="dxa"/>
          </w:tblCellMar>
        </w:tblPrEx>
        <w:trPr>
          <w:trHeight w:val="503" w:hRule="atLeast"/>
          <w:jc w:val="center"/>
        </w:trPr>
        <w:tc>
          <w:tcPr>
            <w:tcW w:w="1277"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c>
          <w:tcPr>
            <w:tcW w:w="1979"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c>
          <w:tcPr>
            <w:tcW w:w="16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c>
          <w:tcPr>
            <w:tcW w:w="10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c>
          <w:tcPr>
            <w:tcW w:w="162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c>
          <w:tcPr>
            <w:tcW w:w="1803" w:type="dxa"/>
            <w:tcBorders>
              <w:top w:val="nil"/>
              <w:left w:val="nil"/>
              <w:bottom w:val="single" w:color="auto" w:sz="4" w:space="0"/>
              <w:right w:val="single" w:color="auto" w:sz="8"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r>
      <w:tr>
        <w:tblPrEx>
          <w:tblCellMar>
            <w:top w:w="0" w:type="dxa"/>
            <w:left w:w="108" w:type="dxa"/>
            <w:bottom w:w="0" w:type="dxa"/>
            <w:right w:w="108" w:type="dxa"/>
          </w:tblCellMar>
        </w:tblPrEx>
        <w:trPr>
          <w:trHeight w:val="503" w:hRule="atLeast"/>
          <w:jc w:val="center"/>
        </w:trPr>
        <w:tc>
          <w:tcPr>
            <w:tcW w:w="1277" w:type="dxa"/>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c>
          <w:tcPr>
            <w:tcW w:w="1979"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c>
          <w:tcPr>
            <w:tcW w:w="164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c>
          <w:tcPr>
            <w:tcW w:w="109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c>
          <w:tcPr>
            <w:tcW w:w="162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c>
          <w:tcPr>
            <w:tcW w:w="1803" w:type="dxa"/>
            <w:tcBorders>
              <w:top w:val="nil"/>
              <w:left w:val="nil"/>
              <w:bottom w:val="single" w:color="auto" w:sz="4" w:space="0"/>
              <w:right w:val="single" w:color="auto" w:sz="8" w:space="0"/>
            </w:tcBorders>
            <w:noWrap w:val="0"/>
            <w:vAlign w:val="center"/>
          </w:tcPr>
          <w:p>
            <w:pPr>
              <w:widowControl/>
              <w:jc w:val="left"/>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 xml:space="preserve"> </w:t>
            </w:r>
          </w:p>
        </w:tc>
      </w:tr>
      <w:tr>
        <w:tblPrEx>
          <w:tblCellMar>
            <w:top w:w="0" w:type="dxa"/>
            <w:left w:w="108" w:type="dxa"/>
            <w:bottom w:w="0" w:type="dxa"/>
            <w:right w:w="108" w:type="dxa"/>
          </w:tblCellMar>
        </w:tblPrEx>
        <w:trPr>
          <w:trHeight w:val="523" w:hRule="atLeast"/>
          <w:jc w:val="center"/>
        </w:trPr>
        <w:tc>
          <w:tcPr>
            <w:tcW w:w="3256" w:type="dxa"/>
            <w:gridSpan w:val="2"/>
            <w:tcBorders>
              <w:top w:val="nil"/>
              <w:left w:val="single" w:color="auto" w:sz="8"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合计</w:t>
            </w:r>
          </w:p>
        </w:tc>
        <w:tc>
          <w:tcPr>
            <w:tcW w:w="6161" w:type="dxa"/>
            <w:gridSpan w:val="4"/>
            <w:tcBorders>
              <w:top w:val="nil"/>
              <w:left w:val="nil"/>
              <w:bottom w:val="single" w:color="auto" w:sz="4" w:space="0"/>
              <w:right w:val="single" w:color="auto" w:sz="8" w:space="0"/>
            </w:tcBorders>
            <w:noWrap w:val="0"/>
            <w:vAlign w:val="center"/>
          </w:tcPr>
          <w:p>
            <w:pPr>
              <w:spacing w:line="460" w:lineRule="exact"/>
              <w:jc w:val="left"/>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en-US" w:eastAsia="zh-CN"/>
              </w:rPr>
              <w:t>小写：</w:t>
            </w:r>
            <w:r>
              <w:rPr>
                <w:rFonts w:hint="eastAsia" w:ascii="宋体" w:hAnsi="宋体" w:eastAsia="宋体" w:cs="宋体"/>
                <w:sz w:val="24"/>
                <w:szCs w:val="24"/>
                <w:highlight w:val="none"/>
                <w:u w:val="single"/>
                <w:lang w:val="en-US" w:eastAsia="zh-CN"/>
              </w:rPr>
              <w:t xml:space="preserve">¥                        </w:t>
            </w:r>
          </w:p>
          <w:p>
            <w:pPr>
              <w:widowControl/>
              <w:jc w:val="left"/>
              <w:rPr>
                <w:rFonts w:ascii="宋体" w:hAnsi="宋体" w:cs="宋体"/>
                <w:color w:val="000000"/>
                <w:kern w:val="0"/>
                <w:sz w:val="24"/>
                <w:szCs w:val="24"/>
                <w:highlight w:val="none"/>
              </w:rPr>
            </w:pPr>
            <w:r>
              <w:rPr>
                <w:rFonts w:hint="eastAsia" w:ascii="宋体" w:hAnsi="宋体" w:eastAsia="宋体" w:cs="宋体"/>
                <w:sz w:val="24"/>
                <w:szCs w:val="24"/>
                <w:highlight w:val="none"/>
                <w:lang w:val="en-US" w:eastAsia="zh-CN"/>
              </w:rPr>
              <w:t>大写：</w:t>
            </w:r>
            <w:r>
              <w:rPr>
                <w:rFonts w:hint="eastAsia" w:ascii="宋体" w:hAnsi="宋体" w:eastAsia="宋体" w:cs="宋体"/>
                <w:sz w:val="24"/>
                <w:szCs w:val="24"/>
                <w:highlight w:val="none"/>
                <w:u w:val="single"/>
                <w:lang w:val="en-US" w:eastAsia="zh-CN"/>
              </w:rPr>
              <w:t xml:space="preserve">人民币                   </w:t>
            </w:r>
          </w:p>
        </w:tc>
      </w:tr>
    </w:tbl>
    <w:p>
      <w:pPr>
        <w:spacing w:line="360" w:lineRule="auto"/>
        <w:rPr>
          <w:rFonts w:hint="eastAsia" w:ascii="宋体" w:hAnsi="宋体" w:eastAsia="宋体" w:cs="宋体"/>
          <w:sz w:val="24"/>
          <w:szCs w:val="24"/>
          <w:highlight w:val="none"/>
        </w:rPr>
      </w:pPr>
    </w:p>
    <w:p>
      <w:pPr>
        <w:pStyle w:val="9"/>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pStyle w:val="9"/>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spacing w:line="360" w:lineRule="auto"/>
        <w:ind w:firstLine="3840" w:firstLineChars="1600"/>
        <w:rPr>
          <w:rFonts w:hint="eastAsia" w:ascii="宋体" w:hAnsi="宋体" w:eastAsia="宋体" w:cs="宋体"/>
          <w:sz w:val="24"/>
          <w:highlight w:val="none"/>
        </w:rPr>
      </w:pPr>
      <w:r>
        <w:rPr>
          <w:rFonts w:hint="eastAsia" w:ascii="宋体" w:hAnsi="宋体" w:eastAsia="宋体" w:cs="宋体"/>
          <w:sz w:val="24"/>
          <w:highlight w:val="none"/>
        </w:rPr>
        <w:t>投标人名称</w:t>
      </w:r>
      <w:r>
        <w:rPr>
          <w:rFonts w:hint="eastAsia" w:ascii="宋体" w:hAnsi="宋体" w:cs="宋体"/>
          <w:sz w:val="24"/>
          <w:highlight w:val="none"/>
          <w:lang w:eastAsia="zh-CN"/>
        </w:rPr>
        <w:t>（</w:t>
      </w:r>
      <w:r>
        <w:rPr>
          <w:rFonts w:hint="eastAsia" w:ascii="宋体" w:hAnsi="宋体" w:cs="宋体"/>
          <w:sz w:val="24"/>
          <w:highlight w:val="none"/>
          <w:lang w:val="en-US" w:eastAsia="zh-CN"/>
        </w:rPr>
        <w:t>盖章</w:t>
      </w:r>
      <w:r>
        <w:rPr>
          <w:rFonts w:hint="eastAsia" w:ascii="宋体" w:hAnsi="宋体" w:cs="宋体"/>
          <w:sz w:val="24"/>
          <w:highlight w:val="none"/>
          <w:lang w:eastAsia="zh-CN"/>
        </w:rPr>
        <w:t>）</w:t>
      </w:r>
      <w:r>
        <w:rPr>
          <w:rFonts w:hint="eastAsia" w:ascii="宋体" w:hAnsi="宋体" w:eastAsia="宋体" w:cs="宋体"/>
          <w:sz w:val="24"/>
          <w:highlight w:val="none"/>
        </w:rPr>
        <w:t>：</w:t>
      </w:r>
    </w:p>
    <w:p>
      <w:pPr>
        <w:pStyle w:val="9"/>
        <w:jc w:val="right"/>
        <w:rPr>
          <w:rFonts w:hint="default" w:ascii="宋体" w:hAnsi="宋体" w:eastAsia="宋体" w:cs="宋体"/>
          <w:kern w:val="2"/>
          <w:sz w:val="24"/>
          <w:highlight w:val="none"/>
          <w:lang w:val="en-US" w:eastAsia="zh-CN" w:bidi="ar-SA"/>
        </w:rPr>
      </w:pPr>
      <w:r>
        <w:rPr>
          <w:rFonts w:hint="eastAsia" w:ascii="宋体" w:hAnsi="宋体" w:eastAsia="宋体" w:cs="宋体"/>
          <w:kern w:val="2"/>
          <w:sz w:val="24"/>
          <w:highlight w:val="none"/>
          <w:lang w:val="en-US" w:eastAsia="zh-CN" w:bidi="ar-SA"/>
        </w:rPr>
        <w:t>法定代表人或授权委托人（签字或盖章）：</w:t>
      </w:r>
    </w:p>
    <w:p>
      <w:pPr>
        <w:spacing w:line="360" w:lineRule="auto"/>
        <w:ind w:firstLine="3840" w:firstLineChars="1600"/>
        <w:rPr>
          <w:rFonts w:hint="eastAsia" w:ascii="宋体" w:hAnsi="宋体" w:eastAsia="宋体" w:cs="宋体"/>
          <w:sz w:val="24"/>
          <w:highlight w:val="none"/>
        </w:rPr>
      </w:pPr>
      <w:r>
        <w:rPr>
          <w:rFonts w:hint="eastAsia" w:ascii="宋体" w:hAnsi="宋体" w:eastAsia="宋体" w:cs="宋体"/>
          <w:sz w:val="24"/>
          <w:highlight w:val="none"/>
        </w:rPr>
        <w:t>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widowControl/>
        <w:jc w:val="left"/>
        <w:rPr>
          <w:rFonts w:hint="eastAsia" w:ascii="宋体" w:hAnsi="宋体" w:eastAsia="宋体" w:cs="宋体"/>
          <w:sz w:val="24"/>
          <w:highlight w:val="none"/>
        </w:rPr>
      </w:pPr>
    </w:p>
    <w:p>
      <w:pPr>
        <w:rPr>
          <w:rFonts w:hint="eastAsia" w:ascii="宋体" w:hAnsi="宋体" w:eastAsia="宋体" w:cs="宋体"/>
          <w:sz w:val="24"/>
          <w:highlight w:val="none"/>
        </w:rPr>
      </w:pPr>
      <w:r>
        <w:rPr>
          <w:rFonts w:hint="eastAsia" w:ascii="宋体" w:hAnsi="宋体" w:eastAsia="宋体" w:cs="宋体"/>
          <w:sz w:val="24"/>
          <w:highlight w:val="none"/>
        </w:rPr>
        <w:br w:type="page"/>
      </w:r>
    </w:p>
    <w:p>
      <w:pPr>
        <w:tabs>
          <w:tab w:val="left" w:pos="360"/>
        </w:tabs>
        <w:spacing w:afterLines="100" w:line="360" w:lineRule="auto"/>
        <w:outlineLvl w:val="0"/>
        <w:rPr>
          <w:rFonts w:hint="eastAsia" w:ascii="宋体" w:hAnsi="宋体" w:eastAsia="宋体" w:cs="宋体"/>
          <w:sz w:val="24"/>
          <w:highlight w:val="none"/>
          <w:lang w:val="en-US" w:eastAsia="zh-CN"/>
        </w:rPr>
      </w:pPr>
      <w:bookmarkStart w:id="98" w:name="_Toc2158"/>
      <w:bookmarkStart w:id="99" w:name="_Toc304"/>
      <w:bookmarkStart w:id="100" w:name="_Toc8313"/>
      <w:r>
        <w:rPr>
          <w:rFonts w:hint="eastAsia" w:ascii="宋体" w:hAnsi="宋体" w:eastAsia="宋体" w:cs="宋体"/>
          <w:sz w:val="24"/>
          <w:highlight w:val="none"/>
        </w:rPr>
        <w:t>附件</w:t>
      </w:r>
      <w:bookmarkEnd w:id="98"/>
      <w:bookmarkEnd w:id="99"/>
      <w:r>
        <w:rPr>
          <w:rFonts w:hint="eastAsia" w:ascii="宋体" w:hAnsi="宋体" w:cs="宋体"/>
          <w:sz w:val="24"/>
          <w:highlight w:val="none"/>
          <w:lang w:val="en-US" w:eastAsia="zh-CN"/>
        </w:rPr>
        <w:t>4</w:t>
      </w:r>
      <w:bookmarkEnd w:id="100"/>
    </w:p>
    <w:p>
      <w:pPr>
        <w:autoSpaceDN w:val="0"/>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供应商资格要求证明文件</w:t>
      </w:r>
    </w:p>
    <w:p>
      <w:pPr>
        <w:tabs>
          <w:tab w:val="left" w:pos="3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投标人按照本项目招标文件第一部分“供应商资格要求（实质性要求）”中“投标人须具备《中华人民共和国政府采购法》第二十二条第一款规定的条件”要求提供相应材料</w:t>
      </w:r>
    </w:p>
    <w:p>
      <w:pPr>
        <w:spacing w:line="620" w:lineRule="exact"/>
        <w:rPr>
          <w:rFonts w:hint="eastAsia" w:ascii="宋体" w:hAnsi="宋体" w:eastAsia="宋体" w:cs="宋体"/>
          <w:sz w:val="24"/>
          <w:highlight w:val="none"/>
        </w:rPr>
      </w:pPr>
    </w:p>
    <w:p>
      <w:pPr>
        <w:spacing w:line="620" w:lineRule="exact"/>
        <w:rPr>
          <w:rFonts w:hint="eastAsia" w:ascii="宋体" w:hAnsi="宋体" w:eastAsia="宋体" w:cs="宋体"/>
          <w:sz w:val="24"/>
          <w:highlight w:val="none"/>
        </w:rPr>
      </w:pPr>
    </w:p>
    <w:p>
      <w:pPr>
        <w:spacing w:line="620" w:lineRule="exact"/>
        <w:rPr>
          <w:rFonts w:hint="eastAsia" w:ascii="宋体" w:hAnsi="宋体" w:eastAsia="宋体" w:cs="宋体"/>
          <w:sz w:val="24"/>
          <w:highlight w:val="none"/>
        </w:rPr>
      </w:pPr>
    </w:p>
    <w:p>
      <w:pPr>
        <w:spacing w:line="620" w:lineRule="exact"/>
        <w:rPr>
          <w:rFonts w:hint="eastAsia" w:ascii="宋体" w:hAnsi="宋体" w:eastAsia="宋体" w:cs="宋体"/>
          <w:sz w:val="24"/>
          <w:highlight w:val="none"/>
        </w:rPr>
      </w:pPr>
    </w:p>
    <w:p>
      <w:pPr>
        <w:spacing w:line="460" w:lineRule="exact"/>
        <w:rPr>
          <w:rFonts w:hint="eastAsia" w:ascii="宋体" w:hAnsi="宋体" w:eastAsia="宋体" w:cs="宋体"/>
          <w:sz w:val="24"/>
          <w:highlight w:val="none"/>
        </w:rPr>
      </w:pPr>
    </w:p>
    <w:p>
      <w:pPr>
        <w:widowControl/>
        <w:jc w:val="left"/>
        <w:rPr>
          <w:rFonts w:hint="eastAsia" w:ascii="宋体" w:hAnsi="宋体" w:eastAsia="宋体" w:cs="宋体"/>
          <w:sz w:val="24"/>
          <w:highlight w:val="none"/>
        </w:rPr>
      </w:pPr>
      <w:r>
        <w:rPr>
          <w:rFonts w:hint="eastAsia" w:ascii="宋体" w:hAnsi="宋体" w:eastAsia="宋体" w:cs="宋体"/>
          <w:sz w:val="24"/>
          <w:highlight w:val="none"/>
        </w:rPr>
        <w:br w:type="page"/>
      </w:r>
    </w:p>
    <w:p>
      <w:pPr>
        <w:tabs>
          <w:tab w:val="left" w:pos="360"/>
        </w:tabs>
        <w:spacing w:afterLines="100" w:line="360" w:lineRule="auto"/>
        <w:outlineLvl w:val="0"/>
        <w:rPr>
          <w:rFonts w:hint="default"/>
          <w:highlight w:val="none"/>
          <w:lang w:val="en-US"/>
        </w:rPr>
      </w:pPr>
      <w:bookmarkStart w:id="101" w:name="_Toc1639"/>
      <w:bookmarkStart w:id="102" w:name="_Toc11773"/>
      <w:bookmarkStart w:id="103" w:name="_Toc8367"/>
      <w:r>
        <w:rPr>
          <w:rFonts w:hint="eastAsia" w:ascii="宋体" w:hAnsi="宋体" w:eastAsia="宋体" w:cs="宋体"/>
          <w:sz w:val="24"/>
          <w:highlight w:val="none"/>
        </w:rPr>
        <w:t>附件</w:t>
      </w:r>
      <w:bookmarkEnd w:id="101"/>
      <w:bookmarkEnd w:id="102"/>
      <w:r>
        <w:rPr>
          <w:rFonts w:hint="eastAsia" w:ascii="宋体" w:hAnsi="宋体" w:cs="宋体"/>
          <w:sz w:val="24"/>
          <w:highlight w:val="none"/>
          <w:lang w:val="en-US" w:eastAsia="zh-CN"/>
        </w:rPr>
        <w:t>5</w:t>
      </w:r>
      <w:bookmarkEnd w:id="103"/>
      <w:r>
        <w:rPr>
          <w:rFonts w:hint="eastAsia" w:ascii="宋体" w:hAnsi="宋体" w:cs="宋体"/>
          <w:sz w:val="24"/>
          <w:highlight w:val="none"/>
          <w:lang w:val="en-US" w:eastAsia="zh-CN"/>
        </w:rPr>
        <w:t>-1</w:t>
      </w:r>
    </w:p>
    <w:p>
      <w:pPr>
        <w:autoSpaceDN w:val="0"/>
        <w:spacing w:line="360" w:lineRule="auto"/>
        <w:jc w:val="center"/>
        <w:rPr>
          <w:rFonts w:hint="eastAsia" w:ascii="宋体" w:hAnsi="宋体" w:eastAsia="宋体" w:cs="宋体"/>
          <w:b/>
          <w:bCs/>
          <w:sz w:val="24"/>
          <w:highlight w:val="none"/>
          <w:lang w:val="en-US" w:eastAsia="zh-CN"/>
        </w:rPr>
      </w:pPr>
    </w:p>
    <w:p>
      <w:pPr>
        <w:autoSpaceDN w:val="0"/>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 xml:space="preserve">法定代表人资格证明书 </w:t>
      </w:r>
    </w:p>
    <w:p>
      <w:pPr>
        <w:spacing w:line="360" w:lineRule="auto"/>
        <w:rPr>
          <w:rFonts w:hint="eastAsia" w:ascii="宋体" w:hAnsi="宋体" w:eastAsia="宋体" w:cs="宋体"/>
          <w:sz w:val="24"/>
          <w:szCs w:val="21"/>
          <w:highlight w:val="none"/>
          <w:lang w:val="en-US" w:eastAsia="zh-CN"/>
        </w:rPr>
      </w:pPr>
    </w:p>
    <w:p>
      <w:pPr>
        <w:tabs>
          <w:tab w:val="left" w:pos="360"/>
        </w:tabs>
        <w:spacing w:afterLines="100" w:line="360" w:lineRule="auto"/>
        <w:ind w:firstLine="480" w:firstLineChars="200"/>
        <w:outlineLvl w:val="0"/>
        <w:rPr>
          <w:rFonts w:hint="eastAsia" w:ascii="宋体" w:hAnsi="宋体" w:cs="宋体"/>
          <w:sz w:val="24"/>
          <w:highlight w:val="none"/>
          <w:lang w:val="en-US" w:eastAsia="zh-CN"/>
        </w:rPr>
      </w:pPr>
      <w:r>
        <w:rPr>
          <w:rFonts w:hint="eastAsia" w:ascii="宋体" w:hAnsi="宋体" w:eastAsia="宋体" w:cs="宋体"/>
          <w:sz w:val="24"/>
          <w:szCs w:val="21"/>
          <w:highlight w:val="none"/>
          <w:lang w:val="en-US" w:eastAsia="zh-CN"/>
        </w:rPr>
        <w:t>兹证明，</w:t>
      </w:r>
      <w:r>
        <w:rPr>
          <w:rFonts w:hint="default" w:ascii="宋体" w:hAnsi="宋体" w:eastAsia="宋体" w:cs="宋体"/>
          <w:sz w:val="24"/>
          <w:szCs w:val="21"/>
          <w:highlight w:val="none"/>
          <w:lang w:val="en-US" w:eastAsia="zh-CN"/>
        </w:rPr>
        <w:t>__________</w:t>
      </w:r>
      <w:r>
        <w:rPr>
          <w:rFonts w:hint="eastAsia" w:ascii="宋体" w:hAnsi="宋体" w:eastAsia="宋体" w:cs="宋体"/>
          <w:sz w:val="24"/>
          <w:szCs w:val="21"/>
          <w:highlight w:val="none"/>
          <w:lang w:val="en-US" w:eastAsia="zh-CN"/>
        </w:rPr>
        <w:t>（先生</w:t>
      </w:r>
      <w:r>
        <w:rPr>
          <w:rFonts w:hint="default" w:ascii="宋体" w:hAnsi="宋体" w:eastAsia="宋体" w:cs="宋体"/>
          <w:sz w:val="24"/>
          <w:szCs w:val="21"/>
          <w:highlight w:val="none"/>
          <w:lang w:val="en-US" w:eastAsia="zh-CN"/>
        </w:rPr>
        <w:t>/</w:t>
      </w:r>
      <w:r>
        <w:rPr>
          <w:rFonts w:hint="eastAsia" w:ascii="宋体" w:hAnsi="宋体" w:eastAsia="宋体" w:cs="宋体"/>
          <w:sz w:val="24"/>
          <w:szCs w:val="21"/>
          <w:highlight w:val="none"/>
          <w:lang w:val="en-US" w:eastAsia="zh-CN"/>
        </w:rPr>
        <w:t>女士）在我公司任</w:t>
      </w:r>
      <w:r>
        <w:rPr>
          <w:rFonts w:hint="eastAsia" w:ascii="宋体" w:hAnsi="宋体" w:eastAsia="宋体" w:cs="宋体"/>
          <w:sz w:val="24"/>
          <w:szCs w:val="21"/>
          <w:highlight w:val="none"/>
          <w:u w:val="single"/>
          <w:lang w:val="en-US" w:eastAsia="zh-CN"/>
        </w:rPr>
        <w:t xml:space="preserve"> </w:t>
      </w:r>
      <w:r>
        <w:rPr>
          <w:rFonts w:hint="eastAsia" w:ascii="宋体" w:hAnsi="宋体" w:cs="宋体"/>
          <w:sz w:val="24"/>
          <w:szCs w:val="21"/>
          <w:highlight w:val="none"/>
          <w:u w:val="single"/>
          <w:lang w:val="en-US" w:eastAsia="zh-CN"/>
        </w:rPr>
        <w:t xml:space="preserve">      </w:t>
      </w:r>
      <w:r>
        <w:rPr>
          <w:rFonts w:hint="eastAsia" w:ascii="宋体" w:hAnsi="宋体" w:eastAsia="宋体" w:cs="宋体"/>
          <w:sz w:val="24"/>
          <w:szCs w:val="21"/>
          <w:highlight w:val="none"/>
          <w:lang w:val="en-US" w:eastAsia="zh-CN"/>
        </w:rPr>
        <w:t xml:space="preserve">职务，系我公司的法定代表人，现进行 </w:t>
      </w:r>
      <w:r>
        <w:rPr>
          <w:rFonts w:hint="eastAsia" w:ascii="宋体" w:hAnsi="宋体" w:eastAsia="宋体" w:cs="宋体"/>
          <w:sz w:val="24"/>
          <w:szCs w:val="21"/>
          <w:highlight w:val="none"/>
          <w:u w:val="single"/>
          <w:lang w:val="en-US" w:eastAsia="zh-CN"/>
        </w:rPr>
        <w:t xml:space="preserve">                    </w:t>
      </w:r>
      <w:r>
        <w:rPr>
          <w:rFonts w:hint="eastAsia" w:ascii="宋体" w:hAnsi="宋体" w:eastAsia="宋体" w:cs="宋体"/>
          <w:sz w:val="24"/>
          <w:szCs w:val="21"/>
          <w:highlight w:val="none"/>
          <w:lang w:val="en-US" w:eastAsia="zh-CN"/>
        </w:rPr>
        <w:t>项目（</w:t>
      </w:r>
      <w:r>
        <w:rPr>
          <w:rFonts w:hint="eastAsia" w:ascii="宋体" w:hAnsi="宋体" w:eastAsia="宋体" w:cs="宋体"/>
          <w:sz w:val="24"/>
          <w:szCs w:val="21"/>
          <w:highlight w:val="none"/>
        </w:rPr>
        <w:t>项目编号：_______________</w:t>
      </w:r>
      <w:r>
        <w:rPr>
          <w:rFonts w:hint="eastAsia" w:ascii="宋体" w:hAnsi="宋体" w:eastAsia="宋体" w:cs="宋体"/>
          <w:sz w:val="24"/>
          <w:szCs w:val="21"/>
          <w:highlight w:val="none"/>
          <w:lang w:val="en-US" w:eastAsia="zh-CN"/>
        </w:rPr>
        <w:t>）</w:t>
      </w:r>
      <w:r>
        <w:rPr>
          <w:rFonts w:hint="eastAsia" w:ascii="宋体" w:hAnsi="宋体" w:cs="宋体"/>
          <w:sz w:val="24"/>
          <w:highlight w:val="none"/>
          <w:lang w:val="en-US" w:eastAsia="zh-CN"/>
        </w:rPr>
        <w:t>的投标、开标、投标文件澄清、签约等一切具体事务和签署相关文件。</w:t>
      </w:r>
    </w:p>
    <w:p>
      <w:pPr>
        <w:spacing w:line="360" w:lineRule="auto"/>
        <w:ind w:firstLine="720" w:firstLineChars="300"/>
        <w:rPr>
          <w:rFonts w:hint="eastAsia" w:ascii="宋体" w:hAnsi="宋体" w:eastAsia="宋体" w:cs="宋体"/>
          <w:sz w:val="24"/>
          <w:szCs w:val="21"/>
          <w:highlight w:val="none"/>
          <w:lang w:val="en-US" w:eastAsia="zh-CN"/>
        </w:rPr>
      </w:pPr>
      <w:r>
        <w:rPr>
          <w:rFonts w:hint="default" w:ascii="宋体" w:hAnsi="宋体" w:eastAsia="宋体" w:cs="宋体"/>
          <w:sz w:val="24"/>
          <w:szCs w:val="21"/>
          <w:highlight w:val="none"/>
          <w:lang w:val="en-US" w:eastAsia="zh-CN"/>
        </w:rPr>
        <w:t>____________</w:t>
      </w:r>
      <w:r>
        <w:rPr>
          <w:rFonts w:hint="eastAsia" w:ascii="宋体" w:hAnsi="宋体" w:eastAsia="宋体" w:cs="宋体"/>
          <w:sz w:val="24"/>
          <w:szCs w:val="21"/>
          <w:highlight w:val="none"/>
          <w:lang w:val="en-US" w:eastAsia="zh-CN"/>
        </w:rPr>
        <w:t>先生</w:t>
      </w:r>
      <w:r>
        <w:rPr>
          <w:rFonts w:hint="default" w:ascii="宋体" w:hAnsi="宋体" w:eastAsia="宋体" w:cs="宋体"/>
          <w:sz w:val="24"/>
          <w:szCs w:val="21"/>
          <w:highlight w:val="none"/>
          <w:lang w:val="en-US" w:eastAsia="zh-CN"/>
        </w:rPr>
        <w:t>/</w:t>
      </w:r>
      <w:r>
        <w:rPr>
          <w:rFonts w:hint="eastAsia" w:ascii="宋体" w:hAnsi="宋体" w:eastAsia="宋体" w:cs="宋体"/>
          <w:sz w:val="24"/>
          <w:szCs w:val="21"/>
          <w:highlight w:val="none"/>
          <w:lang w:val="en-US" w:eastAsia="zh-CN"/>
        </w:rPr>
        <w:t xml:space="preserve">女士的个人情况： </w:t>
      </w:r>
    </w:p>
    <w:p>
      <w:pPr>
        <w:spacing w:line="360" w:lineRule="auto"/>
        <w:ind w:firstLine="480" w:firstLineChars="200"/>
        <w:rPr>
          <w:rFonts w:hint="default" w:ascii="宋体" w:hAnsi="宋体" w:eastAsia="宋体" w:cs="宋体"/>
          <w:sz w:val="24"/>
          <w:szCs w:val="21"/>
          <w:highlight w:val="none"/>
          <w:lang w:val="en-US"/>
        </w:rPr>
      </w:pPr>
      <w:r>
        <w:rPr>
          <w:rFonts w:hint="eastAsia" w:ascii="宋体" w:hAnsi="宋体" w:eastAsia="宋体" w:cs="宋体"/>
          <w:sz w:val="24"/>
          <w:szCs w:val="21"/>
          <w:highlight w:val="none"/>
          <w:lang w:val="en-US" w:eastAsia="zh-CN"/>
        </w:rPr>
        <w:t>姓名：</w:t>
      </w:r>
      <w:r>
        <w:rPr>
          <w:rFonts w:hint="eastAsia" w:ascii="宋体" w:hAnsi="宋体" w:eastAsia="宋体" w:cs="宋体"/>
          <w:sz w:val="24"/>
          <w:szCs w:val="21"/>
          <w:highlight w:val="none"/>
          <w:u w:val="single"/>
          <w:lang w:val="en-US" w:eastAsia="zh-CN"/>
        </w:rPr>
        <w:t xml:space="preserve">          </w:t>
      </w:r>
      <w:r>
        <w:rPr>
          <w:rFonts w:hint="eastAsia" w:ascii="宋体" w:hAnsi="宋体" w:eastAsia="宋体" w:cs="宋体"/>
          <w:sz w:val="24"/>
          <w:szCs w:val="21"/>
          <w:highlight w:val="none"/>
          <w:lang w:val="en-US" w:eastAsia="zh-CN"/>
        </w:rPr>
        <w:t>性别：</w:t>
      </w:r>
      <w:r>
        <w:rPr>
          <w:rFonts w:hint="eastAsia" w:ascii="宋体" w:hAnsi="宋体" w:eastAsia="宋体" w:cs="宋体"/>
          <w:sz w:val="24"/>
          <w:szCs w:val="21"/>
          <w:highlight w:val="none"/>
          <w:u w:val="single"/>
          <w:lang w:val="en-US" w:eastAsia="zh-CN"/>
        </w:rPr>
        <w:t xml:space="preserve">     </w:t>
      </w:r>
      <w:r>
        <w:rPr>
          <w:rFonts w:hint="eastAsia" w:ascii="宋体" w:hAnsi="宋体" w:eastAsia="宋体" w:cs="宋体"/>
          <w:sz w:val="24"/>
          <w:szCs w:val="21"/>
          <w:highlight w:val="none"/>
          <w:lang w:val="en-US" w:eastAsia="zh-CN"/>
        </w:rPr>
        <w:t>年龄：</w:t>
      </w:r>
      <w:r>
        <w:rPr>
          <w:rFonts w:hint="eastAsia" w:ascii="宋体" w:hAnsi="宋体" w:eastAsia="宋体" w:cs="宋体"/>
          <w:sz w:val="24"/>
          <w:szCs w:val="21"/>
          <w:highlight w:val="none"/>
          <w:u w:val="single"/>
          <w:lang w:val="en-US" w:eastAsia="zh-CN"/>
        </w:rPr>
        <w:t xml:space="preserve">     </w:t>
      </w:r>
      <w:r>
        <w:rPr>
          <w:rFonts w:hint="eastAsia" w:ascii="宋体" w:hAnsi="宋体" w:eastAsia="宋体" w:cs="宋体"/>
          <w:sz w:val="24"/>
          <w:szCs w:val="21"/>
          <w:highlight w:val="none"/>
          <w:lang w:val="en-US" w:eastAsia="zh-CN"/>
        </w:rPr>
        <w:t>职务：</w:t>
      </w:r>
      <w:r>
        <w:rPr>
          <w:rFonts w:hint="eastAsia" w:ascii="宋体" w:hAnsi="宋体" w:eastAsia="宋体" w:cs="宋体"/>
          <w:sz w:val="24"/>
          <w:szCs w:val="21"/>
          <w:highlight w:val="none"/>
          <w:u w:val="single"/>
          <w:lang w:val="en-US" w:eastAsia="zh-CN"/>
        </w:rPr>
        <w:t xml:space="preserve">        </w:t>
      </w:r>
    </w:p>
    <w:p>
      <w:pPr>
        <w:spacing w:line="360" w:lineRule="auto"/>
        <w:ind w:firstLine="480" w:firstLineChars="200"/>
        <w:rPr>
          <w:rFonts w:hint="eastAsia" w:ascii="宋体" w:hAnsi="宋体" w:eastAsia="宋体" w:cs="宋体"/>
          <w:sz w:val="24"/>
          <w:szCs w:val="21"/>
          <w:highlight w:val="none"/>
          <w:u w:val="single"/>
          <w:lang w:val="en-US" w:eastAsia="zh-CN"/>
        </w:rPr>
      </w:pPr>
      <w:r>
        <w:rPr>
          <w:rFonts w:hint="eastAsia" w:ascii="宋体" w:hAnsi="宋体" w:eastAsia="宋体" w:cs="宋体"/>
          <w:sz w:val="24"/>
          <w:szCs w:val="21"/>
          <w:highlight w:val="none"/>
          <w:lang w:val="en-US" w:eastAsia="zh-CN"/>
        </w:rPr>
        <w:t>身份证号码：</w:t>
      </w:r>
      <w:r>
        <w:rPr>
          <w:rFonts w:hint="eastAsia" w:ascii="宋体" w:hAnsi="宋体" w:eastAsia="宋体" w:cs="宋体"/>
          <w:sz w:val="24"/>
          <w:szCs w:val="21"/>
          <w:highlight w:val="none"/>
          <w:u w:val="single"/>
          <w:lang w:val="en-US" w:eastAsia="zh-CN"/>
        </w:rPr>
        <w:t xml:space="preserve">                             </w:t>
      </w:r>
    </w:p>
    <w:p>
      <w:pPr>
        <w:spacing w:line="360" w:lineRule="auto"/>
        <w:ind w:firstLine="480" w:firstLineChars="200"/>
        <w:rPr>
          <w:rFonts w:hint="eastAsia"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 xml:space="preserve">特此证明。 </w:t>
      </w:r>
    </w:p>
    <w:p>
      <w:pPr>
        <w:pStyle w:val="9"/>
        <w:rPr>
          <w:rFonts w:hint="eastAsia" w:ascii="宋体" w:hAnsi="宋体" w:eastAsia="宋体" w:cs="宋体"/>
          <w:sz w:val="24"/>
          <w:szCs w:val="21"/>
          <w:highlight w:val="none"/>
          <w:lang w:val="en-US" w:eastAsia="zh-CN"/>
        </w:rPr>
      </w:pPr>
    </w:p>
    <w:p>
      <w:pPr>
        <w:rPr>
          <w:rFonts w:hint="eastAsia" w:ascii="宋体" w:hAnsi="宋体" w:eastAsia="宋体" w:cs="宋体"/>
          <w:sz w:val="24"/>
          <w:szCs w:val="21"/>
          <w:highlight w:val="none"/>
          <w:lang w:val="en-US" w:eastAsia="zh-CN"/>
        </w:rPr>
      </w:pPr>
    </w:p>
    <w:p>
      <w:pPr>
        <w:pStyle w:val="9"/>
        <w:rPr>
          <w:rFonts w:hint="eastAsia"/>
          <w:highlight w:val="none"/>
        </w:rPr>
      </w:pPr>
    </w:p>
    <w:p>
      <w:pPr>
        <w:spacing w:line="360" w:lineRule="auto"/>
        <w:jc w:val="right"/>
        <w:rPr>
          <w:rFonts w:hint="eastAsia" w:ascii="宋体" w:hAnsi="宋体" w:eastAsia="宋体" w:cs="宋体"/>
          <w:sz w:val="24"/>
          <w:szCs w:val="21"/>
          <w:highlight w:val="none"/>
        </w:rPr>
      </w:pPr>
      <w:r>
        <w:rPr>
          <w:rFonts w:hint="eastAsia" w:ascii="宋体" w:hAnsi="宋体" w:cs="宋体"/>
          <w:sz w:val="24"/>
          <w:szCs w:val="21"/>
          <w:highlight w:val="none"/>
          <w:lang w:val="en-US" w:eastAsia="zh-CN"/>
        </w:rPr>
        <w:t>投标人</w:t>
      </w:r>
      <w:r>
        <w:rPr>
          <w:rFonts w:hint="eastAsia" w:ascii="宋体" w:hAnsi="宋体" w:eastAsia="宋体" w:cs="宋体"/>
          <w:sz w:val="24"/>
          <w:szCs w:val="21"/>
          <w:highlight w:val="none"/>
          <w:lang w:val="en-US" w:eastAsia="zh-CN"/>
        </w:rPr>
        <w:t>名称（公章）：</w:t>
      </w:r>
      <w:r>
        <w:rPr>
          <w:rFonts w:hint="default" w:ascii="宋体" w:hAnsi="宋体" w:eastAsia="宋体" w:cs="宋体"/>
          <w:sz w:val="24"/>
          <w:szCs w:val="21"/>
          <w:highlight w:val="none"/>
          <w:lang w:val="en-US" w:eastAsia="zh-CN"/>
        </w:rPr>
        <w:t xml:space="preserve">___________ </w:t>
      </w:r>
    </w:p>
    <w:p>
      <w:pPr>
        <w:spacing w:line="360" w:lineRule="auto"/>
        <w:jc w:val="right"/>
        <w:rPr>
          <w:rFonts w:hint="default" w:ascii="宋体" w:hAnsi="宋体" w:eastAsia="宋体" w:cs="宋体"/>
          <w:sz w:val="24"/>
          <w:szCs w:val="21"/>
          <w:highlight w:val="none"/>
          <w:lang w:val="en-US" w:eastAsia="zh-CN"/>
        </w:rPr>
      </w:pPr>
      <w:r>
        <w:rPr>
          <w:rFonts w:hint="eastAsia" w:ascii="宋体" w:hAnsi="宋体" w:eastAsia="宋体" w:cs="宋体"/>
          <w:sz w:val="24"/>
          <w:szCs w:val="21"/>
          <w:highlight w:val="none"/>
          <w:lang w:val="en-US" w:eastAsia="zh-CN"/>
        </w:rPr>
        <w:t>日期：</w:t>
      </w:r>
      <w:r>
        <w:rPr>
          <w:rFonts w:hint="default" w:ascii="宋体" w:hAnsi="宋体" w:eastAsia="宋体" w:cs="宋体"/>
          <w:sz w:val="24"/>
          <w:szCs w:val="21"/>
          <w:highlight w:val="none"/>
          <w:lang w:val="en-US" w:eastAsia="zh-CN"/>
        </w:rPr>
        <w:t xml:space="preserve">__________ </w:t>
      </w:r>
    </w:p>
    <w:p>
      <w:pPr>
        <w:pStyle w:val="9"/>
        <w:rPr>
          <w:rFonts w:hint="default" w:ascii="宋体" w:hAnsi="宋体" w:eastAsia="宋体" w:cs="宋体"/>
          <w:sz w:val="24"/>
          <w:szCs w:val="21"/>
          <w:highlight w:val="none"/>
          <w:lang w:val="en-US" w:eastAsia="zh-CN"/>
        </w:rPr>
      </w:pPr>
    </w:p>
    <w:p>
      <w:pPr>
        <w:rPr>
          <w:rFonts w:hint="eastAsia"/>
          <w:highlight w:val="none"/>
        </w:rPr>
      </w:pP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360" w:lineRule="auto"/>
              <w:jc w:val="left"/>
              <w:rPr>
                <w:rFonts w:hint="eastAsia" w:ascii="宋体" w:hAnsi="宋体" w:eastAsia="宋体" w:cs="宋体"/>
                <w:sz w:val="24"/>
                <w:highlight w:val="none"/>
              </w:rPr>
            </w:pPr>
            <w:r>
              <w:rPr>
                <w:rFonts w:hint="eastAsia" w:ascii="宋体" w:hAnsi="宋体" w:eastAsia="宋体" w:cs="宋体"/>
                <w:sz w:val="24"/>
                <w:szCs w:val="21"/>
                <w:highlight w:val="none"/>
                <w:lang w:val="en-US" w:eastAsia="zh-CN"/>
              </w:rPr>
              <w:t>法定代表人身份证正面</w:t>
            </w:r>
          </w:p>
          <w:p>
            <w:pPr>
              <w:spacing w:line="360" w:lineRule="auto"/>
              <w:jc w:val="left"/>
              <w:rPr>
                <w:rFonts w:hint="eastAsia" w:ascii="宋体" w:hAnsi="宋体" w:eastAsia="宋体" w:cs="宋体"/>
                <w:sz w:val="24"/>
                <w:highlight w:val="none"/>
              </w:rPr>
            </w:pPr>
          </w:p>
          <w:p>
            <w:pPr>
              <w:spacing w:line="360" w:lineRule="auto"/>
              <w:jc w:val="left"/>
              <w:rPr>
                <w:rFonts w:hint="eastAsia" w:ascii="宋体" w:hAnsi="宋体" w:eastAsia="宋体" w:cs="宋体"/>
                <w:sz w:val="24"/>
                <w:highlight w:val="none"/>
              </w:rPr>
            </w:pPr>
          </w:p>
          <w:p>
            <w:pPr>
              <w:spacing w:line="360" w:lineRule="auto"/>
              <w:jc w:val="left"/>
              <w:rPr>
                <w:rFonts w:hint="eastAsia" w:ascii="宋体" w:hAnsi="宋体" w:eastAsia="宋体" w:cs="宋体"/>
                <w:sz w:val="24"/>
                <w:highlight w:val="none"/>
              </w:rPr>
            </w:pPr>
          </w:p>
          <w:p>
            <w:pPr>
              <w:spacing w:line="360" w:lineRule="auto"/>
              <w:jc w:val="left"/>
              <w:rPr>
                <w:rFonts w:hint="eastAsia" w:ascii="宋体" w:hAnsi="宋体" w:eastAsia="宋体" w:cs="宋体"/>
                <w:sz w:val="24"/>
                <w:highlight w:val="none"/>
              </w:rPr>
            </w:pPr>
          </w:p>
          <w:p>
            <w:pPr>
              <w:spacing w:line="360" w:lineRule="auto"/>
              <w:jc w:val="left"/>
              <w:rPr>
                <w:rFonts w:hint="eastAsia" w:ascii="宋体" w:hAnsi="宋体" w:eastAsia="宋体" w:cs="宋体"/>
                <w:sz w:val="24"/>
                <w:highlight w:val="none"/>
              </w:rPr>
            </w:pPr>
          </w:p>
        </w:tc>
        <w:tc>
          <w:tcPr>
            <w:tcW w:w="4264" w:type="dxa"/>
          </w:tcPr>
          <w:p>
            <w:pPr>
              <w:spacing w:line="360" w:lineRule="auto"/>
              <w:jc w:val="left"/>
              <w:rPr>
                <w:rFonts w:hint="eastAsia" w:ascii="宋体" w:hAnsi="宋体" w:eastAsia="宋体" w:cs="宋体"/>
                <w:sz w:val="24"/>
                <w:highlight w:val="none"/>
              </w:rPr>
            </w:pPr>
            <w:r>
              <w:rPr>
                <w:rFonts w:hint="eastAsia" w:ascii="宋体" w:hAnsi="宋体" w:eastAsia="宋体" w:cs="宋体"/>
                <w:sz w:val="24"/>
                <w:szCs w:val="21"/>
                <w:highlight w:val="none"/>
                <w:lang w:val="en-US" w:eastAsia="zh-CN"/>
              </w:rPr>
              <w:t>法定代表人身份证背面</w:t>
            </w:r>
          </w:p>
        </w:tc>
      </w:tr>
    </w:tbl>
    <w:p>
      <w:pPr>
        <w:tabs>
          <w:tab w:val="left" w:pos="360"/>
        </w:tabs>
        <w:spacing w:afterLines="100" w:line="360" w:lineRule="auto"/>
        <w:outlineLvl w:val="0"/>
        <w:rPr>
          <w:rFonts w:hint="eastAsia" w:ascii="宋体" w:hAnsi="宋体" w:eastAsia="宋体" w:cs="宋体"/>
          <w:sz w:val="24"/>
          <w:highlight w:val="none"/>
          <w:lang w:val="en-US" w:eastAsia="zh-CN"/>
        </w:rPr>
      </w:pPr>
    </w:p>
    <w:p>
      <w:pPr>
        <w:autoSpaceDN w:val="0"/>
        <w:spacing w:line="360" w:lineRule="auto"/>
        <w:jc w:val="center"/>
        <w:rPr>
          <w:rFonts w:hint="eastAsia" w:ascii="宋体" w:hAnsi="宋体" w:eastAsia="宋体" w:cs="宋体"/>
          <w:b/>
          <w:bCs/>
          <w:sz w:val="24"/>
          <w:highlight w:val="none"/>
        </w:rPr>
      </w:pPr>
    </w:p>
    <w:p>
      <w:pPr>
        <w:autoSpaceDN w:val="0"/>
        <w:spacing w:line="360" w:lineRule="auto"/>
        <w:jc w:val="center"/>
        <w:rPr>
          <w:rFonts w:hint="eastAsia" w:ascii="宋体" w:hAnsi="宋体" w:eastAsia="宋体" w:cs="宋体"/>
          <w:b/>
          <w:bCs/>
          <w:sz w:val="24"/>
          <w:highlight w:val="none"/>
        </w:rPr>
      </w:pPr>
    </w:p>
    <w:p>
      <w:pPr>
        <w:autoSpaceDN w:val="0"/>
        <w:spacing w:line="360" w:lineRule="auto"/>
        <w:jc w:val="center"/>
        <w:rPr>
          <w:rFonts w:hint="eastAsia" w:ascii="宋体" w:hAnsi="宋体" w:eastAsia="宋体" w:cs="宋体"/>
          <w:b/>
          <w:bCs/>
          <w:sz w:val="24"/>
          <w:highlight w:val="none"/>
        </w:rPr>
      </w:pPr>
    </w:p>
    <w:p>
      <w:pPr>
        <w:pStyle w:val="7"/>
        <w:rPr>
          <w:rFonts w:hint="eastAsia" w:ascii="宋体" w:hAnsi="宋体" w:eastAsia="宋体" w:cs="宋体"/>
          <w:b/>
          <w:bCs/>
          <w:sz w:val="24"/>
          <w:highlight w:val="none"/>
        </w:rPr>
      </w:pPr>
    </w:p>
    <w:p>
      <w:pPr>
        <w:rPr>
          <w:rFonts w:hint="eastAsia"/>
        </w:rPr>
      </w:pPr>
    </w:p>
    <w:p>
      <w:pPr>
        <w:tabs>
          <w:tab w:val="left" w:pos="360"/>
        </w:tabs>
        <w:spacing w:afterLines="100" w:line="360" w:lineRule="auto"/>
        <w:outlineLvl w:val="0"/>
        <w:rPr>
          <w:rFonts w:hint="default"/>
          <w:highlight w:val="none"/>
          <w:lang w:val="en-US"/>
        </w:rPr>
      </w:pPr>
      <w:r>
        <w:rPr>
          <w:rFonts w:hint="eastAsia" w:ascii="宋体" w:hAnsi="宋体" w:eastAsia="宋体" w:cs="宋体"/>
          <w:sz w:val="24"/>
          <w:highlight w:val="none"/>
        </w:rPr>
        <w:t>附件</w:t>
      </w:r>
      <w:r>
        <w:rPr>
          <w:rFonts w:hint="eastAsia" w:ascii="宋体" w:hAnsi="宋体" w:cs="宋体"/>
          <w:sz w:val="24"/>
          <w:highlight w:val="none"/>
          <w:lang w:val="en-US" w:eastAsia="zh-CN"/>
        </w:rPr>
        <w:t>5-2</w:t>
      </w:r>
    </w:p>
    <w:p>
      <w:pPr>
        <w:autoSpaceDN w:val="0"/>
        <w:spacing w:line="360" w:lineRule="auto"/>
        <w:jc w:val="center"/>
        <w:rPr>
          <w:rFonts w:hint="eastAsia" w:ascii="宋体" w:hAnsi="宋体" w:eastAsia="宋体" w:cs="宋体"/>
          <w:b/>
          <w:bCs/>
          <w:sz w:val="24"/>
          <w:highlight w:val="none"/>
        </w:rPr>
      </w:pPr>
      <w:r>
        <w:rPr>
          <w:rFonts w:hint="eastAsia" w:ascii="宋体" w:hAnsi="宋体" w:cs="宋体"/>
          <w:b/>
          <w:bCs/>
          <w:sz w:val="24"/>
          <w:highlight w:val="none"/>
          <w:lang w:eastAsia="zh-CN"/>
        </w:rPr>
        <w:t>法定</w:t>
      </w:r>
      <w:r>
        <w:rPr>
          <w:rFonts w:hint="eastAsia" w:ascii="宋体" w:hAnsi="宋体" w:eastAsia="宋体" w:cs="宋体"/>
          <w:b/>
          <w:bCs/>
          <w:sz w:val="24"/>
          <w:highlight w:val="none"/>
        </w:rPr>
        <w:t>代表人授权书</w:t>
      </w:r>
    </w:p>
    <w:p>
      <w:pPr>
        <w:spacing w:line="360" w:lineRule="auto"/>
        <w:rPr>
          <w:rFonts w:hint="eastAsia" w:ascii="宋体" w:hAnsi="宋体" w:eastAsia="宋体" w:cs="宋体"/>
          <w:sz w:val="24"/>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1"/>
          <w:highlight w:val="none"/>
        </w:rPr>
        <w:t>致：</w:t>
      </w:r>
      <w:r>
        <w:rPr>
          <w:rFonts w:hint="eastAsia" w:ascii="宋体" w:hAnsi="宋体" w:eastAsia="宋体" w:cs="宋体"/>
          <w:sz w:val="24"/>
          <w:szCs w:val="24"/>
          <w:highlight w:val="none"/>
          <w:lang w:val="en-US" w:eastAsia="zh-CN"/>
        </w:rPr>
        <w:t>天津市东丽区市场监督管理局</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1"/>
          <w:highlight w:val="none"/>
          <w:lang w:eastAsia="zh-CN"/>
        </w:rPr>
      </w:pPr>
      <w:r>
        <w:rPr>
          <w:rFonts w:hint="eastAsia" w:ascii="宋体" w:hAnsi="宋体" w:eastAsia="宋体" w:cs="宋体"/>
          <w:sz w:val="24"/>
          <w:szCs w:val="24"/>
          <w:highlight w:val="none"/>
          <w:lang w:eastAsia="zh-CN"/>
        </w:rPr>
        <w:t>中易（天津）工程咨询有限公司</w:t>
      </w:r>
    </w:p>
    <w:p>
      <w:pPr>
        <w:snapToGrid w:val="0"/>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我单位授权委托在职职工_______________（姓名，职务）（身份证号码：____________________、联系电话：_______________）作为投标代表人以我方的名义参加贵中心______________________项目（项目编号：_______________）的投标活动，并代表我方全权办理针对上述项目的投标、开标、投标文件澄清、签约等一切具体事务和签署相关文件。</w:t>
      </w:r>
    </w:p>
    <w:p>
      <w:pPr>
        <w:snapToGrid w:val="0"/>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我方对投标代表人的签名事项负全部责任。</w:t>
      </w:r>
    </w:p>
    <w:p>
      <w:pPr>
        <w:snapToGrid w:val="0"/>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本授权书至投标有效期结束前始终有效。</w:t>
      </w:r>
    </w:p>
    <w:p>
      <w:pPr>
        <w:snapToGrid w:val="0"/>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投标代表人无转委托权，特此委托。</w:t>
      </w:r>
    </w:p>
    <w:p>
      <w:pPr>
        <w:spacing w:line="360" w:lineRule="auto"/>
        <w:ind w:firstLine="480" w:firstLineChars="200"/>
        <w:rPr>
          <w:rFonts w:hint="eastAsia" w:ascii="宋体" w:hAnsi="宋体" w:eastAsia="宋体" w:cs="宋体"/>
          <w:sz w:val="24"/>
          <w:highlight w:val="none"/>
        </w:rPr>
      </w:pPr>
    </w:p>
    <w:p>
      <w:pPr>
        <w:spacing w:line="360" w:lineRule="auto"/>
        <w:ind w:firstLine="4920" w:firstLineChars="2050"/>
        <w:jc w:val="right"/>
        <w:rPr>
          <w:rFonts w:hint="eastAsia" w:ascii="宋体" w:hAnsi="宋体" w:eastAsia="宋体" w:cs="宋体"/>
          <w:sz w:val="24"/>
          <w:highlight w:val="none"/>
        </w:rPr>
      </w:pPr>
    </w:p>
    <w:p>
      <w:pPr>
        <w:snapToGrid w:val="0"/>
        <w:spacing w:line="360" w:lineRule="auto"/>
        <w:ind w:firstLine="480" w:firstLineChars="200"/>
        <w:jc w:val="right"/>
        <w:rPr>
          <w:rFonts w:hint="eastAsia" w:ascii="宋体" w:hAnsi="宋体" w:eastAsia="宋体" w:cs="宋体"/>
          <w:sz w:val="24"/>
          <w:szCs w:val="21"/>
          <w:highlight w:val="none"/>
        </w:rPr>
      </w:pPr>
      <w:r>
        <w:rPr>
          <w:rFonts w:hint="eastAsia" w:ascii="宋体" w:hAnsi="宋体" w:eastAsia="宋体" w:cs="宋体"/>
          <w:sz w:val="24"/>
          <w:szCs w:val="21"/>
          <w:highlight w:val="none"/>
          <w:lang w:val="en-US" w:eastAsia="zh-CN"/>
        </w:rPr>
        <w:t>法定代表人（印章）：</w:t>
      </w:r>
      <w:r>
        <w:rPr>
          <w:rFonts w:hint="default" w:ascii="宋体" w:hAnsi="宋体" w:eastAsia="宋体" w:cs="宋体"/>
          <w:sz w:val="24"/>
          <w:szCs w:val="21"/>
          <w:highlight w:val="none"/>
          <w:lang w:val="en-US" w:eastAsia="zh-CN"/>
        </w:rPr>
        <w:t xml:space="preserve">_______________ </w:t>
      </w:r>
    </w:p>
    <w:p>
      <w:pPr>
        <w:snapToGrid w:val="0"/>
        <w:spacing w:line="360" w:lineRule="auto"/>
        <w:ind w:firstLine="480" w:firstLineChars="200"/>
        <w:jc w:val="right"/>
        <w:rPr>
          <w:rFonts w:hint="eastAsia" w:ascii="宋体" w:hAnsi="宋体" w:eastAsia="宋体" w:cs="宋体"/>
          <w:sz w:val="24"/>
          <w:szCs w:val="21"/>
          <w:highlight w:val="none"/>
        </w:rPr>
      </w:pPr>
      <w:r>
        <w:rPr>
          <w:rFonts w:hint="eastAsia" w:ascii="宋体" w:hAnsi="宋体" w:cs="宋体"/>
          <w:sz w:val="24"/>
          <w:szCs w:val="21"/>
          <w:highlight w:val="none"/>
          <w:lang w:val="en-US" w:eastAsia="zh-CN"/>
        </w:rPr>
        <w:t>投标人</w:t>
      </w:r>
      <w:r>
        <w:rPr>
          <w:rFonts w:hint="eastAsia" w:ascii="宋体" w:hAnsi="宋体" w:eastAsia="宋体" w:cs="宋体"/>
          <w:sz w:val="24"/>
          <w:szCs w:val="21"/>
          <w:highlight w:val="none"/>
          <w:lang w:val="en-US" w:eastAsia="zh-CN"/>
        </w:rPr>
        <w:t>名称（公章）：</w:t>
      </w:r>
      <w:r>
        <w:rPr>
          <w:rFonts w:hint="default" w:ascii="宋体" w:hAnsi="宋体" w:eastAsia="宋体" w:cs="宋体"/>
          <w:sz w:val="24"/>
          <w:szCs w:val="21"/>
          <w:highlight w:val="none"/>
          <w:lang w:val="en-US" w:eastAsia="zh-CN"/>
        </w:rPr>
        <w:t xml:space="preserve">___________ </w:t>
      </w:r>
    </w:p>
    <w:p>
      <w:pPr>
        <w:snapToGrid w:val="0"/>
        <w:spacing w:line="360" w:lineRule="auto"/>
        <w:ind w:firstLine="480" w:firstLineChars="200"/>
        <w:jc w:val="right"/>
        <w:rPr>
          <w:rFonts w:hint="eastAsia" w:ascii="宋体" w:hAnsi="宋体" w:eastAsia="宋体" w:cs="宋体"/>
          <w:sz w:val="24"/>
          <w:szCs w:val="21"/>
          <w:highlight w:val="none"/>
        </w:rPr>
      </w:pPr>
      <w:r>
        <w:rPr>
          <w:rFonts w:hint="eastAsia" w:ascii="宋体" w:hAnsi="宋体" w:eastAsia="宋体" w:cs="宋体"/>
          <w:sz w:val="24"/>
          <w:szCs w:val="21"/>
          <w:highlight w:val="none"/>
          <w:lang w:val="en-US" w:eastAsia="zh-CN"/>
        </w:rPr>
        <w:t>日期：</w:t>
      </w:r>
      <w:r>
        <w:rPr>
          <w:rFonts w:hint="default" w:ascii="宋体" w:hAnsi="宋体" w:eastAsia="宋体" w:cs="宋体"/>
          <w:sz w:val="24"/>
          <w:szCs w:val="21"/>
          <w:highlight w:val="none"/>
          <w:lang w:val="en-US" w:eastAsia="zh-CN"/>
        </w:rPr>
        <w:t xml:space="preserve">__________ </w:t>
      </w:r>
    </w:p>
    <w:p>
      <w:pPr>
        <w:spacing w:line="360" w:lineRule="auto"/>
        <w:ind w:firstLine="5040" w:firstLineChars="2100"/>
        <w:rPr>
          <w:rFonts w:hint="eastAsia" w:ascii="宋体" w:hAnsi="宋体" w:eastAsia="宋体" w:cs="宋体"/>
          <w:sz w:val="24"/>
          <w:highlight w:val="none"/>
        </w:rPr>
      </w:pPr>
      <w:r>
        <w:rPr>
          <w:rFonts w:hint="eastAsia" w:ascii="宋体" w:hAnsi="宋体" w:eastAsia="宋体" w:cs="宋体"/>
          <w:sz w:val="24"/>
          <w:highlight w:val="none"/>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投标代表人身份证正面</w:t>
            </w:r>
          </w:p>
          <w:p>
            <w:pPr>
              <w:spacing w:line="360" w:lineRule="auto"/>
              <w:jc w:val="left"/>
              <w:rPr>
                <w:rFonts w:hint="eastAsia" w:ascii="宋体" w:hAnsi="宋体" w:eastAsia="宋体" w:cs="宋体"/>
                <w:sz w:val="24"/>
                <w:highlight w:val="none"/>
              </w:rPr>
            </w:pPr>
          </w:p>
          <w:p>
            <w:pPr>
              <w:spacing w:line="360" w:lineRule="auto"/>
              <w:jc w:val="left"/>
              <w:rPr>
                <w:rFonts w:hint="eastAsia" w:ascii="宋体" w:hAnsi="宋体" w:eastAsia="宋体" w:cs="宋体"/>
                <w:sz w:val="24"/>
                <w:highlight w:val="none"/>
              </w:rPr>
            </w:pPr>
          </w:p>
          <w:p>
            <w:pPr>
              <w:spacing w:line="360" w:lineRule="auto"/>
              <w:jc w:val="left"/>
              <w:rPr>
                <w:rFonts w:hint="eastAsia" w:ascii="宋体" w:hAnsi="宋体" w:eastAsia="宋体" w:cs="宋体"/>
                <w:sz w:val="24"/>
                <w:highlight w:val="none"/>
              </w:rPr>
            </w:pPr>
          </w:p>
          <w:p>
            <w:pPr>
              <w:spacing w:line="360" w:lineRule="auto"/>
              <w:jc w:val="left"/>
              <w:rPr>
                <w:rFonts w:hint="eastAsia" w:ascii="宋体" w:hAnsi="宋体" w:eastAsia="宋体" w:cs="宋体"/>
                <w:sz w:val="24"/>
                <w:highlight w:val="none"/>
              </w:rPr>
            </w:pPr>
          </w:p>
          <w:p>
            <w:pPr>
              <w:spacing w:line="360" w:lineRule="auto"/>
              <w:jc w:val="left"/>
              <w:rPr>
                <w:rFonts w:hint="eastAsia" w:ascii="宋体" w:hAnsi="宋体" w:eastAsia="宋体" w:cs="宋体"/>
                <w:sz w:val="24"/>
                <w:highlight w:val="none"/>
              </w:rPr>
            </w:pPr>
          </w:p>
        </w:tc>
        <w:tc>
          <w:tcPr>
            <w:tcW w:w="4264" w:type="dxa"/>
          </w:tcPr>
          <w:p>
            <w:pPr>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投标代表人身份证背面</w:t>
            </w:r>
          </w:p>
        </w:tc>
      </w:tr>
    </w:tbl>
    <w:p>
      <w:pPr>
        <w:spacing w:line="360" w:lineRule="auto"/>
        <w:ind w:firstLine="5040" w:firstLineChars="2100"/>
        <w:rPr>
          <w:rFonts w:hint="eastAsia" w:ascii="宋体" w:hAnsi="宋体" w:eastAsia="宋体" w:cs="宋体"/>
          <w:sz w:val="24"/>
          <w:highlight w:val="none"/>
        </w:rPr>
      </w:pPr>
    </w:p>
    <w:p>
      <w:pPr>
        <w:widowControl/>
        <w:jc w:val="left"/>
        <w:rPr>
          <w:rFonts w:hint="eastAsia" w:ascii="宋体" w:hAnsi="宋体" w:eastAsia="宋体" w:cs="宋体"/>
          <w:sz w:val="24"/>
          <w:highlight w:val="none"/>
        </w:rPr>
      </w:pPr>
      <w:r>
        <w:rPr>
          <w:rFonts w:hint="eastAsia" w:ascii="宋体" w:hAnsi="宋体" w:eastAsia="宋体" w:cs="宋体"/>
          <w:sz w:val="24"/>
          <w:highlight w:val="none"/>
        </w:rPr>
        <w:br w:type="page"/>
      </w:r>
    </w:p>
    <w:p>
      <w:pPr>
        <w:tabs>
          <w:tab w:val="left" w:pos="360"/>
        </w:tabs>
        <w:spacing w:afterLines="100" w:line="360" w:lineRule="auto"/>
        <w:outlineLvl w:val="0"/>
        <w:rPr>
          <w:rFonts w:hint="eastAsia" w:ascii="宋体" w:hAnsi="宋体" w:eastAsia="宋体" w:cs="宋体"/>
          <w:sz w:val="24"/>
          <w:highlight w:val="none"/>
        </w:rPr>
      </w:pPr>
      <w:bookmarkStart w:id="104" w:name="_Toc9881"/>
      <w:bookmarkStart w:id="105" w:name="_Toc11890"/>
      <w:bookmarkStart w:id="106" w:name="_Toc27834"/>
      <w:r>
        <w:rPr>
          <w:rFonts w:hint="eastAsia" w:ascii="宋体" w:hAnsi="宋体" w:eastAsia="宋体" w:cs="宋体"/>
          <w:sz w:val="24"/>
          <w:highlight w:val="none"/>
        </w:rPr>
        <w:t>附件6-1</w:t>
      </w:r>
      <w:bookmarkEnd w:id="104"/>
      <w:bookmarkEnd w:id="105"/>
      <w:bookmarkEnd w:id="106"/>
    </w:p>
    <w:p>
      <w:pPr>
        <w:autoSpaceDN w:val="0"/>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商务要求点对点应答表</w:t>
      </w:r>
    </w:p>
    <w:p>
      <w:pPr>
        <w:spacing w:line="460" w:lineRule="exact"/>
        <w:rPr>
          <w:rFonts w:hint="eastAsia" w:ascii="宋体" w:hAnsi="宋体" w:eastAsia="宋体" w:cs="宋体"/>
          <w:sz w:val="24"/>
          <w:highlight w:val="none"/>
        </w:rPr>
      </w:pPr>
    </w:p>
    <w:p>
      <w:pPr>
        <w:spacing w:line="460" w:lineRule="exact"/>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p>
    <w:p>
      <w:pPr>
        <w:spacing w:line="460" w:lineRule="exact"/>
        <w:rPr>
          <w:rFonts w:hint="eastAsia" w:ascii="宋体" w:hAnsi="宋体" w:eastAsia="宋体" w:cs="宋体"/>
          <w:sz w:val="24"/>
          <w:highlight w:val="none"/>
        </w:rPr>
      </w:pPr>
      <w:r>
        <w:rPr>
          <w:rFonts w:hint="eastAsia" w:ascii="宋体" w:hAnsi="宋体" w:eastAsia="宋体" w:cs="宋体"/>
          <w:sz w:val="24"/>
          <w:highlight w:val="none"/>
        </w:rPr>
        <w:t>项目编号：</w:t>
      </w:r>
      <w:r>
        <w:rPr>
          <w:rFonts w:hint="eastAsia" w:ascii="宋体" w:hAnsi="宋体" w:eastAsia="宋体" w:cs="宋体"/>
          <w:sz w:val="24"/>
          <w:highlight w:val="none"/>
          <w:u w:val="single"/>
        </w:rPr>
        <w:t xml:space="preserve">                    </w:t>
      </w:r>
    </w:p>
    <w:p>
      <w:pPr>
        <w:spacing w:line="460" w:lineRule="exact"/>
        <w:rPr>
          <w:rFonts w:hint="eastAsia" w:ascii="宋体" w:hAnsi="宋体" w:eastAsia="宋体" w:cs="宋体"/>
          <w:sz w:val="24"/>
          <w:highlight w:val="none"/>
          <w:u w:val="single"/>
        </w:rPr>
      </w:pPr>
      <w:r>
        <w:rPr>
          <w:rFonts w:hint="eastAsia" w:ascii="宋体" w:hAnsi="宋体" w:eastAsia="宋体" w:cs="宋体"/>
          <w:sz w:val="24"/>
          <w:highlight w:val="none"/>
        </w:rPr>
        <w:t>包号：</w:t>
      </w:r>
      <w:r>
        <w:rPr>
          <w:rFonts w:hint="eastAsia" w:ascii="宋体" w:hAnsi="宋体" w:eastAsia="宋体" w:cs="宋体"/>
          <w:sz w:val="24"/>
          <w:highlight w:val="none"/>
          <w:u w:val="single"/>
        </w:rPr>
        <w:t xml:space="preserve">                        </w:t>
      </w:r>
    </w:p>
    <w:p>
      <w:pPr>
        <w:spacing w:line="460" w:lineRule="exact"/>
        <w:rPr>
          <w:rFonts w:hint="eastAsia" w:ascii="宋体" w:hAnsi="宋体" w:eastAsia="宋体" w:cs="宋体"/>
          <w:sz w:val="24"/>
          <w:highlight w:val="none"/>
          <w:u w:val="single"/>
        </w:rPr>
      </w:pPr>
    </w:p>
    <w:tbl>
      <w:tblPr>
        <w:tblStyle w:val="23"/>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500"/>
        <w:gridCol w:w="2680"/>
        <w:gridCol w:w="1979"/>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widowControl/>
              <w:snapToGrid w:val="0"/>
              <w:jc w:val="center"/>
              <w:rPr>
                <w:rFonts w:hint="eastAsia" w:ascii="宋体" w:hAnsi="宋体" w:eastAsia="宋体" w:cs="宋体"/>
                <w:kern w:val="0"/>
                <w:sz w:val="24"/>
                <w:szCs w:val="21"/>
                <w:highlight w:val="none"/>
              </w:rPr>
            </w:pPr>
            <w:r>
              <w:rPr>
                <w:rFonts w:hint="eastAsia" w:ascii="宋体" w:hAnsi="宋体" w:eastAsia="宋体" w:cs="宋体"/>
                <w:kern w:val="0"/>
                <w:sz w:val="24"/>
                <w:szCs w:val="21"/>
                <w:highlight w:val="none"/>
              </w:rPr>
              <w:t>序号</w:t>
            </w:r>
          </w:p>
        </w:tc>
        <w:tc>
          <w:tcPr>
            <w:tcW w:w="2500" w:type="dxa"/>
            <w:shd w:val="clear" w:color="auto" w:fill="auto"/>
            <w:vAlign w:val="center"/>
          </w:tcPr>
          <w:p>
            <w:pPr>
              <w:widowControl/>
              <w:snapToGrid w:val="0"/>
              <w:jc w:val="center"/>
              <w:rPr>
                <w:rFonts w:hint="eastAsia" w:ascii="宋体" w:hAnsi="宋体" w:eastAsia="宋体" w:cs="宋体"/>
                <w:kern w:val="0"/>
                <w:sz w:val="24"/>
                <w:szCs w:val="21"/>
                <w:highlight w:val="none"/>
              </w:rPr>
            </w:pPr>
            <w:r>
              <w:rPr>
                <w:rFonts w:hint="eastAsia" w:ascii="宋体" w:hAnsi="宋体" w:eastAsia="宋体" w:cs="宋体"/>
                <w:kern w:val="0"/>
                <w:sz w:val="24"/>
                <w:szCs w:val="21"/>
                <w:highlight w:val="none"/>
              </w:rPr>
              <w:t>招标要求</w:t>
            </w:r>
          </w:p>
        </w:tc>
        <w:tc>
          <w:tcPr>
            <w:tcW w:w="2680" w:type="dxa"/>
            <w:shd w:val="clear" w:color="auto" w:fill="auto"/>
            <w:vAlign w:val="center"/>
          </w:tcPr>
          <w:p>
            <w:pPr>
              <w:widowControl/>
              <w:snapToGrid w:val="0"/>
              <w:jc w:val="center"/>
              <w:rPr>
                <w:rFonts w:hint="eastAsia" w:ascii="宋体" w:hAnsi="宋体" w:eastAsia="宋体" w:cs="宋体"/>
                <w:kern w:val="0"/>
                <w:sz w:val="24"/>
                <w:szCs w:val="21"/>
                <w:highlight w:val="none"/>
              </w:rPr>
            </w:pPr>
            <w:r>
              <w:rPr>
                <w:rFonts w:hint="eastAsia" w:ascii="宋体" w:hAnsi="宋体" w:eastAsia="宋体" w:cs="宋体"/>
                <w:kern w:val="0"/>
                <w:sz w:val="24"/>
                <w:szCs w:val="21"/>
                <w:highlight w:val="none"/>
              </w:rPr>
              <w:t>投标应答</w:t>
            </w:r>
          </w:p>
        </w:tc>
        <w:tc>
          <w:tcPr>
            <w:tcW w:w="1979" w:type="dxa"/>
            <w:shd w:val="clear" w:color="auto" w:fill="auto"/>
            <w:vAlign w:val="center"/>
          </w:tcPr>
          <w:p>
            <w:pPr>
              <w:widowControl/>
              <w:snapToGrid w:val="0"/>
              <w:jc w:val="center"/>
              <w:rPr>
                <w:rFonts w:hint="eastAsia" w:ascii="宋体" w:hAnsi="宋体" w:eastAsia="宋体" w:cs="宋体"/>
                <w:kern w:val="0"/>
                <w:sz w:val="24"/>
                <w:szCs w:val="21"/>
                <w:highlight w:val="none"/>
              </w:rPr>
            </w:pPr>
            <w:r>
              <w:rPr>
                <w:rFonts w:hint="eastAsia" w:ascii="宋体" w:hAnsi="宋体" w:eastAsia="宋体" w:cs="宋体"/>
                <w:kern w:val="0"/>
                <w:sz w:val="24"/>
                <w:szCs w:val="21"/>
                <w:highlight w:val="none"/>
              </w:rPr>
              <w:t>偏离说明</w:t>
            </w:r>
          </w:p>
        </w:tc>
        <w:tc>
          <w:tcPr>
            <w:tcW w:w="1241" w:type="dxa"/>
            <w:shd w:val="clear" w:color="auto" w:fill="auto"/>
            <w:vAlign w:val="center"/>
          </w:tcPr>
          <w:p>
            <w:pPr>
              <w:widowControl/>
              <w:snapToGrid w:val="0"/>
              <w:jc w:val="center"/>
              <w:rPr>
                <w:rFonts w:hint="eastAsia" w:ascii="宋体" w:hAnsi="宋体" w:eastAsia="宋体" w:cs="宋体"/>
                <w:kern w:val="0"/>
                <w:sz w:val="24"/>
                <w:szCs w:val="21"/>
                <w:highlight w:val="none"/>
              </w:rPr>
            </w:pPr>
            <w:r>
              <w:rPr>
                <w:rFonts w:hint="eastAsia" w:ascii="宋体" w:hAnsi="宋体" w:eastAsia="宋体" w:cs="宋体"/>
                <w:kern w:val="0"/>
                <w:sz w:val="24"/>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pPr>
              <w:widowControl/>
              <w:snapToGrid w:val="0"/>
              <w:jc w:val="left"/>
              <w:rPr>
                <w:rFonts w:hint="eastAsia" w:ascii="宋体" w:hAnsi="宋体" w:eastAsia="宋体" w:cs="宋体"/>
                <w:kern w:val="0"/>
                <w:sz w:val="24"/>
                <w:szCs w:val="21"/>
                <w:highlight w:val="none"/>
              </w:rPr>
            </w:pPr>
            <w:r>
              <w:rPr>
                <w:rFonts w:hint="eastAsia" w:ascii="宋体" w:hAnsi="宋体" w:eastAsia="宋体" w:cs="宋体"/>
                <w:kern w:val="0"/>
                <w:sz w:val="24"/>
                <w:szCs w:val="21"/>
                <w:highlight w:val="none"/>
              </w:rPr>
              <w:t>（一）报价要求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c>
          <w:tcPr>
            <w:tcW w:w="2500" w:type="dxa"/>
            <w:shd w:val="clear" w:color="auto" w:fill="auto"/>
            <w:vAlign w:val="center"/>
          </w:tcPr>
          <w:p>
            <w:pPr>
              <w:widowControl/>
              <w:snapToGrid w:val="0"/>
              <w:jc w:val="left"/>
              <w:rPr>
                <w:rFonts w:hint="eastAsia" w:ascii="宋体" w:hAnsi="宋体" w:eastAsia="宋体" w:cs="宋体"/>
                <w:kern w:val="0"/>
                <w:sz w:val="24"/>
                <w:szCs w:val="21"/>
                <w:highlight w:val="none"/>
              </w:rPr>
            </w:pPr>
          </w:p>
        </w:tc>
        <w:tc>
          <w:tcPr>
            <w:tcW w:w="2680" w:type="dxa"/>
            <w:shd w:val="clear" w:color="auto" w:fill="auto"/>
            <w:vAlign w:val="center"/>
          </w:tcPr>
          <w:p>
            <w:pPr>
              <w:widowControl/>
              <w:snapToGrid w:val="0"/>
              <w:jc w:val="left"/>
              <w:rPr>
                <w:rFonts w:hint="eastAsia" w:ascii="宋体" w:hAnsi="宋体" w:eastAsia="宋体" w:cs="宋体"/>
                <w:kern w:val="0"/>
                <w:sz w:val="24"/>
                <w:szCs w:val="21"/>
                <w:highlight w:val="none"/>
              </w:rPr>
            </w:pPr>
          </w:p>
        </w:tc>
        <w:tc>
          <w:tcPr>
            <w:tcW w:w="1979" w:type="dxa"/>
            <w:shd w:val="clear" w:color="auto" w:fill="auto"/>
            <w:vAlign w:val="center"/>
          </w:tcPr>
          <w:p>
            <w:pPr>
              <w:widowControl/>
              <w:snapToGrid w:val="0"/>
              <w:jc w:val="left"/>
              <w:rPr>
                <w:rFonts w:hint="eastAsia" w:ascii="宋体" w:hAnsi="宋体" w:eastAsia="宋体" w:cs="宋体"/>
                <w:kern w:val="0"/>
                <w:sz w:val="24"/>
                <w:szCs w:val="21"/>
                <w:highlight w:val="none"/>
              </w:rPr>
            </w:pPr>
          </w:p>
        </w:tc>
        <w:tc>
          <w:tcPr>
            <w:tcW w:w="1241" w:type="dxa"/>
            <w:shd w:val="clear" w:color="auto" w:fill="auto"/>
            <w:vAlign w:val="center"/>
          </w:tcPr>
          <w:p>
            <w:pPr>
              <w:widowControl/>
              <w:snapToGrid w:val="0"/>
              <w:jc w:val="left"/>
              <w:rPr>
                <w:rFonts w:hint="eastAsia" w:ascii="宋体" w:hAnsi="宋体" w:eastAsia="宋体" w:cs="宋体"/>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c>
          <w:tcPr>
            <w:tcW w:w="2500" w:type="dxa"/>
            <w:shd w:val="clear" w:color="auto" w:fill="auto"/>
            <w:vAlign w:val="center"/>
          </w:tcPr>
          <w:p>
            <w:pPr>
              <w:widowControl/>
              <w:snapToGrid w:val="0"/>
              <w:jc w:val="left"/>
              <w:rPr>
                <w:rFonts w:hint="eastAsia" w:ascii="宋体" w:hAnsi="宋体" w:eastAsia="宋体" w:cs="宋体"/>
                <w:kern w:val="0"/>
                <w:sz w:val="24"/>
                <w:szCs w:val="21"/>
                <w:highlight w:val="none"/>
              </w:rPr>
            </w:pPr>
          </w:p>
        </w:tc>
        <w:tc>
          <w:tcPr>
            <w:tcW w:w="2680" w:type="dxa"/>
            <w:shd w:val="clear" w:color="auto" w:fill="auto"/>
            <w:vAlign w:val="center"/>
          </w:tcPr>
          <w:p>
            <w:pPr>
              <w:widowControl/>
              <w:snapToGrid w:val="0"/>
              <w:jc w:val="left"/>
              <w:rPr>
                <w:rFonts w:hint="eastAsia" w:ascii="宋体" w:hAnsi="宋体" w:eastAsia="宋体" w:cs="宋体"/>
                <w:kern w:val="0"/>
                <w:sz w:val="24"/>
                <w:szCs w:val="21"/>
                <w:highlight w:val="none"/>
              </w:rPr>
            </w:pPr>
          </w:p>
        </w:tc>
        <w:tc>
          <w:tcPr>
            <w:tcW w:w="1979" w:type="dxa"/>
            <w:shd w:val="clear" w:color="auto" w:fill="auto"/>
            <w:vAlign w:val="center"/>
          </w:tcPr>
          <w:p>
            <w:pPr>
              <w:widowControl/>
              <w:snapToGrid w:val="0"/>
              <w:jc w:val="left"/>
              <w:rPr>
                <w:rFonts w:hint="eastAsia" w:ascii="宋体" w:hAnsi="宋体" w:eastAsia="宋体" w:cs="宋体"/>
                <w:kern w:val="0"/>
                <w:sz w:val="24"/>
                <w:szCs w:val="21"/>
                <w:highlight w:val="none"/>
              </w:rPr>
            </w:pPr>
          </w:p>
        </w:tc>
        <w:tc>
          <w:tcPr>
            <w:tcW w:w="1241" w:type="dxa"/>
            <w:shd w:val="clear" w:color="auto" w:fill="auto"/>
            <w:vAlign w:val="center"/>
          </w:tcPr>
          <w:p>
            <w:pPr>
              <w:widowControl/>
              <w:snapToGrid w:val="0"/>
              <w:jc w:val="left"/>
              <w:rPr>
                <w:rFonts w:hint="eastAsia" w:ascii="宋体" w:hAnsi="宋体" w:eastAsia="宋体" w:cs="宋体"/>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pPr>
              <w:widowControl/>
              <w:snapToGrid w:val="0"/>
              <w:jc w:val="left"/>
              <w:rPr>
                <w:rFonts w:hint="eastAsia" w:ascii="宋体" w:hAnsi="宋体" w:eastAsia="宋体" w:cs="宋体"/>
                <w:kern w:val="0"/>
                <w:sz w:val="24"/>
                <w:szCs w:val="21"/>
                <w:highlight w:val="none"/>
              </w:rPr>
            </w:pPr>
            <w:r>
              <w:rPr>
                <w:rFonts w:hint="eastAsia" w:ascii="宋体" w:hAnsi="宋体" w:eastAsia="宋体" w:cs="宋体"/>
                <w:kern w:val="0"/>
                <w:sz w:val="24"/>
                <w:szCs w:val="21"/>
                <w:highlight w:val="none"/>
              </w:rPr>
              <w:t>（二）服务要求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c>
          <w:tcPr>
            <w:tcW w:w="2500" w:type="dxa"/>
            <w:shd w:val="clear" w:color="auto" w:fill="auto"/>
            <w:vAlign w:val="center"/>
          </w:tcPr>
          <w:p>
            <w:pPr>
              <w:widowControl/>
              <w:snapToGrid w:val="0"/>
              <w:jc w:val="left"/>
              <w:rPr>
                <w:rFonts w:hint="eastAsia" w:ascii="宋体" w:hAnsi="宋体" w:eastAsia="宋体" w:cs="宋体"/>
                <w:kern w:val="0"/>
                <w:sz w:val="24"/>
                <w:szCs w:val="21"/>
                <w:highlight w:val="none"/>
              </w:rPr>
            </w:pPr>
          </w:p>
        </w:tc>
        <w:tc>
          <w:tcPr>
            <w:tcW w:w="2680" w:type="dxa"/>
            <w:shd w:val="clear" w:color="auto" w:fill="auto"/>
            <w:vAlign w:val="center"/>
          </w:tcPr>
          <w:p>
            <w:pPr>
              <w:widowControl/>
              <w:snapToGrid w:val="0"/>
              <w:jc w:val="left"/>
              <w:rPr>
                <w:rFonts w:hint="eastAsia" w:ascii="宋体" w:hAnsi="宋体" w:eastAsia="宋体" w:cs="宋体"/>
                <w:kern w:val="0"/>
                <w:sz w:val="24"/>
                <w:szCs w:val="21"/>
                <w:highlight w:val="none"/>
              </w:rPr>
            </w:pPr>
          </w:p>
        </w:tc>
        <w:tc>
          <w:tcPr>
            <w:tcW w:w="1979" w:type="dxa"/>
            <w:shd w:val="clear" w:color="auto" w:fill="auto"/>
            <w:vAlign w:val="center"/>
          </w:tcPr>
          <w:p>
            <w:pPr>
              <w:widowControl/>
              <w:snapToGrid w:val="0"/>
              <w:jc w:val="left"/>
              <w:rPr>
                <w:rFonts w:hint="eastAsia" w:ascii="宋体" w:hAnsi="宋体" w:eastAsia="宋体" w:cs="宋体"/>
                <w:kern w:val="0"/>
                <w:sz w:val="24"/>
                <w:szCs w:val="21"/>
                <w:highlight w:val="none"/>
              </w:rPr>
            </w:pPr>
          </w:p>
        </w:tc>
        <w:tc>
          <w:tcPr>
            <w:tcW w:w="1241" w:type="dxa"/>
            <w:shd w:val="clear" w:color="auto" w:fill="auto"/>
            <w:vAlign w:val="center"/>
          </w:tcPr>
          <w:p>
            <w:pPr>
              <w:widowControl/>
              <w:snapToGrid w:val="0"/>
              <w:jc w:val="left"/>
              <w:rPr>
                <w:rFonts w:hint="eastAsia" w:ascii="宋体" w:hAnsi="宋体" w:eastAsia="宋体" w:cs="宋体"/>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c>
          <w:tcPr>
            <w:tcW w:w="2500" w:type="dxa"/>
            <w:shd w:val="clear" w:color="auto" w:fill="auto"/>
            <w:vAlign w:val="center"/>
          </w:tcPr>
          <w:p>
            <w:pPr>
              <w:widowControl/>
              <w:snapToGrid w:val="0"/>
              <w:jc w:val="left"/>
              <w:rPr>
                <w:rFonts w:hint="eastAsia" w:ascii="宋体" w:hAnsi="宋体" w:eastAsia="宋体" w:cs="宋体"/>
                <w:kern w:val="0"/>
                <w:sz w:val="24"/>
                <w:szCs w:val="21"/>
                <w:highlight w:val="none"/>
              </w:rPr>
            </w:pPr>
          </w:p>
        </w:tc>
        <w:tc>
          <w:tcPr>
            <w:tcW w:w="2680" w:type="dxa"/>
            <w:shd w:val="clear" w:color="auto" w:fill="auto"/>
            <w:vAlign w:val="center"/>
          </w:tcPr>
          <w:p>
            <w:pPr>
              <w:widowControl/>
              <w:snapToGrid w:val="0"/>
              <w:jc w:val="left"/>
              <w:rPr>
                <w:rFonts w:hint="eastAsia" w:ascii="宋体" w:hAnsi="宋体" w:eastAsia="宋体" w:cs="宋体"/>
                <w:kern w:val="0"/>
                <w:sz w:val="24"/>
                <w:szCs w:val="21"/>
                <w:highlight w:val="none"/>
              </w:rPr>
            </w:pPr>
          </w:p>
        </w:tc>
        <w:tc>
          <w:tcPr>
            <w:tcW w:w="1979" w:type="dxa"/>
            <w:shd w:val="clear" w:color="auto" w:fill="auto"/>
            <w:vAlign w:val="center"/>
          </w:tcPr>
          <w:p>
            <w:pPr>
              <w:widowControl/>
              <w:snapToGrid w:val="0"/>
              <w:jc w:val="left"/>
              <w:rPr>
                <w:rFonts w:hint="eastAsia" w:ascii="宋体" w:hAnsi="宋体" w:eastAsia="宋体" w:cs="宋体"/>
                <w:kern w:val="0"/>
                <w:sz w:val="24"/>
                <w:szCs w:val="21"/>
                <w:highlight w:val="none"/>
              </w:rPr>
            </w:pPr>
          </w:p>
        </w:tc>
        <w:tc>
          <w:tcPr>
            <w:tcW w:w="1241" w:type="dxa"/>
            <w:shd w:val="clear" w:color="auto" w:fill="auto"/>
            <w:vAlign w:val="center"/>
          </w:tcPr>
          <w:p>
            <w:pPr>
              <w:widowControl/>
              <w:snapToGrid w:val="0"/>
              <w:jc w:val="left"/>
              <w:rPr>
                <w:rFonts w:hint="eastAsia" w:ascii="宋体" w:hAnsi="宋体" w:eastAsia="宋体" w:cs="宋体"/>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pPr>
              <w:widowControl/>
              <w:snapToGrid w:val="0"/>
              <w:jc w:val="left"/>
              <w:rPr>
                <w:rFonts w:hint="eastAsia" w:ascii="宋体" w:hAnsi="宋体" w:eastAsia="宋体" w:cs="宋体"/>
                <w:kern w:val="0"/>
                <w:sz w:val="24"/>
                <w:szCs w:val="21"/>
                <w:highlight w:val="none"/>
              </w:rPr>
            </w:pPr>
            <w:r>
              <w:rPr>
                <w:rFonts w:hint="eastAsia" w:ascii="宋体" w:hAnsi="宋体" w:eastAsia="宋体" w:cs="宋体"/>
                <w:kern w:val="0"/>
                <w:sz w:val="24"/>
                <w:szCs w:val="21"/>
                <w:highlight w:val="none"/>
              </w:rPr>
              <w:t>（三）</w:t>
            </w:r>
            <w:r>
              <w:rPr>
                <w:rFonts w:hint="eastAsia" w:ascii="宋体" w:hAnsi="宋体" w:eastAsia="宋体" w:cs="宋体"/>
                <w:kern w:val="0"/>
                <w:sz w:val="24"/>
                <w:szCs w:val="24"/>
                <w:highlight w:val="none"/>
                <w:lang w:val="en-US" w:eastAsia="zh-CN"/>
              </w:rPr>
              <w:t>服务期及地点</w:t>
            </w:r>
            <w:r>
              <w:rPr>
                <w:rFonts w:hint="eastAsia" w:ascii="宋体" w:hAnsi="宋体" w:eastAsia="宋体" w:cs="宋体"/>
                <w:kern w:val="0"/>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c>
          <w:tcPr>
            <w:tcW w:w="2500" w:type="dxa"/>
            <w:shd w:val="clear" w:color="auto" w:fill="auto"/>
            <w:vAlign w:val="center"/>
          </w:tcPr>
          <w:p>
            <w:pPr>
              <w:widowControl/>
              <w:snapToGrid w:val="0"/>
              <w:jc w:val="left"/>
              <w:rPr>
                <w:rFonts w:hint="eastAsia" w:ascii="宋体" w:hAnsi="宋体" w:eastAsia="宋体" w:cs="宋体"/>
                <w:kern w:val="0"/>
                <w:sz w:val="24"/>
                <w:szCs w:val="21"/>
                <w:highlight w:val="none"/>
              </w:rPr>
            </w:pPr>
          </w:p>
        </w:tc>
        <w:tc>
          <w:tcPr>
            <w:tcW w:w="2680" w:type="dxa"/>
            <w:shd w:val="clear" w:color="auto" w:fill="auto"/>
            <w:vAlign w:val="center"/>
          </w:tcPr>
          <w:p>
            <w:pPr>
              <w:widowControl/>
              <w:snapToGrid w:val="0"/>
              <w:jc w:val="left"/>
              <w:rPr>
                <w:rFonts w:hint="eastAsia" w:ascii="宋体" w:hAnsi="宋体" w:eastAsia="宋体" w:cs="宋体"/>
                <w:kern w:val="0"/>
                <w:sz w:val="24"/>
                <w:szCs w:val="21"/>
                <w:highlight w:val="none"/>
              </w:rPr>
            </w:pPr>
          </w:p>
        </w:tc>
        <w:tc>
          <w:tcPr>
            <w:tcW w:w="1979" w:type="dxa"/>
            <w:shd w:val="clear" w:color="auto" w:fill="auto"/>
            <w:vAlign w:val="center"/>
          </w:tcPr>
          <w:p>
            <w:pPr>
              <w:widowControl/>
              <w:snapToGrid w:val="0"/>
              <w:jc w:val="left"/>
              <w:rPr>
                <w:rFonts w:hint="eastAsia" w:ascii="宋体" w:hAnsi="宋体" w:eastAsia="宋体" w:cs="宋体"/>
                <w:kern w:val="0"/>
                <w:sz w:val="24"/>
                <w:szCs w:val="21"/>
                <w:highlight w:val="none"/>
              </w:rPr>
            </w:pPr>
          </w:p>
        </w:tc>
        <w:tc>
          <w:tcPr>
            <w:tcW w:w="1241" w:type="dxa"/>
            <w:shd w:val="clear" w:color="auto" w:fill="auto"/>
            <w:vAlign w:val="center"/>
          </w:tcPr>
          <w:p>
            <w:pPr>
              <w:widowControl/>
              <w:snapToGrid w:val="0"/>
              <w:jc w:val="left"/>
              <w:rPr>
                <w:rFonts w:hint="eastAsia" w:ascii="宋体" w:hAnsi="宋体" w:eastAsia="宋体" w:cs="宋体"/>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pPr>
              <w:widowControl/>
              <w:snapToGrid w:val="0"/>
              <w:jc w:val="left"/>
              <w:rPr>
                <w:rFonts w:hint="eastAsia" w:ascii="宋体" w:hAnsi="宋体" w:eastAsia="宋体" w:cs="宋体"/>
                <w:kern w:val="0"/>
                <w:sz w:val="24"/>
                <w:szCs w:val="21"/>
                <w:highlight w:val="none"/>
              </w:rPr>
            </w:pPr>
            <w:r>
              <w:rPr>
                <w:rFonts w:hint="eastAsia" w:ascii="宋体" w:hAnsi="宋体" w:eastAsia="宋体" w:cs="宋体"/>
                <w:kern w:val="0"/>
                <w:sz w:val="24"/>
                <w:szCs w:val="21"/>
                <w:highlight w:val="none"/>
              </w:rPr>
              <w:t>（四）付款方式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c>
          <w:tcPr>
            <w:tcW w:w="2500" w:type="dxa"/>
            <w:shd w:val="clear" w:color="auto" w:fill="auto"/>
            <w:vAlign w:val="center"/>
          </w:tcPr>
          <w:p>
            <w:pPr>
              <w:widowControl/>
              <w:snapToGrid w:val="0"/>
              <w:jc w:val="left"/>
              <w:rPr>
                <w:rFonts w:hint="eastAsia" w:ascii="宋体" w:hAnsi="宋体" w:eastAsia="宋体" w:cs="宋体"/>
                <w:kern w:val="0"/>
                <w:sz w:val="24"/>
                <w:szCs w:val="21"/>
                <w:highlight w:val="none"/>
              </w:rPr>
            </w:pPr>
          </w:p>
        </w:tc>
        <w:tc>
          <w:tcPr>
            <w:tcW w:w="2680" w:type="dxa"/>
            <w:shd w:val="clear" w:color="auto" w:fill="auto"/>
            <w:vAlign w:val="center"/>
          </w:tcPr>
          <w:p>
            <w:pPr>
              <w:widowControl/>
              <w:snapToGrid w:val="0"/>
              <w:jc w:val="left"/>
              <w:rPr>
                <w:rFonts w:hint="eastAsia" w:ascii="宋体" w:hAnsi="宋体" w:eastAsia="宋体" w:cs="宋体"/>
                <w:kern w:val="0"/>
                <w:sz w:val="24"/>
                <w:szCs w:val="21"/>
                <w:highlight w:val="none"/>
              </w:rPr>
            </w:pPr>
          </w:p>
        </w:tc>
        <w:tc>
          <w:tcPr>
            <w:tcW w:w="1979" w:type="dxa"/>
            <w:shd w:val="clear" w:color="auto" w:fill="auto"/>
            <w:vAlign w:val="center"/>
          </w:tcPr>
          <w:p>
            <w:pPr>
              <w:widowControl/>
              <w:snapToGrid w:val="0"/>
              <w:jc w:val="left"/>
              <w:rPr>
                <w:rFonts w:hint="eastAsia" w:ascii="宋体" w:hAnsi="宋体" w:eastAsia="宋体" w:cs="宋体"/>
                <w:kern w:val="0"/>
                <w:sz w:val="24"/>
                <w:szCs w:val="21"/>
                <w:highlight w:val="none"/>
              </w:rPr>
            </w:pPr>
          </w:p>
        </w:tc>
        <w:tc>
          <w:tcPr>
            <w:tcW w:w="1241" w:type="dxa"/>
            <w:shd w:val="clear" w:color="auto" w:fill="auto"/>
            <w:vAlign w:val="center"/>
          </w:tcPr>
          <w:p>
            <w:pPr>
              <w:widowControl/>
              <w:snapToGrid w:val="0"/>
              <w:jc w:val="left"/>
              <w:rPr>
                <w:rFonts w:hint="eastAsia" w:ascii="宋体" w:hAnsi="宋体" w:eastAsia="宋体" w:cs="宋体"/>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pPr>
              <w:widowControl/>
              <w:snapToGrid w:val="0"/>
              <w:jc w:val="left"/>
              <w:rPr>
                <w:rFonts w:hint="eastAsia" w:ascii="宋体" w:hAnsi="宋体" w:eastAsia="宋体" w:cs="宋体"/>
                <w:kern w:val="0"/>
                <w:sz w:val="24"/>
                <w:szCs w:val="21"/>
                <w:highlight w:val="none"/>
              </w:rPr>
            </w:pPr>
            <w:r>
              <w:rPr>
                <w:rFonts w:hint="eastAsia" w:ascii="宋体" w:hAnsi="宋体" w:eastAsia="宋体" w:cs="宋体"/>
                <w:kern w:val="0"/>
                <w:sz w:val="24"/>
                <w:szCs w:val="21"/>
                <w:highlight w:val="none"/>
              </w:rPr>
              <w:t>（五）投标保证金和履约保证金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c>
          <w:tcPr>
            <w:tcW w:w="2500" w:type="dxa"/>
            <w:shd w:val="clear" w:color="auto" w:fill="auto"/>
            <w:vAlign w:val="center"/>
          </w:tcPr>
          <w:p>
            <w:pPr>
              <w:widowControl/>
              <w:snapToGrid w:val="0"/>
              <w:jc w:val="left"/>
              <w:rPr>
                <w:rFonts w:hint="eastAsia" w:ascii="宋体" w:hAnsi="宋体" w:eastAsia="宋体" w:cs="宋体"/>
                <w:kern w:val="0"/>
                <w:sz w:val="24"/>
                <w:szCs w:val="21"/>
                <w:highlight w:val="none"/>
              </w:rPr>
            </w:pPr>
          </w:p>
        </w:tc>
        <w:tc>
          <w:tcPr>
            <w:tcW w:w="2680" w:type="dxa"/>
            <w:shd w:val="clear" w:color="auto" w:fill="auto"/>
            <w:vAlign w:val="center"/>
          </w:tcPr>
          <w:p>
            <w:pPr>
              <w:widowControl/>
              <w:snapToGrid w:val="0"/>
              <w:jc w:val="left"/>
              <w:rPr>
                <w:rFonts w:hint="eastAsia" w:ascii="宋体" w:hAnsi="宋体" w:eastAsia="宋体" w:cs="宋体"/>
                <w:kern w:val="0"/>
                <w:sz w:val="24"/>
                <w:szCs w:val="21"/>
                <w:highlight w:val="none"/>
              </w:rPr>
            </w:pPr>
          </w:p>
        </w:tc>
        <w:tc>
          <w:tcPr>
            <w:tcW w:w="1979" w:type="dxa"/>
            <w:shd w:val="clear" w:color="auto" w:fill="auto"/>
            <w:vAlign w:val="center"/>
          </w:tcPr>
          <w:p>
            <w:pPr>
              <w:widowControl/>
              <w:snapToGrid w:val="0"/>
              <w:jc w:val="left"/>
              <w:rPr>
                <w:rFonts w:hint="eastAsia" w:ascii="宋体" w:hAnsi="宋体" w:eastAsia="宋体" w:cs="宋体"/>
                <w:kern w:val="0"/>
                <w:sz w:val="24"/>
                <w:szCs w:val="21"/>
                <w:highlight w:val="none"/>
              </w:rPr>
            </w:pPr>
          </w:p>
        </w:tc>
        <w:tc>
          <w:tcPr>
            <w:tcW w:w="1241" w:type="dxa"/>
            <w:shd w:val="clear" w:color="auto" w:fill="auto"/>
            <w:vAlign w:val="center"/>
          </w:tcPr>
          <w:p>
            <w:pPr>
              <w:widowControl/>
              <w:snapToGrid w:val="0"/>
              <w:jc w:val="left"/>
              <w:rPr>
                <w:rFonts w:hint="eastAsia" w:ascii="宋体" w:hAnsi="宋体" w:eastAsia="宋体" w:cs="宋体"/>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0" w:type="dxa"/>
            <w:gridSpan w:val="5"/>
            <w:shd w:val="clear" w:color="auto" w:fill="auto"/>
            <w:vAlign w:val="center"/>
          </w:tcPr>
          <w:p>
            <w:pPr>
              <w:widowControl/>
              <w:snapToGrid w:val="0"/>
              <w:jc w:val="left"/>
              <w:rPr>
                <w:rFonts w:hint="eastAsia" w:ascii="宋体" w:hAnsi="宋体" w:eastAsia="宋体" w:cs="宋体"/>
                <w:kern w:val="0"/>
                <w:sz w:val="24"/>
                <w:szCs w:val="21"/>
                <w:highlight w:val="none"/>
              </w:rPr>
            </w:pPr>
            <w:r>
              <w:rPr>
                <w:rFonts w:hint="eastAsia" w:ascii="宋体" w:hAnsi="宋体" w:eastAsia="宋体" w:cs="宋体"/>
                <w:kern w:val="0"/>
                <w:sz w:val="24"/>
                <w:szCs w:val="21"/>
                <w:highlight w:val="none"/>
              </w:rPr>
              <w:t>（六）验收方法及标准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c>
          <w:tcPr>
            <w:tcW w:w="2500" w:type="dxa"/>
            <w:shd w:val="clear" w:color="auto" w:fill="auto"/>
            <w:vAlign w:val="center"/>
          </w:tcPr>
          <w:p>
            <w:pPr>
              <w:widowControl/>
              <w:snapToGrid w:val="0"/>
              <w:jc w:val="left"/>
              <w:rPr>
                <w:rFonts w:hint="eastAsia" w:ascii="宋体" w:hAnsi="宋体" w:eastAsia="宋体" w:cs="宋体"/>
                <w:kern w:val="0"/>
                <w:sz w:val="24"/>
                <w:szCs w:val="21"/>
                <w:highlight w:val="none"/>
              </w:rPr>
            </w:pPr>
          </w:p>
        </w:tc>
        <w:tc>
          <w:tcPr>
            <w:tcW w:w="2680" w:type="dxa"/>
            <w:shd w:val="clear" w:color="auto" w:fill="auto"/>
            <w:vAlign w:val="center"/>
          </w:tcPr>
          <w:p>
            <w:pPr>
              <w:widowControl/>
              <w:snapToGrid w:val="0"/>
              <w:jc w:val="left"/>
              <w:rPr>
                <w:rFonts w:hint="eastAsia" w:ascii="宋体" w:hAnsi="宋体" w:eastAsia="宋体" w:cs="宋体"/>
                <w:kern w:val="0"/>
                <w:sz w:val="24"/>
                <w:szCs w:val="21"/>
                <w:highlight w:val="none"/>
              </w:rPr>
            </w:pPr>
          </w:p>
        </w:tc>
        <w:tc>
          <w:tcPr>
            <w:tcW w:w="1979" w:type="dxa"/>
            <w:shd w:val="clear" w:color="auto" w:fill="auto"/>
            <w:vAlign w:val="center"/>
          </w:tcPr>
          <w:p>
            <w:pPr>
              <w:widowControl/>
              <w:snapToGrid w:val="0"/>
              <w:jc w:val="left"/>
              <w:rPr>
                <w:rFonts w:hint="eastAsia" w:ascii="宋体" w:hAnsi="宋体" w:eastAsia="宋体" w:cs="宋体"/>
                <w:kern w:val="0"/>
                <w:sz w:val="24"/>
                <w:szCs w:val="21"/>
                <w:highlight w:val="none"/>
              </w:rPr>
            </w:pPr>
          </w:p>
        </w:tc>
        <w:tc>
          <w:tcPr>
            <w:tcW w:w="1241" w:type="dxa"/>
            <w:shd w:val="clear" w:color="auto" w:fill="auto"/>
            <w:vAlign w:val="center"/>
          </w:tcPr>
          <w:p>
            <w:pPr>
              <w:widowControl/>
              <w:snapToGrid w:val="0"/>
              <w:jc w:val="left"/>
              <w:rPr>
                <w:rFonts w:hint="eastAsia" w:ascii="宋体" w:hAnsi="宋体" w:eastAsia="宋体" w:cs="宋体"/>
                <w:kern w:val="0"/>
                <w:sz w:val="24"/>
                <w:szCs w:val="21"/>
                <w:highlight w:val="none"/>
              </w:rPr>
            </w:pPr>
          </w:p>
        </w:tc>
      </w:tr>
    </w:tbl>
    <w:p>
      <w:pPr>
        <w:spacing w:line="620" w:lineRule="exact"/>
        <w:rPr>
          <w:rFonts w:hint="eastAsia" w:ascii="宋体" w:hAnsi="宋体" w:eastAsia="宋体" w:cs="宋体"/>
          <w:sz w:val="24"/>
          <w:highlight w:val="none"/>
        </w:rPr>
      </w:pPr>
      <w:r>
        <w:rPr>
          <w:rFonts w:hint="eastAsia" w:ascii="宋体" w:hAnsi="宋体" w:eastAsia="宋体" w:cs="宋体"/>
          <w:sz w:val="24"/>
          <w:highlight w:val="none"/>
        </w:rPr>
        <w:t>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1. 不如实填写偏离情况的投标文件将视为虚假材料。</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2. 招标要求指招标文件中规定的具体要求，投标应答指投标文件的具体内容。</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4. 偏离说明指招标要求与投标应答之间的不同之处。</w:t>
      </w:r>
    </w:p>
    <w:p>
      <w:pPr>
        <w:spacing w:line="360" w:lineRule="auto"/>
        <w:rPr>
          <w:rFonts w:hint="eastAsia" w:ascii="宋体" w:hAnsi="宋体" w:eastAsia="宋体" w:cs="宋体"/>
          <w:sz w:val="24"/>
          <w:highlight w:val="none"/>
        </w:rPr>
      </w:pPr>
    </w:p>
    <w:p>
      <w:pPr>
        <w:spacing w:line="360" w:lineRule="auto"/>
        <w:ind w:firstLine="4080" w:firstLineChars="1700"/>
        <w:rPr>
          <w:rFonts w:hint="eastAsia" w:ascii="宋体" w:hAnsi="宋体" w:eastAsia="宋体" w:cs="宋体"/>
          <w:sz w:val="24"/>
          <w:highlight w:val="none"/>
        </w:rPr>
      </w:pPr>
      <w:r>
        <w:rPr>
          <w:rFonts w:hint="eastAsia" w:ascii="宋体" w:hAnsi="宋体" w:eastAsia="宋体" w:cs="宋体"/>
          <w:sz w:val="24"/>
          <w:highlight w:val="none"/>
        </w:rPr>
        <w:t>投标人名称：</w:t>
      </w:r>
    </w:p>
    <w:p>
      <w:pPr>
        <w:spacing w:line="360" w:lineRule="auto"/>
        <w:ind w:firstLine="4080" w:firstLineChars="1700"/>
        <w:rPr>
          <w:rFonts w:hint="eastAsia" w:ascii="宋体" w:hAnsi="宋体" w:eastAsia="宋体" w:cs="宋体"/>
          <w:sz w:val="24"/>
          <w:highlight w:val="none"/>
        </w:rPr>
      </w:pPr>
      <w:r>
        <w:rPr>
          <w:rFonts w:hint="eastAsia" w:ascii="宋体" w:hAnsi="宋体" w:eastAsia="宋体" w:cs="宋体"/>
          <w:sz w:val="24"/>
          <w:highlight w:val="none"/>
        </w:rPr>
        <w:t>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spacing w:line="360" w:lineRule="auto"/>
        <w:outlineLvl w:val="0"/>
        <w:rPr>
          <w:rFonts w:hint="eastAsia" w:ascii="宋体" w:hAnsi="宋体" w:eastAsia="宋体" w:cs="宋体"/>
          <w:sz w:val="24"/>
          <w:highlight w:val="none"/>
        </w:rPr>
      </w:pPr>
      <w:r>
        <w:rPr>
          <w:rFonts w:hint="eastAsia" w:ascii="宋体" w:hAnsi="宋体" w:eastAsia="宋体" w:cs="宋体"/>
          <w:sz w:val="24"/>
          <w:highlight w:val="none"/>
        </w:rPr>
        <w:br w:type="page"/>
      </w:r>
      <w:bookmarkStart w:id="107" w:name="_Toc9210"/>
      <w:bookmarkStart w:id="108" w:name="_Toc15580"/>
      <w:bookmarkStart w:id="109" w:name="_Toc29828"/>
      <w:r>
        <w:rPr>
          <w:rFonts w:hint="eastAsia" w:ascii="宋体" w:hAnsi="宋体" w:eastAsia="宋体" w:cs="宋体"/>
          <w:sz w:val="24"/>
          <w:highlight w:val="none"/>
        </w:rPr>
        <w:t>附件6-2</w:t>
      </w:r>
      <w:bookmarkEnd w:id="107"/>
      <w:bookmarkEnd w:id="108"/>
      <w:bookmarkEnd w:id="109"/>
    </w:p>
    <w:p>
      <w:pPr>
        <w:autoSpaceDN w:val="0"/>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技术要求点对点应答表</w:t>
      </w:r>
    </w:p>
    <w:p>
      <w:pPr>
        <w:spacing w:line="460" w:lineRule="exact"/>
        <w:rPr>
          <w:rFonts w:hint="eastAsia" w:ascii="宋体" w:hAnsi="宋体" w:eastAsia="宋体" w:cs="宋体"/>
          <w:sz w:val="24"/>
          <w:highlight w:val="none"/>
        </w:rPr>
      </w:pPr>
    </w:p>
    <w:p>
      <w:pPr>
        <w:spacing w:line="460" w:lineRule="exact"/>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p>
    <w:p>
      <w:pPr>
        <w:spacing w:line="460" w:lineRule="exact"/>
        <w:rPr>
          <w:rFonts w:hint="eastAsia" w:ascii="宋体" w:hAnsi="宋体" w:eastAsia="宋体" w:cs="宋体"/>
          <w:sz w:val="24"/>
          <w:highlight w:val="none"/>
        </w:rPr>
      </w:pPr>
      <w:r>
        <w:rPr>
          <w:rFonts w:hint="eastAsia" w:ascii="宋体" w:hAnsi="宋体" w:eastAsia="宋体" w:cs="宋体"/>
          <w:sz w:val="24"/>
          <w:highlight w:val="none"/>
        </w:rPr>
        <w:t>项目编号：</w:t>
      </w:r>
      <w:r>
        <w:rPr>
          <w:rFonts w:hint="eastAsia" w:ascii="宋体" w:hAnsi="宋体" w:eastAsia="宋体" w:cs="宋体"/>
          <w:sz w:val="24"/>
          <w:highlight w:val="none"/>
          <w:u w:val="single"/>
        </w:rPr>
        <w:t xml:space="preserve">                    </w:t>
      </w:r>
    </w:p>
    <w:p>
      <w:pPr>
        <w:spacing w:line="460" w:lineRule="exact"/>
        <w:rPr>
          <w:rFonts w:hint="eastAsia" w:ascii="宋体" w:hAnsi="宋体" w:eastAsia="宋体" w:cs="宋体"/>
          <w:sz w:val="24"/>
          <w:highlight w:val="none"/>
          <w:u w:val="single"/>
        </w:rPr>
      </w:pPr>
      <w:r>
        <w:rPr>
          <w:rFonts w:hint="eastAsia" w:ascii="宋体" w:hAnsi="宋体" w:eastAsia="宋体" w:cs="宋体"/>
          <w:sz w:val="24"/>
          <w:highlight w:val="none"/>
        </w:rPr>
        <w:t>包号：</w:t>
      </w:r>
      <w:r>
        <w:rPr>
          <w:rFonts w:hint="eastAsia" w:ascii="宋体" w:hAnsi="宋体" w:eastAsia="宋体" w:cs="宋体"/>
          <w:sz w:val="24"/>
          <w:highlight w:val="none"/>
          <w:u w:val="single"/>
        </w:rPr>
        <w:t xml:space="preserve">                        </w:t>
      </w:r>
    </w:p>
    <w:p>
      <w:pPr>
        <w:spacing w:line="460" w:lineRule="exact"/>
        <w:rPr>
          <w:rFonts w:hint="eastAsia" w:ascii="宋体" w:hAnsi="宋体" w:eastAsia="宋体" w:cs="宋体"/>
          <w:sz w:val="24"/>
          <w:highlight w:val="none"/>
          <w:u w:val="single"/>
        </w:rPr>
      </w:pPr>
    </w:p>
    <w:tbl>
      <w:tblPr>
        <w:tblStyle w:val="23"/>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039"/>
        <w:gridCol w:w="2641"/>
        <w:gridCol w:w="2680"/>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7" w:type="dxa"/>
            <w:gridSpan w:val="5"/>
            <w:shd w:val="clear" w:color="auto" w:fill="auto"/>
            <w:vAlign w:val="center"/>
          </w:tcPr>
          <w:p>
            <w:pPr>
              <w:widowControl/>
              <w:snapToGrid w:val="0"/>
              <w:rPr>
                <w:rFonts w:hint="eastAsia" w:ascii="宋体" w:hAnsi="宋体" w:eastAsia="宋体" w:cs="宋体"/>
                <w:b/>
                <w:kern w:val="0"/>
                <w:sz w:val="24"/>
                <w:szCs w:val="21"/>
                <w:highlight w:val="none"/>
              </w:rPr>
            </w:pPr>
            <w:r>
              <w:rPr>
                <w:rFonts w:hint="eastAsia" w:ascii="宋体" w:hAnsi="宋体" w:eastAsia="宋体" w:cs="宋体"/>
                <w:b/>
                <w:kern w:val="0"/>
                <w:sz w:val="24"/>
                <w:szCs w:val="21"/>
                <w:highlight w:val="none"/>
              </w:rPr>
              <w:t>项目需求书（项目需求书要求须逐条应答）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rFonts w:hint="eastAsia" w:ascii="宋体" w:hAnsi="宋体" w:eastAsia="宋体" w:cs="宋体"/>
                <w:kern w:val="0"/>
                <w:sz w:val="24"/>
                <w:szCs w:val="21"/>
                <w:highlight w:val="none"/>
              </w:rPr>
            </w:pPr>
            <w:r>
              <w:rPr>
                <w:rFonts w:hint="eastAsia" w:ascii="宋体" w:hAnsi="宋体" w:eastAsia="宋体" w:cs="宋体"/>
                <w:kern w:val="0"/>
                <w:sz w:val="24"/>
                <w:szCs w:val="21"/>
                <w:highlight w:val="none"/>
              </w:rPr>
              <w:t>序号</w:t>
            </w:r>
          </w:p>
        </w:tc>
        <w:tc>
          <w:tcPr>
            <w:tcW w:w="1039" w:type="dxa"/>
            <w:shd w:val="clear" w:color="auto" w:fill="auto"/>
            <w:vAlign w:val="center"/>
          </w:tcPr>
          <w:p>
            <w:pPr>
              <w:widowControl/>
              <w:snapToGrid w:val="0"/>
              <w:jc w:val="center"/>
              <w:rPr>
                <w:rFonts w:hint="eastAsia" w:ascii="宋体" w:hAnsi="宋体" w:eastAsia="宋体" w:cs="宋体"/>
                <w:kern w:val="0"/>
                <w:sz w:val="24"/>
                <w:szCs w:val="21"/>
                <w:highlight w:val="none"/>
              </w:rPr>
            </w:pPr>
            <w:r>
              <w:rPr>
                <w:rFonts w:hint="eastAsia" w:ascii="宋体" w:hAnsi="宋体" w:eastAsia="宋体" w:cs="宋体"/>
                <w:kern w:val="0"/>
                <w:sz w:val="24"/>
                <w:szCs w:val="21"/>
                <w:highlight w:val="none"/>
              </w:rPr>
              <w:t>采购项名称</w:t>
            </w:r>
          </w:p>
        </w:tc>
        <w:tc>
          <w:tcPr>
            <w:tcW w:w="2641" w:type="dxa"/>
            <w:shd w:val="clear" w:color="auto" w:fill="auto"/>
            <w:vAlign w:val="center"/>
          </w:tcPr>
          <w:p>
            <w:pPr>
              <w:snapToGrid w:val="0"/>
              <w:jc w:val="center"/>
              <w:rPr>
                <w:rFonts w:hint="eastAsia" w:ascii="宋体" w:hAnsi="宋体" w:eastAsia="宋体" w:cs="宋体"/>
                <w:kern w:val="0"/>
                <w:sz w:val="24"/>
                <w:szCs w:val="21"/>
                <w:highlight w:val="none"/>
              </w:rPr>
            </w:pPr>
            <w:r>
              <w:rPr>
                <w:rFonts w:hint="eastAsia" w:ascii="宋体" w:hAnsi="宋体" w:eastAsia="宋体" w:cs="宋体"/>
                <w:kern w:val="0"/>
                <w:sz w:val="24"/>
                <w:szCs w:val="21"/>
                <w:highlight w:val="none"/>
              </w:rPr>
              <w:t>招标要求</w:t>
            </w:r>
          </w:p>
        </w:tc>
        <w:tc>
          <w:tcPr>
            <w:tcW w:w="2680" w:type="dxa"/>
            <w:shd w:val="clear" w:color="auto" w:fill="auto"/>
            <w:vAlign w:val="center"/>
          </w:tcPr>
          <w:p>
            <w:pPr>
              <w:widowControl/>
              <w:snapToGrid w:val="0"/>
              <w:jc w:val="center"/>
              <w:rPr>
                <w:rFonts w:hint="eastAsia" w:ascii="宋体" w:hAnsi="宋体" w:eastAsia="宋体" w:cs="宋体"/>
                <w:kern w:val="0"/>
                <w:sz w:val="24"/>
                <w:szCs w:val="21"/>
                <w:highlight w:val="none"/>
              </w:rPr>
            </w:pPr>
            <w:r>
              <w:rPr>
                <w:rFonts w:hint="eastAsia" w:ascii="宋体" w:hAnsi="宋体" w:eastAsia="宋体" w:cs="宋体"/>
                <w:kern w:val="0"/>
                <w:sz w:val="24"/>
                <w:szCs w:val="21"/>
                <w:highlight w:val="none"/>
              </w:rPr>
              <w:t>投标应答</w:t>
            </w:r>
          </w:p>
        </w:tc>
        <w:tc>
          <w:tcPr>
            <w:tcW w:w="2604" w:type="dxa"/>
            <w:shd w:val="clear" w:color="auto" w:fill="auto"/>
            <w:vAlign w:val="center"/>
          </w:tcPr>
          <w:p>
            <w:pPr>
              <w:widowControl/>
              <w:snapToGrid w:val="0"/>
              <w:jc w:val="center"/>
              <w:rPr>
                <w:rFonts w:hint="eastAsia" w:ascii="宋体" w:hAnsi="宋体" w:eastAsia="宋体" w:cs="宋体"/>
                <w:kern w:val="0"/>
                <w:sz w:val="24"/>
                <w:szCs w:val="21"/>
                <w:highlight w:val="none"/>
              </w:rPr>
            </w:pPr>
            <w:r>
              <w:rPr>
                <w:rFonts w:hint="eastAsia" w:ascii="宋体" w:hAnsi="宋体" w:eastAsia="宋体" w:cs="宋体"/>
                <w:kern w:val="0"/>
                <w:sz w:val="24"/>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c>
          <w:tcPr>
            <w:tcW w:w="1039"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c>
          <w:tcPr>
            <w:tcW w:w="2641"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c>
          <w:tcPr>
            <w:tcW w:w="2680"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c>
          <w:tcPr>
            <w:tcW w:w="2604"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c>
          <w:tcPr>
            <w:tcW w:w="1039"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c>
          <w:tcPr>
            <w:tcW w:w="2641"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c>
          <w:tcPr>
            <w:tcW w:w="2680"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c>
          <w:tcPr>
            <w:tcW w:w="2604"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c>
          <w:tcPr>
            <w:tcW w:w="1039"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c>
          <w:tcPr>
            <w:tcW w:w="2641"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c>
          <w:tcPr>
            <w:tcW w:w="2680"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c>
          <w:tcPr>
            <w:tcW w:w="2604"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c>
          <w:tcPr>
            <w:tcW w:w="1039"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c>
          <w:tcPr>
            <w:tcW w:w="2641"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c>
          <w:tcPr>
            <w:tcW w:w="2680"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c>
          <w:tcPr>
            <w:tcW w:w="2604"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c>
          <w:tcPr>
            <w:tcW w:w="1039"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c>
          <w:tcPr>
            <w:tcW w:w="2641"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c>
          <w:tcPr>
            <w:tcW w:w="2680"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c>
          <w:tcPr>
            <w:tcW w:w="2604" w:type="dxa"/>
            <w:shd w:val="clear" w:color="auto" w:fill="auto"/>
            <w:vAlign w:val="center"/>
          </w:tcPr>
          <w:p>
            <w:pPr>
              <w:widowControl/>
              <w:snapToGrid w:val="0"/>
              <w:jc w:val="center"/>
              <w:rPr>
                <w:rFonts w:hint="eastAsia" w:ascii="宋体" w:hAnsi="宋体" w:eastAsia="宋体" w:cs="宋体"/>
                <w:kern w:val="0"/>
                <w:sz w:val="24"/>
                <w:szCs w:val="21"/>
                <w:highlight w:val="none"/>
              </w:rPr>
            </w:pPr>
          </w:p>
        </w:tc>
      </w:tr>
    </w:tbl>
    <w:p>
      <w:pPr>
        <w:snapToGrid w:val="0"/>
        <w:spacing w:line="480" w:lineRule="exact"/>
        <w:rPr>
          <w:rFonts w:hint="eastAsia" w:ascii="宋体" w:hAnsi="宋体" w:eastAsia="宋体" w:cs="宋体"/>
          <w:sz w:val="24"/>
          <w:highlight w:val="none"/>
        </w:rPr>
      </w:pPr>
      <w:r>
        <w:rPr>
          <w:rFonts w:hint="eastAsia" w:ascii="宋体" w:hAnsi="宋体" w:eastAsia="宋体" w:cs="宋体"/>
          <w:sz w:val="24"/>
          <w:highlight w:val="none"/>
        </w:rPr>
        <w:t>注：</w:t>
      </w:r>
    </w:p>
    <w:p>
      <w:pPr>
        <w:snapToGrid w:val="0"/>
        <w:spacing w:line="480" w:lineRule="exact"/>
        <w:rPr>
          <w:rFonts w:hint="eastAsia" w:ascii="宋体" w:hAnsi="宋体" w:eastAsia="宋体" w:cs="宋体"/>
          <w:sz w:val="24"/>
          <w:highlight w:val="none"/>
        </w:rPr>
      </w:pPr>
      <w:r>
        <w:rPr>
          <w:rFonts w:hint="eastAsia" w:ascii="宋体" w:hAnsi="宋体" w:eastAsia="宋体" w:cs="宋体"/>
          <w:sz w:val="24"/>
          <w:highlight w:val="none"/>
        </w:rPr>
        <w:t>1. 不如实填写偏离情况的投标文件将视为虚假材料。</w:t>
      </w:r>
    </w:p>
    <w:p>
      <w:pPr>
        <w:snapToGrid w:val="0"/>
        <w:spacing w:line="480" w:lineRule="exact"/>
        <w:rPr>
          <w:rFonts w:hint="eastAsia" w:ascii="宋体" w:hAnsi="宋体" w:eastAsia="宋体" w:cs="宋体"/>
          <w:sz w:val="24"/>
          <w:highlight w:val="none"/>
        </w:rPr>
      </w:pPr>
      <w:r>
        <w:rPr>
          <w:rFonts w:hint="eastAsia" w:ascii="宋体" w:hAnsi="宋体" w:eastAsia="宋体" w:cs="宋体"/>
          <w:sz w:val="24"/>
          <w:highlight w:val="none"/>
        </w:rPr>
        <w:t>2. 招标要求指招标文件中规定的具体要求，投标应答指投标文件的具体内容。</w:t>
      </w:r>
    </w:p>
    <w:p>
      <w:pPr>
        <w:snapToGrid w:val="0"/>
        <w:spacing w:line="480" w:lineRule="exact"/>
        <w:rPr>
          <w:rFonts w:hint="eastAsia" w:ascii="宋体" w:hAnsi="宋体" w:eastAsia="宋体" w:cs="宋体"/>
          <w:sz w:val="24"/>
          <w:highlight w:val="none"/>
        </w:rPr>
      </w:pPr>
      <w:r>
        <w:rPr>
          <w:rFonts w:hint="eastAsia" w:ascii="宋体" w:hAnsi="宋体" w:eastAsia="宋体" w:cs="宋体"/>
          <w:sz w:val="24"/>
          <w:highlight w:val="none"/>
        </w:rPr>
        <w:t>3. 偏离说明指招标要求与投标应答之间的不同之处。</w:t>
      </w:r>
    </w:p>
    <w:p>
      <w:pPr>
        <w:snapToGrid w:val="0"/>
        <w:spacing w:line="480" w:lineRule="exact"/>
        <w:rPr>
          <w:rFonts w:hint="eastAsia" w:ascii="宋体" w:hAnsi="宋体" w:eastAsia="宋体" w:cs="宋体"/>
          <w:sz w:val="24"/>
          <w:highlight w:val="none"/>
        </w:rPr>
      </w:pPr>
      <w:r>
        <w:rPr>
          <w:rFonts w:hint="eastAsia" w:ascii="宋体" w:hAnsi="宋体" w:eastAsia="宋体" w:cs="宋体"/>
          <w:sz w:val="24"/>
          <w:highlight w:val="none"/>
        </w:rPr>
        <w:t>4. 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pPr>
        <w:snapToGrid w:val="0"/>
        <w:spacing w:line="480" w:lineRule="exact"/>
        <w:rPr>
          <w:rFonts w:hint="eastAsia" w:ascii="宋体" w:hAnsi="宋体" w:eastAsia="宋体" w:cs="宋体"/>
          <w:sz w:val="24"/>
          <w:highlight w:val="none"/>
        </w:rPr>
      </w:pPr>
    </w:p>
    <w:p>
      <w:pPr>
        <w:spacing w:line="360" w:lineRule="auto"/>
        <w:ind w:firstLine="4080" w:firstLineChars="1700"/>
        <w:rPr>
          <w:rFonts w:hint="eastAsia" w:ascii="宋体" w:hAnsi="宋体" w:eastAsia="宋体" w:cs="宋体"/>
          <w:sz w:val="24"/>
          <w:highlight w:val="none"/>
        </w:rPr>
      </w:pPr>
      <w:r>
        <w:rPr>
          <w:rFonts w:hint="eastAsia" w:ascii="宋体" w:hAnsi="宋体" w:eastAsia="宋体" w:cs="宋体"/>
          <w:sz w:val="24"/>
          <w:highlight w:val="none"/>
        </w:rPr>
        <w:t>投标人名称：</w:t>
      </w:r>
    </w:p>
    <w:p>
      <w:pPr>
        <w:spacing w:line="360" w:lineRule="auto"/>
        <w:ind w:firstLine="4080" w:firstLineChars="1700"/>
        <w:rPr>
          <w:rFonts w:hint="eastAsia" w:ascii="宋体" w:hAnsi="宋体" w:eastAsia="宋体" w:cs="宋体"/>
          <w:sz w:val="24"/>
          <w:highlight w:val="none"/>
        </w:rPr>
      </w:pPr>
      <w:r>
        <w:rPr>
          <w:rFonts w:hint="eastAsia" w:ascii="宋体" w:hAnsi="宋体" w:eastAsia="宋体" w:cs="宋体"/>
          <w:sz w:val="24"/>
          <w:highlight w:val="none"/>
        </w:rPr>
        <w:t>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spacing w:line="360" w:lineRule="auto"/>
        <w:outlineLvl w:val="0"/>
        <w:rPr>
          <w:rFonts w:hint="eastAsia" w:ascii="宋体" w:hAnsi="宋体" w:eastAsia="宋体" w:cs="宋体"/>
          <w:sz w:val="24"/>
          <w:highlight w:val="none"/>
        </w:rPr>
      </w:pPr>
      <w:r>
        <w:rPr>
          <w:rFonts w:hint="eastAsia" w:ascii="宋体" w:hAnsi="宋体" w:eastAsia="宋体" w:cs="宋体"/>
          <w:sz w:val="24"/>
          <w:highlight w:val="none"/>
        </w:rPr>
        <w:br w:type="page"/>
      </w:r>
      <w:bookmarkStart w:id="110" w:name="_Toc25488"/>
      <w:bookmarkStart w:id="111" w:name="_Toc12876"/>
      <w:bookmarkStart w:id="112" w:name="_Toc32430"/>
      <w:r>
        <w:rPr>
          <w:rFonts w:hint="eastAsia" w:ascii="宋体" w:hAnsi="宋体" w:eastAsia="宋体" w:cs="宋体"/>
          <w:sz w:val="24"/>
          <w:highlight w:val="none"/>
        </w:rPr>
        <w:t>附件7</w:t>
      </w:r>
      <w:bookmarkEnd w:id="110"/>
      <w:bookmarkEnd w:id="111"/>
      <w:bookmarkEnd w:id="112"/>
    </w:p>
    <w:p>
      <w:pPr>
        <w:autoSpaceDN w:val="0"/>
        <w:spacing w:line="360" w:lineRule="auto"/>
        <w:jc w:val="center"/>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rPr>
        <w:t>业绩</w:t>
      </w:r>
      <w:r>
        <w:rPr>
          <w:rFonts w:hint="eastAsia" w:ascii="宋体" w:hAnsi="宋体" w:cs="宋体"/>
          <w:b/>
          <w:bCs/>
          <w:sz w:val="24"/>
          <w:highlight w:val="none"/>
          <w:lang w:val="en-US" w:eastAsia="zh-CN"/>
        </w:rPr>
        <w:t>一览表</w:t>
      </w:r>
    </w:p>
    <w:p>
      <w:pPr>
        <w:spacing w:line="460" w:lineRule="exact"/>
        <w:ind w:left="192"/>
        <w:rPr>
          <w:rFonts w:hint="eastAsia" w:ascii="宋体" w:hAnsi="宋体" w:eastAsia="宋体" w:cs="宋体"/>
          <w:sz w:val="24"/>
          <w:highlight w:val="none"/>
        </w:rPr>
      </w:pPr>
    </w:p>
    <w:p>
      <w:pPr>
        <w:spacing w:line="460" w:lineRule="exact"/>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p>
    <w:p>
      <w:pPr>
        <w:spacing w:line="460" w:lineRule="exact"/>
        <w:rPr>
          <w:rFonts w:hint="eastAsia" w:ascii="宋体" w:hAnsi="宋体" w:eastAsia="宋体" w:cs="宋体"/>
          <w:sz w:val="24"/>
          <w:highlight w:val="none"/>
        </w:rPr>
      </w:pPr>
      <w:r>
        <w:rPr>
          <w:rFonts w:hint="eastAsia" w:ascii="宋体" w:hAnsi="宋体" w:eastAsia="宋体" w:cs="宋体"/>
          <w:sz w:val="24"/>
          <w:highlight w:val="none"/>
        </w:rPr>
        <w:t>项目编号：</w:t>
      </w:r>
      <w:r>
        <w:rPr>
          <w:rFonts w:hint="eastAsia" w:ascii="宋体" w:hAnsi="宋体" w:eastAsia="宋体" w:cs="宋体"/>
          <w:sz w:val="24"/>
          <w:highlight w:val="none"/>
          <w:u w:val="single"/>
        </w:rPr>
        <w:t xml:space="preserve">                    </w:t>
      </w:r>
    </w:p>
    <w:p>
      <w:pPr>
        <w:spacing w:line="460" w:lineRule="exact"/>
        <w:rPr>
          <w:rFonts w:hint="eastAsia" w:ascii="宋体" w:hAnsi="宋体" w:eastAsia="宋体" w:cs="宋体"/>
          <w:sz w:val="24"/>
          <w:highlight w:val="none"/>
          <w:u w:val="single"/>
        </w:rPr>
      </w:pPr>
      <w:r>
        <w:rPr>
          <w:rFonts w:hint="eastAsia" w:ascii="宋体" w:hAnsi="宋体" w:eastAsia="宋体" w:cs="宋体"/>
          <w:sz w:val="24"/>
          <w:highlight w:val="none"/>
        </w:rPr>
        <w:t>包号：</w:t>
      </w:r>
      <w:r>
        <w:rPr>
          <w:rFonts w:hint="eastAsia" w:ascii="宋体" w:hAnsi="宋体" w:eastAsia="宋体" w:cs="宋体"/>
          <w:sz w:val="24"/>
          <w:highlight w:val="none"/>
          <w:u w:val="single"/>
        </w:rPr>
        <w:t xml:space="preserve">                        </w:t>
      </w:r>
    </w:p>
    <w:p>
      <w:pPr>
        <w:spacing w:line="460" w:lineRule="exact"/>
        <w:ind w:left="192"/>
        <w:rPr>
          <w:rFonts w:hint="eastAsia" w:ascii="宋体" w:hAnsi="宋体" w:eastAsia="宋体" w:cs="宋体"/>
          <w:sz w:val="24"/>
          <w:highlight w:val="none"/>
        </w:rPr>
      </w:pPr>
    </w:p>
    <w:tbl>
      <w:tblPr>
        <w:tblStyle w:val="23"/>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890"/>
        <w:gridCol w:w="699"/>
        <w:gridCol w:w="1121"/>
        <w:gridCol w:w="1314"/>
        <w:gridCol w:w="1025"/>
        <w:gridCol w:w="896"/>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508"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r>
              <w:rPr>
                <w:rFonts w:hint="eastAsia" w:ascii="宋体" w:hAnsi="宋体" w:eastAsia="宋体" w:cs="宋体"/>
                <w:sz w:val="24"/>
                <w:highlight w:val="none"/>
              </w:rPr>
              <w:t>用户单位名称</w:t>
            </w:r>
          </w:p>
        </w:tc>
        <w:tc>
          <w:tcPr>
            <w:tcW w:w="3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r>
              <w:rPr>
                <w:rFonts w:hint="eastAsia" w:ascii="宋体" w:hAnsi="宋体" w:eastAsia="宋体" w:cs="宋体"/>
                <w:sz w:val="24"/>
                <w:highlight w:val="none"/>
              </w:rPr>
              <w:t>项目内容</w:t>
            </w:r>
          </w:p>
        </w:tc>
        <w:tc>
          <w:tcPr>
            <w:tcW w:w="64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r>
              <w:rPr>
                <w:rFonts w:hint="eastAsia" w:ascii="宋体" w:hAnsi="宋体" w:eastAsia="宋体" w:cs="宋体"/>
                <w:sz w:val="24"/>
                <w:highlight w:val="none"/>
              </w:rPr>
              <w:t>实施地点</w:t>
            </w:r>
          </w:p>
        </w:tc>
        <w:tc>
          <w:tcPr>
            <w:tcW w:w="7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r>
              <w:rPr>
                <w:rFonts w:hint="eastAsia" w:ascii="宋体" w:hAnsi="宋体" w:eastAsia="宋体" w:cs="宋体"/>
                <w:sz w:val="24"/>
                <w:highlight w:val="none"/>
              </w:rPr>
              <w:t>用户联系人及联系方式</w:t>
            </w:r>
          </w:p>
        </w:tc>
        <w:tc>
          <w:tcPr>
            <w:tcW w:w="58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r>
              <w:rPr>
                <w:rFonts w:hint="eastAsia" w:ascii="宋体" w:hAnsi="宋体" w:eastAsia="宋体" w:cs="宋体"/>
                <w:sz w:val="24"/>
                <w:highlight w:val="none"/>
              </w:rPr>
              <w:t>项目起止时间</w:t>
            </w:r>
          </w:p>
        </w:tc>
        <w:tc>
          <w:tcPr>
            <w:tcW w:w="511"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r>
              <w:rPr>
                <w:rFonts w:hint="eastAsia" w:ascii="宋体" w:hAnsi="宋体" w:eastAsia="宋体" w:cs="宋体"/>
                <w:sz w:val="24"/>
                <w:highlight w:val="none"/>
              </w:rPr>
              <w:t>合同金额</w:t>
            </w:r>
          </w:p>
        </w:tc>
        <w:tc>
          <w:tcPr>
            <w:tcW w:w="11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r>
              <w:rPr>
                <w:rFonts w:hint="eastAsia" w:ascii="宋体" w:hAnsi="宋体" w:eastAsia="宋体" w:cs="宋体"/>
                <w:sz w:val="24"/>
                <w:highlight w:val="none"/>
              </w:rPr>
              <w:t>用户盖章的成功履行合同的相关证明材料</w:t>
            </w:r>
            <w:r>
              <w:rPr>
                <w:rFonts w:hint="eastAsia" w:ascii="宋体" w:hAnsi="宋体" w:eastAsia="宋体" w:cs="宋体"/>
                <w:bCs/>
                <w:sz w:val="24"/>
                <w:highlight w:val="none"/>
              </w:rPr>
              <w:t>扫描件所在页码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3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64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7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8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11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3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64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7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8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11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3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64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7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8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11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3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64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7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8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11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3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64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7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8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11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3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64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7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8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11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3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64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7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8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11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3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64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7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8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11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3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64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7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8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11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3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64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7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8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11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8"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08"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399"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64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75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85"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511"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c>
          <w:tcPr>
            <w:tcW w:w="1186"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sz w:val="24"/>
                <w:highlight w:val="none"/>
              </w:rPr>
            </w:pPr>
          </w:p>
        </w:tc>
      </w:tr>
    </w:tbl>
    <w:p>
      <w:pPr>
        <w:spacing w:line="560" w:lineRule="exact"/>
        <w:jc w:val="center"/>
        <w:rPr>
          <w:rFonts w:hint="eastAsia" w:ascii="宋体" w:hAnsi="宋体" w:eastAsia="宋体" w:cs="宋体"/>
          <w:sz w:val="24"/>
          <w:highlight w:val="none"/>
        </w:rPr>
      </w:pPr>
    </w:p>
    <w:p>
      <w:pPr>
        <w:spacing w:line="560" w:lineRule="exact"/>
        <w:rPr>
          <w:rFonts w:hint="eastAsia" w:ascii="宋体" w:hAnsi="宋体" w:eastAsia="宋体" w:cs="宋体"/>
          <w:sz w:val="24"/>
          <w:highlight w:val="none"/>
        </w:rPr>
      </w:pPr>
      <w:r>
        <w:rPr>
          <w:rFonts w:hint="eastAsia" w:ascii="宋体" w:hAnsi="宋体" w:eastAsia="宋体" w:cs="宋体"/>
          <w:sz w:val="24"/>
          <w:highlight w:val="none"/>
        </w:rPr>
        <w:t>备注：若招标文件第二部分评分因素及评标标准中要求提供业绩的，投标人所列业绩应按其要求将证明材料按顺序附后。</w:t>
      </w:r>
    </w:p>
    <w:p>
      <w:pPr>
        <w:spacing w:line="560" w:lineRule="exact"/>
        <w:rPr>
          <w:rFonts w:hint="eastAsia" w:ascii="宋体" w:hAnsi="宋体" w:eastAsia="宋体" w:cs="宋体"/>
          <w:sz w:val="24"/>
          <w:highlight w:val="none"/>
        </w:rPr>
      </w:pPr>
    </w:p>
    <w:p>
      <w:pPr>
        <w:spacing w:line="360" w:lineRule="auto"/>
        <w:ind w:firstLine="4080" w:firstLineChars="1700"/>
        <w:rPr>
          <w:rFonts w:hint="eastAsia" w:ascii="宋体" w:hAnsi="宋体" w:eastAsia="宋体" w:cs="宋体"/>
          <w:sz w:val="24"/>
          <w:highlight w:val="none"/>
        </w:rPr>
      </w:pPr>
      <w:r>
        <w:rPr>
          <w:rFonts w:hint="eastAsia" w:ascii="宋体" w:hAnsi="宋体" w:eastAsia="宋体" w:cs="宋体"/>
          <w:sz w:val="24"/>
          <w:highlight w:val="none"/>
        </w:rPr>
        <w:t>投标人名称：</w:t>
      </w:r>
    </w:p>
    <w:p>
      <w:pPr>
        <w:spacing w:line="360" w:lineRule="auto"/>
        <w:ind w:firstLine="4080" w:firstLineChars="1700"/>
        <w:rPr>
          <w:rFonts w:hint="eastAsia" w:ascii="宋体" w:hAnsi="宋体" w:eastAsia="宋体" w:cs="宋体"/>
          <w:sz w:val="24"/>
          <w:highlight w:val="none"/>
        </w:rPr>
      </w:pPr>
      <w:r>
        <w:rPr>
          <w:rFonts w:hint="eastAsia" w:ascii="宋体" w:hAnsi="宋体" w:eastAsia="宋体" w:cs="宋体"/>
          <w:sz w:val="24"/>
          <w:highlight w:val="none"/>
        </w:rPr>
        <w:t>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spacing w:line="460" w:lineRule="exact"/>
        <w:rPr>
          <w:rFonts w:hint="eastAsia" w:ascii="宋体" w:hAnsi="宋体" w:eastAsia="宋体" w:cs="宋体"/>
          <w:sz w:val="24"/>
          <w:highlight w:val="none"/>
        </w:rPr>
      </w:pPr>
    </w:p>
    <w:p>
      <w:pPr>
        <w:widowControl/>
        <w:jc w:val="left"/>
        <w:rPr>
          <w:rFonts w:hint="eastAsia" w:ascii="宋体" w:hAnsi="宋体" w:eastAsia="宋体" w:cs="宋体"/>
          <w:sz w:val="24"/>
          <w:highlight w:val="none"/>
        </w:rPr>
      </w:pPr>
    </w:p>
    <w:p>
      <w:pPr>
        <w:widowControl/>
        <w:jc w:val="left"/>
        <w:rPr>
          <w:rFonts w:hint="eastAsia" w:ascii="宋体" w:hAnsi="宋体" w:eastAsia="宋体" w:cs="宋体"/>
          <w:sz w:val="24"/>
          <w:highlight w:val="none"/>
        </w:rPr>
      </w:pPr>
    </w:p>
    <w:p>
      <w:pPr>
        <w:widowControl/>
        <w:jc w:val="left"/>
        <w:rPr>
          <w:rFonts w:hint="eastAsia" w:ascii="宋体" w:hAnsi="宋体" w:eastAsia="宋体" w:cs="宋体"/>
          <w:sz w:val="24"/>
          <w:highlight w:val="none"/>
        </w:rPr>
      </w:pPr>
    </w:p>
    <w:p>
      <w:pPr>
        <w:rPr>
          <w:rFonts w:hint="eastAsia" w:ascii="宋体" w:hAnsi="宋体" w:eastAsia="宋体" w:cs="宋体"/>
          <w:sz w:val="24"/>
          <w:highlight w:val="none"/>
        </w:rPr>
      </w:pPr>
      <w:bookmarkStart w:id="113" w:name="_Toc17445"/>
      <w:bookmarkStart w:id="114" w:name="_Toc24827"/>
      <w:r>
        <w:rPr>
          <w:rFonts w:hint="eastAsia" w:ascii="宋体" w:hAnsi="宋体" w:eastAsia="宋体" w:cs="宋体"/>
          <w:sz w:val="24"/>
          <w:highlight w:val="none"/>
        </w:rPr>
        <w:br w:type="page"/>
      </w:r>
    </w:p>
    <w:bookmarkEnd w:id="113"/>
    <w:bookmarkEnd w:id="114"/>
    <w:p>
      <w:pPr>
        <w:spacing w:line="360" w:lineRule="auto"/>
        <w:ind w:right="84"/>
        <w:rPr>
          <w:rFonts w:hint="default" w:cs="宋体" w:asciiTheme="minorEastAsia" w:hAnsiTheme="minorEastAsia"/>
          <w:b/>
          <w:bCs/>
          <w:color w:val="auto"/>
          <w:highlight w:val="none"/>
          <w:lang w:val="en-US" w:eastAsia="zh-CN"/>
        </w:rPr>
      </w:pPr>
      <w:r>
        <w:rPr>
          <w:rFonts w:cs="宋体" w:asciiTheme="minorEastAsia" w:hAnsiTheme="minorEastAsia"/>
          <w:b/>
          <w:bCs/>
          <w:color w:val="auto"/>
          <w:highlight w:val="none"/>
          <w:lang w:val="zh-TW" w:eastAsia="zh-TW"/>
        </w:rPr>
        <w:t>附件</w:t>
      </w:r>
      <w:r>
        <w:rPr>
          <w:rFonts w:hint="eastAsia" w:cs="宋体" w:asciiTheme="minorEastAsia" w:hAnsiTheme="minorEastAsia"/>
          <w:b/>
          <w:bCs/>
          <w:color w:val="auto"/>
          <w:highlight w:val="none"/>
          <w:lang w:val="en-US" w:eastAsia="zh-CN"/>
        </w:rPr>
        <w:t>8</w:t>
      </w:r>
    </w:p>
    <w:p>
      <w:pPr>
        <w:widowControl/>
        <w:jc w:val="center"/>
        <w:rPr>
          <w:b/>
          <w:sz w:val="24"/>
          <w:highlight w:val="none"/>
        </w:rPr>
      </w:pPr>
      <w:r>
        <w:rPr>
          <w:rFonts w:hint="eastAsia"/>
          <w:b/>
          <w:sz w:val="24"/>
          <w:highlight w:val="none"/>
        </w:rPr>
        <w:t>项目人员及岗位安排</w:t>
      </w:r>
    </w:p>
    <w:p>
      <w:pPr>
        <w:widowControl/>
        <w:jc w:val="left"/>
        <w:rPr>
          <w:sz w:val="24"/>
          <w:highlight w:val="none"/>
        </w:rPr>
      </w:pPr>
    </w:p>
    <w:p>
      <w:pPr>
        <w:keepNext w:val="0"/>
        <w:keepLines w:val="0"/>
        <w:pageBreakBefore w:val="0"/>
        <w:kinsoku/>
        <w:wordWrap/>
        <w:overflowPunct/>
        <w:topLinePunct w:val="0"/>
        <w:autoSpaceDE/>
        <w:autoSpaceDN/>
        <w:bidi w:val="0"/>
        <w:adjustRightInd/>
        <w:snapToGrid/>
        <w:spacing w:line="360" w:lineRule="auto"/>
        <w:textAlignment w:val="auto"/>
        <w:rPr>
          <w:sz w:val="24"/>
          <w:highlight w:val="none"/>
        </w:rPr>
      </w:pPr>
      <w:r>
        <w:rPr>
          <w:sz w:val="24"/>
          <w:highlight w:val="none"/>
        </w:rPr>
        <w:t>项目名称：</w:t>
      </w:r>
      <w:r>
        <w:rPr>
          <w:sz w:val="24"/>
          <w:highlight w:val="none"/>
          <w:u w:val="singl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sz w:val="24"/>
          <w:highlight w:val="none"/>
        </w:rPr>
      </w:pPr>
      <w:r>
        <w:rPr>
          <w:sz w:val="24"/>
          <w:highlight w:val="none"/>
        </w:rPr>
        <w:t>项目编号：</w:t>
      </w:r>
      <w:r>
        <w:rPr>
          <w:sz w:val="24"/>
          <w:highlight w:val="none"/>
          <w:u w:val="single"/>
        </w:rPr>
        <w:t xml:space="preserve">                    </w:t>
      </w:r>
    </w:p>
    <w:p>
      <w:pPr>
        <w:pStyle w:val="65"/>
        <w:keepNext w:val="0"/>
        <w:keepLines w:val="0"/>
        <w:pageBreakBefore w:val="0"/>
        <w:kinsoku/>
        <w:wordWrap/>
        <w:overflowPunct/>
        <w:topLinePunct w:val="0"/>
        <w:autoSpaceDE/>
        <w:autoSpaceDN/>
        <w:bidi w:val="0"/>
        <w:adjustRightInd/>
        <w:snapToGrid/>
        <w:spacing w:line="360" w:lineRule="auto"/>
        <w:ind w:firstLine="0"/>
        <w:textAlignment w:val="auto"/>
        <w:outlineLvl w:val="9"/>
        <w:rPr>
          <w:sz w:val="24"/>
          <w:highlight w:val="none"/>
          <w:u w:val="single"/>
        </w:rPr>
      </w:pPr>
      <w:r>
        <w:rPr>
          <w:rFonts w:hint="eastAsia" w:ascii="宋体" w:hAnsi="宋体" w:eastAsia="宋体" w:cs="宋体"/>
          <w:color w:val="auto"/>
          <w:highlight w:val="none"/>
        </w:rPr>
        <w:t>包    号：第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包</w:t>
      </w:r>
    </w:p>
    <w:tbl>
      <w:tblPr>
        <w:tblStyle w:val="23"/>
        <w:tblW w:w="9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2520"/>
        <w:gridCol w:w="1365"/>
        <w:gridCol w:w="2520"/>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序号</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岗位名称</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数量(人) </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岗位资格证书</w:t>
            </w:r>
          </w:p>
        </w:tc>
        <w:tc>
          <w:tcPr>
            <w:tcW w:w="2129"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项目负责人</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hint="eastAsia" w:ascii="宋体" w:hAnsi="宋体" w:eastAsia="宋体" w:cs="宋体"/>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例：抽样员证、检验人员上岗证等</w:t>
            </w:r>
          </w:p>
        </w:tc>
        <w:tc>
          <w:tcPr>
            <w:tcW w:w="2129"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抽样人员</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hint="eastAsia" w:ascii="宋体" w:hAnsi="宋体" w:eastAsia="宋体" w:cs="宋体"/>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抽样员证</w:t>
            </w:r>
          </w:p>
        </w:tc>
        <w:tc>
          <w:tcPr>
            <w:tcW w:w="2129"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检验人员</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cs="宋体"/>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检验人员上岗证</w:t>
            </w:r>
          </w:p>
        </w:tc>
        <w:tc>
          <w:tcPr>
            <w:tcW w:w="2129"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高级职称人员</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cs="宋体"/>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职称证</w:t>
            </w:r>
          </w:p>
        </w:tc>
        <w:tc>
          <w:tcPr>
            <w:tcW w:w="2129"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hint="eastAsia" w:ascii="宋体" w:hAnsi="宋体" w:eastAsia="宋体" w:cs="宋体"/>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cs="宋体"/>
                <w:sz w:val="24"/>
                <w:szCs w:val="24"/>
                <w:highlight w:val="none"/>
              </w:rPr>
            </w:pPr>
            <w:r>
              <w:rPr>
                <w:rFonts w:hint="eastAsia" w:ascii="宋体" w:hAnsi="宋体" w:eastAsia="宋体" w:cs="宋体"/>
                <w:b/>
                <w:bCs/>
                <w:sz w:val="24"/>
                <w:szCs w:val="24"/>
                <w:highlight w:val="none"/>
              </w:rPr>
              <w:t>......</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cs="宋体"/>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cs="宋体"/>
                <w:sz w:val="24"/>
                <w:szCs w:val="24"/>
                <w:highlight w:val="none"/>
              </w:rPr>
            </w:pPr>
          </w:p>
        </w:tc>
        <w:tc>
          <w:tcPr>
            <w:tcW w:w="2129"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hint="eastAsia" w:ascii="宋体" w:hAnsi="宋体" w:eastAsia="宋体" w:cs="宋体"/>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cs="宋体"/>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hint="eastAsia" w:ascii="宋体" w:hAnsi="宋体" w:eastAsia="宋体" w:cs="宋体"/>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cs="宋体"/>
                <w:sz w:val="24"/>
                <w:szCs w:val="24"/>
                <w:highlight w:val="none"/>
              </w:rPr>
            </w:pPr>
          </w:p>
        </w:tc>
        <w:tc>
          <w:tcPr>
            <w:tcW w:w="2129"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hint="eastAsia" w:ascii="宋体" w:hAnsi="宋体" w:eastAsia="宋体" w:cs="宋体"/>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cs="宋体"/>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hint="eastAsia" w:ascii="宋体" w:hAnsi="宋体" w:eastAsia="宋体" w:cs="宋体"/>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cs="宋体"/>
                <w:sz w:val="24"/>
                <w:szCs w:val="24"/>
                <w:highlight w:val="none"/>
              </w:rPr>
            </w:pPr>
          </w:p>
        </w:tc>
        <w:tc>
          <w:tcPr>
            <w:tcW w:w="2129"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8"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hint="eastAsia" w:ascii="宋体" w:hAnsi="宋体" w:eastAsia="宋体" w:cs="宋体"/>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cs="宋体"/>
                <w:sz w:val="24"/>
                <w:szCs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hint="eastAsia" w:ascii="宋体" w:hAnsi="宋体" w:eastAsia="宋体" w:cs="宋体"/>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cs="宋体"/>
                <w:sz w:val="24"/>
                <w:szCs w:val="24"/>
                <w:highlight w:val="none"/>
              </w:rPr>
            </w:pPr>
          </w:p>
        </w:tc>
        <w:tc>
          <w:tcPr>
            <w:tcW w:w="2129"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48"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cs="宋体"/>
                <w:sz w:val="24"/>
                <w:szCs w:val="24"/>
                <w:highlight w:val="none"/>
              </w:rPr>
            </w:pPr>
            <w:r>
              <w:rPr>
                <w:rFonts w:hint="eastAsia" w:ascii="宋体" w:hAnsi="宋体" w:eastAsia="宋体" w:cs="宋体"/>
                <w:sz w:val="24"/>
                <w:szCs w:val="24"/>
                <w:highlight w:val="none"/>
              </w:rPr>
              <w:t>合计</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hint="eastAsia" w:ascii="宋体" w:hAnsi="宋体" w:eastAsia="宋体" w:cs="宋体"/>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cs="宋体"/>
                <w:sz w:val="24"/>
                <w:szCs w:val="24"/>
                <w:highlight w:val="none"/>
              </w:rPr>
            </w:pPr>
          </w:p>
        </w:tc>
        <w:tc>
          <w:tcPr>
            <w:tcW w:w="2129"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cs="宋体"/>
                <w:sz w:val="24"/>
                <w:szCs w:val="24"/>
                <w:highlight w:val="none"/>
              </w:rPr>
            </w:pPr>
          </w:p>
        </w:tc>
      </w:tr>
    </w:tbl>
    <w:p>
      <w:pPr>
        <w:spacing w:line="460" w:lineRule="exact"/>
        <w:rPr>
          <w:sz w:val="24"/>
          <w:highlight w:val="none"/>
          <w:u w:val="single"/>
        </w:rPr>
      </w:pPr>
    </w:p>
    <w:p>
      <w:pPr>
        <w:pStyle w:val="9"/>
        <w:ind w:left="0" w:leftChars="0" w:firstLine="0" w:firstLineChars="0"/>
        <w:rPr>
          <w:rFonts w:hint="eastAsia" w:ascii="宋体" w:hAnsi="宋体" w:eastAsia="宋体" w:cs="宋体"/>
          <w:sz w:val="24"/>
          <w:highlight w:val="none"/>
          <w:u w:val="single"/>
        </w:rPr>
      </w:pPr>
      <w:r>
        <w:rPr>
          <w:rFonts w:hint="eastAsia" w:ascii="宋体" w:hAnsi="宋体" w:eastAsia="宋体" w:cs="宋体"/>
          <w:b/>
          <w:bCs/>
          <w:sz w:val="24"/>
          <w:highlight w:val="none"/>
        </w:rPr>
        <w:t>注：</w:t>
      </w:r>
      <w:r>
        <w:rPr>
          <w:rFonts w:hint="eastAsia" w:ascii="宋体" w:hAnsi="宋体" w:eastAsia="宋体" w:cs="宋体"/>
          <w:b/>
          <w:bCs/>
          <w:color w:val="000000"/>
          <w:sz w:val="24"/>
          <w:highlight w:val="none"/>
        </w:rPr>
        <w:t>食品检验人员与抽样人员不得兼任。</w:t>
      </w:r>
    </w:p>
    <w:p>
      <w:pPr>
        <w:pStyle w:val="9"/>
        <w:rPr>
          <w:sz w:val="24"/>
          <w:highlight w:val="none"/>
          <w:u w:val="single"/>
        </w:rPr>
      </w:pPr>
    </w:p>
    <w:p>
      <w:pPr>
        <w:pStyle w:val="65"/>
        <w:spacing w:line="460" w:lineRule="exact"/>
        <w:ind w:left="192" w:firstLine="3948"/>
        <w:rPr>
          <w:rStyle w:val="67"/>
          <w:rFonts w:hint="eastAsia" w:ascii="宋体" w:hAnsi="宋体" w:eastAsia="宋体" w:cs="宋体"/>
          <w:color w:val="auto"/>
          <w:highlight w:val="none"/>
        </w:rPr>
      </w:pPr>
      <w:r>
        <w:rPr>
          <w:rStyle w:val="67"/>
          <w:rFonts w:hint="eastAsia" w:ascii="宋体" w:hAnsi="宋体" w:eastAsia="宋体" w:cs="宋体"/>
          <w:color w:val="auto"/>
          <w:highlight w:val="none"/>
          <w:lang w:val="zh-TW" w:eastAsia="zh-CN"/>
        </w:rPr>
        <w:t>投标人</w:t>
      </w:r>
      <w:r>
        <w:rPr>
          <w:rStyle w:val="67"/>
          <w:rFonts w:hint="eastAsia" w:ascii="宋体" w:hAnsi="宋体" w:eastAsia="宋体" w:cs="宋体"/>
          <w:color w:val="auto"/>
          <w:highlight w:val="none"/>
          <w:lang w:val="zh-TW"/>
        </w:rPr>
        <w:t>代表签字</w:t>
      </w:r>
      <w:r>
        <w:rPr>
          <w:rStyle w:val="67"/>
          <w:rFonts w:hint="eastAsia" w:ascii="宋体" w:hAnsi="宋体" w:eastAsia="宋体" w:cs="宋体"/>
          <w:color w:val="auto"/>
          <w:highlight w:val="none"/>
          <w:lang w:val="zh-TW" w:eastAsia="zh-TW"/>
        </w:rPr>
        <w:t>：</w:t>
      </w:r>
      <w:r>
        <w:rPr>
          <w:rStyle w:val="66"/>
          <w:rFonts w:hint="eastAsia" w:ascii="宋体" w:hAnsi="宋体" w:eastAsia="宋体" w:cs="宋体"/>
          <w:color w:val="auto"/>
          <w:highlight w:val="none"/>
        </w:rPr>
        <w:t>_______________</w:t>
      </w:r>
    </w:p>
    <w:p>
      <w:pPr>
        <w:pStyle w:val="65"/>
        <w:spacing w:line="460" w:lineRule="exact"/>
        <w:ind w:left="192" w:firstLine="3948"/>
        <w:rPr>
          <w:rStyle w:val="67"/>
          <w:rFonts w:hint="eastAsia" w:ascii="宋体" w:hAnsi="宋体" w:eastAsia="宋体" w:cs="宋体"/>
          <w:color w:val="auto"/>
          <w:highlight w:val="none"/>
        </w:rPr>
      </w:pPr>
      <w:r>
        <w:rPr>
          <w:rStyle w:val="67"/>
          <w:rFonts w:hint="eastAsia" w:ascii="宋体" w:hAnsi="宋体" w:eastAsia="宋体" w:cs="宋体"/>
          <w:color w:val="auto"/>
          <w:highlight w:val="none"/>
          <w:lang w:val="zh-TW" w:eastAsia="zh-TW"/>
        </w:rPr>
        <w:t>职务：</w:t>
      </w:r>
      <w:r>
        <w:rPr>
          <w:rStyle w:val="66"/>
          <w:rFonts w:hint="eastAsia" w:ascii="宋体" w:hAnsi="宋体" w:eastAsia="宋体" w:cs="宋体"/>
          <w:color w:val="auto"/>
          <w:highlight w:val="none"/>
        </w:rPr>
        <w:t>_________</w:t>
      </w:r>
      <w:r>
        <w:rPr>
          <w:rStyle w:val="67"/>
          <w:rFonts w:hint="eastAsia" w:ascii="宋体" w:hAnsi="宋体" w:eastAsia="宋体" w:cs="宋体"/>
          <w:color w:val="auto"/>
          <w:highlight w:val="none"/>
          <w:lang w:val="zh-TW" w:eastAsia="zh-TW"/>
        </w:rPr>
        <w:t>日期：</w:t>
      </w:r>
      <w:r>
        <w:rPr>
          <w:rStyle w:val="66"/>
          <w:rFonts w:hint="eastAsia" w:ascii="宋体" w:hAnsi="宋体" w:eastAsia="宋体" w:cs="宋体"/>
          <w:color w:val="auto"/>
          <w:highlight w:val="none"/>
        </w:rPr>
        <w:t>__________</w:t>
      </w:r>
    </w:p>
    <w:p>
      <w:pPr>
        <w:pStyle w:val="65"/>
        <w:spacing w:line="460" w:lineRule="exact"/>
        <w:ind w:left="192" w:firstLine="3948"/>
        <w:rPr>
          <w:rStyle w:val="66"/>
          <w:rFonts w:hint="eastAsia" w:ascii="宋体" w:hAnsi="宋体" w:eastAsia="宋体" w:cs="宋体"/>
          <w:color w:val="auto"/>
          <w:highlight w:val="none"/>
        </w:rPr>
      </w:pPr>
      <w:r>
        <w:rPr>
          <w:rStyle w:val="67"/>
          <w:rFonts w:hint="eastAsia" w:ascii="宋体" w:hAnsi="宋体" w:eastAsia="宋体" w:cs="宋体"/>
          <w:color w:val="auto"/>
          <w:highlight w:val="none"/>
          <w:lang w:val="zh-TW" w:eastAsia="zh-CN"/>
        </w:rPr>
        <w:t>投标人</w:t>
      </w:r>
      <w:r>
        <w:rPr>
          <w:rStyle w:val="67"/>
          <w:rFonts w:hint="eastAsia" w:ascii="宋体" w:hAnsi="宋体" w:eastAsia="宋体" w:cs="宋体"/>
          <w:color w:val="auto"/>
          <w:highlight w:val="none"/>
          <w:lang w:val="zh-TW" w:eastAsia="zh-TW"/>
        </w:rPr>
        <w:t>名称（公章）：</w:t>
      </w:r>
      <w:r>
        <w:rPr>
          <w:rStyle w:val="66"/>
          <w:rFonts w:hint="eastAsia" w:ascii="宋体" w:hAnsi="宋体" w:eastAsia="宋体" w:cs="宋体"/>
          <w:color w:val="auto"/>
          <w:highlight w:val="none"/>
        </w:rPr>
        <w:t>___________</w:t>
      </w:r>
    </w:p>
    <w:p>
      <w:pPr>
        <w:pStyle w:val="9"/>
        <w:rPr>
          <w:sz w:val="24"/>
          <w:highlight w:val="none"/>
          <w:u w:val="single"/>
        </w:rPr>
      </w:pPr>
    </w:p>
    <w:p>
      <w:pPr>
        <w:rPr>
          <w:sz w:val="24"/>
          <w:highlight w:val="none"/>
          <w:u w:val="single"/>
        </w:rPr>
      </w:pPr>
    </w:p>
    <w:p>
      <w:pPr>
        <w:spacing w:after="312" w:afterLines="100" w:line="360" w:lineRule="auto"/>
        <w:rPr>
          <w:rFonts w:hint="eastAsia" w:ascii="宋体" w:hAnsi="宋体" w:cs="宋体"/>
          <w:b/>
          <w:sz w:val="24"/>
          <w:szCs w:val="24"/>
          <w:highlight w:val="none"/>
          <w:lang w:bidi="ar"/>
        </w:rPr>
      </w:pPr>
    </w:p>
    <w:p>
      <w:pPr>
        <w:rPr>
          <w:rFonts w:hint="eastAsia"/>
          <w:highlight w:val="none"/>
        </w:rPr>
      </w:pPr>
    </w:p>
    <w:p>
      <w:pPr>
        <w:widowControl/>
        <w:jc w:val="center"/>
        <w:rPr>
          <w:rFonts w:hint="eastAsia"/>
          <w:b/>
          <w:sz w:val="24"/>
          <w:highlight w:val="none"/>
        </w:rPr>
      </w:pPr>
    </w:p>
    <w:p>
      <w:pPr>
        <w:widowControl/>
        <w:jc w:val="center"/>
        <w:rPr>
          <w:rFonts w:hint="eastAsia"/>
          <w:b/>
          <w:sz w:val="24"/>
          <w:highlight w:val="none"/>
        </w:rPr>
      </w:pPr>
    </w:p>
    <w:p>
      <w:pPr>
        <w:widowControl/>
        <w:jc w:val="center"/>
        <w:rPr>
          <w:rFonts w:hint="eastAsia"/>
          <w:b/>
          <w:sz w:val="24"/>
          <w:highlight w:val="none"/>
        </w:rPr>
      </w:pPr>
    </w:p>
    <w:p>
      <w:pPr>
        <w:widowControl/>
        <w:jc w:val="center"/>
        <w:rPr>
          <w:rFonts w:hint="eastAsia"/>
          <w:b/>
          <w:sz w:val="24"/>
          <w:highlight w:val="none"/>
        </w:rPr>
      </w:pPr>
    </w:p>
    <w:p>
      <w:pPr>
        <w:spacing w:after="312" w:afterLines="100" w:line="360" w:lineRule="auto"/>
        <w:jc w:val="left"/>
        <w:rPr>
          <w:rFonts w:hint="default" w:ascii="宋体" w:hAnsi="宋体" w:cs="宋体" w:eastAsiaTheme="minorEastAsia"/>
          <w:b/>
          <w:sz w:val="24"/>
          <w:szCs w:val="24"/>
          <w:highlight w:val="none"/>
          <w:lang w:val="en-US" w:eastAsia="zh-CN" w:bidi="ar"/>
        </w:rPr>
      </w:pPr>
      <w:r>
        <w:rPr>
          <w:rFonts w:hint="eastAsia" w:ascii="宋体" w:hAnsi="宋体" w:cs="宋体"/>
          <w:b/>
          <w:sz w:val="24"/>
          <w:szCs w:val="24"/>
          <w:highlight w:val="none"/>
          <w:lang w:bidi="ar"/>
        </w:rPr>
        <w:t>附件</w:t>
      </w:r>
      <w:r>
        <w:rPr>
          <w:rFonts w:hint="eastAsia" w:ascii="宋体" w:hAnsi="宋体" w:cs="宋体"/>
          <w:b/>
          <w:sz w:val="24"/>
          <w:szCs w:val="24"/>
          <w:highlight w:val="none"/>
          <w:lang w:val="en-US" w:eastAsia="zh-CN" w:bidi="ar"/>
        </w:rPr>
        <w:t>9</w:t>
      </w:r>
    </w:p>
    <w:p>
      <w:pPr>
        <w:spacing w:after="312" w:afterLines="100" w:line="360" w:lineRule="auto"/>
        <w:jc w:val="center"/>
        <w:rPr>
          <w:b/>
          <w:color w:val="000000"/>
          <w:sz w:val="24"/>
          <w:highlight w:val="none"/>
        </w:rPr>
      </w:pPr>
      <w:r>
        <w:rPr>
          <w:b/>
          <w:color w:val="000000"/>
          <w:sz w:val="24"/>
          <w:highlight w:val="none"/>
        </w:rPr>
        <w:t>检验设备情况表</w:t>
      </w:r>
    </w:p>
    <w:p>
      <w:pPr>
        <w:keepNext w:val="0"/>
        <w:keepLines w:val="0"/>
        <w:pageBreakBefore w:val="0"/>
        <w:kinsoku/>
        <w:wordWrap/>
        <w:overflowPunct/>
        <w:topLinePunct w:val="0"/>
        <w:autoSpaceDE/>
        <w:autoSpaceDN/>
        <w:bidi w:val="0"/>
        <w:adjustRightInd/>
        <w:snapToGrid/>
        <w:spacing w:line="460" w:lineRule="atLeast"/>
        <w:textAlignment w:val="auto"/>
        <w:rPr>
          <w:sz w:val="24"/>
          <w:highlight w:val="none"/>
        </w:rPr>
      </w:pPr>
      <w:r>
        <w:rPr>
          <w:sz w:val="24"/>
          <w:highlight w:val="none"/>
        </w:rPr>
        <w:t>项目名称：</w:t>
      </w:r>
      <w:r>
        <w:rPr>
          <w:sz w:val="24"/>
          <w:highlight w:val="none"/>
          <w:u w:val="single"/>
        </w:rPr>
        <w:t xml:space="preserve">                    </w:t>
      </w:r>
    </w:p>
    <w:p>
      <w:pPr>
        <w:keepNext w:val="0"/>
        <w:keepLines w:val="0"/>
        <w:pageBreakBefore w:val="0"/>
        <w:kinsoku/>
        <w:wordWrap/>
        <w:overflowPunct/>
        <w:topLinePunct w:val="0"/>
        <w:autoSpaceDE/>
        <w:autoSpaceDN/>
        <w:bidi w:val="0"/>
        <w:adjustRightInd/>
        <w:snapToGrid/>
        <w:spacing w:line="460" w:lineRule="atLeast"/>
        <w:textAlignment w:val="auto"/>
        <w:rPr>
          <w:sz w:val="24"/>
          <w:highlight w:val="none"/>
          <w:u w:val="single"/>
        </w:rPr>
      </w:pPr>
      <w:r>
        <w:rPr>
          <w:sz w:val="24"/>
          <w:highlight w:val="none"/>
        </w:rPr>
        <w:t>项目编号：</w:t>
      </w:r>
      <w:r>
        <w:rPr>
          <w:sz w:val="24"/>
          <w:highlight w:val="none"/>
          <w:u w:val="single"/>
        </w:rPr>
        <w:t xml:space="preserve">                    </w:t>
      </w:r>
    </w:p>
    <w:p>
      <w:pPr>
        <w:pStyle w:val="65"/>
        <w:keepNext w:val="0"/>
        <w:keepLines w:val="0"/>
        <w:pageBreakBefore w:val="0"/>
        <w:kinsoku/>
        <w:wordWrap/>
        <w:overflowPunct/>
        <w:topLinePunct w:val="0"/>
        <w:autoSpaceDE/>
        <w:autoSpaceDN/>
        <w:bidi w:val="0"/>
        <w:adjustRightInd/>
        <w:snapToGrid/>
        <w:spacing w:line="460" w:lineRule="atLeast"/>
        <w:ind w:firstLine="0"/>
        <w:textAlignment w:val="auto"/>
        <w:outlineLvl w:val="9"/>
        <w:rPr>
          <w:rFonts w:ascii="宋体" w:hAnsi="宋体"/>
          <w:color w:val="auto"/>
          <w:highlight w:val="none"/>
        </w:rPr>
      </w:pPr>
      <w:r>
        <w:rPr>
          <w:rFonts w:hint="eastAsia" w:ascii="宋体" w:hAnsi="宋体" w:eastAsia="宋体" w:cs="宋体"/>
          <w:color w:val="auto"/>
          <w:highlight w:val="none"/>
        </w:rPr>
        <w:t>包    号：第</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包</w:t>
      </w:r>
    </w:p>
    <w:tbl>
      <w:tblPr>
        <w:tblStyle w:val="23"/>
        <w:tblpPr w:leftFromText="180" w:rightFromText="180" w:vertAnchor="text" w:horzAnchor="page" w:tblpX="1826" w:tblpY="385"/>
        <w:tblOverlap w:val="never"/>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459"/>
        <w:gridCol w:w="1902"/>
        <w:gridCol w:w="1652"/>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pacing w:line="360" w:lineRule="auto"/>
              <w:jc w:val="center"/>
              <w:rPr>
                <w:rFonts w:hint="eastAsia" w:ascii="Calibri" w:hAnsi="Calibri" w:eastAsia="宋体"/>
                <w:b/>
                <w:bCs/>
                <w:sz w:val="24"/>
                <w:szCs w:val="24"/>
                <w:highlight w:val="none"/>
              </w:rPr>
            </w:pPr>
            <w:r>
              <w:rPr>
                <w:rFonts w:hint="eastAsia" w:ascii="Calibri" w:hAnsi="Calibri" w:eastAsia="宋体"/>
                <w:b/>
                <w:bCs/>
                <w:sz w:val="24"/>
                <w:szCs w:val="24"/>
                <w:highlight w:val="none"/>
              </w:rPr>
              <w:t>序号</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pacing w:line="360" w:lineRule="auto"/>
              <w:jc w:val="center"/>
              <w:rPr>
                <w:rFonts w:hint="eastAsia" w:ascii="Calibri" w:hAnsi="Calibri" w:eastAsia="宋体"/>
                <w:b/>
                <w:bCs/>
                <w:sz w:val="24"/>
                <w:szCs w:val="24"/>
                <w:highlight w:val="none"/>
              </w:rPr>
            </w:pPr>
            <w:r>
              <w:rPr>
                <w:rFonts w:hint="eastAsia" w:ascii="Calibri" w:hAnsi="Calibri" w:eastAsia="宋体"/>
                <w:b/>
                <w:bCs/>
                <w:sz w:val="24"/>
                <w:szCs w:val="24"/>
                <w:highlight w:val="none"/>
              </w:rPr>
              <w:t>名称</w:t>
            </w:r>
          </w:p>
        </w:tc>
        <w:tc>
          <w:tcPr>
            <w:tcW w:w="192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pacing w:line="360" w:lineRule="auto"/>
              <w:jc w:val="center"/>
              <w:rPr>
                <w:rFonts w:hint="eastAsia" w:ascii="Calibri" w:hAnsi="Calibri" w:eastAsia="宋体"/>
                <w:b/>
                <w:bCs/>
                <w:sz w:val="24"/>
                <w:szCs w:val="24"/>
                <w:highlight w:val="none"/>
              </w:rPr>
            </w:pPr>
            <w:r>
              <w:rPr>
                <w:rFonts w:hint="eastAsia" w:ascii="Calibri" w:hAnsi="Calibri" w:eastAsia="宋体"/>
                <w:b/>
                <w:bCs/>
                <w:sz w:val="24"/>
                <w:szCs w:val="24"/>
                <w:highlight w:val="none"/>
              </w:rPr>
              <w:t>单台设备原值（万元）</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pacing w:line="360" w:lineRule="auto"/>
              <w:jc w:val="center"/>
              <w:rPr>
                <w:rFonts w:hint="eastAsia" w:ascii="Calibri" w:hAnsi="Calibri" w:eastAsia="宋体"/>
                <w:b/>
                <w:bCs/>
                <w:sz w:val="24"/>
                <w:szCs w:val="24"/>
                <w:highlight w:val="none"/>
              </w:rPr>
            </w:pPr>
            <w:r>
              <w:rPr>
                <w:rFonts w:hint="eastAsia" w:ascii="Calibri" w:hAnsi="Calibri" w:eastAsia="宋体"/>
                <w:b/>
                <w:bCs/>
                <w:sz w:val="24"/>
                <w:szCs w:val="24"/>
                <w:highlight w:val="none"/>
              </w:rPr>
              <w:t>数量（台）</w:t>
            </w:r>
          </w:p>
        </w:tc>
        <w:tc>
          <w:tcPr>
            <w:tcW w:w="223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pacing w:line="360" w:lineRule="auto"/>
              <w:jc w:val="center"/>
              <w:rPr>
                <w:rFonts w:hint="eastAsia" w:ascii="Calibri" w:hAnsi="Calibri" w:eastAsia="宋体"/>
                <w:b/>
                <w:bCs/>
                <w:sz w:val="24"/>
                <w:szCs w:val="24"/>
                <w:highlight w:val="none"/>
              </w:rPr>
            </w:pPr>
            <w:r>
              <w:rPr>
                <w:rFonts w:hint="eastAsia" w:ascii="Calibri" w:hAnsi="Calibri" w:eastAsia="宋体"/>
                <w:b/>
                <w:bCs/>
                <w:sz w:val="24"/>
                <w:szCs w:val="24"/>
                <w:highlight w:val="none"/>
              </w:rPr>
              <w:t>合计设备原值</w:t>
            </w:r>
            <w:r>
              <w:rPr>
                <w:rFonts w:hint="eastAsia" w:ascii="Calibri" w:hAnsi="Calibri" w:eastAsia="宋体"/>
                <w:b/>
                <w:bCs/>
                <w:sz w:val="24"/>
                <w:szCs w:val="24"/>
                <w:highlight w:val="none"/>
                <w:lang w:val="en-US" w:eastAsia="zh-CN"/>
              </w:rPr>
              <w:t xml:space="preserve">  </w:t>
            </w:r>
            <w:r>
              <w:rPr>
                <w:rFonts w:hint="eastAsia" w:ascii="Calibri" w:hAnsi="Calibri" w:eastAsia="宋体"/>
                <w:b/>
                <w:bCs/>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ascii="宋体" w:hAnsi="宋体" w:eastAsia="宋体"/>
                <w:sz w:val="28"/>
                <w:szCs w:val="28"/>
                <w:highlight w:val="none"/>
              </w:rPr>
            </w:pPr>
            <w:r>
              <w:rPr>
                <w:rFonts w:ascii="宋体" w:hAnsi="宋体" w:eastAsia="宋体"/>
                <w:sz w:val="28"/>
                <w:szCs w:val="28"/>
                <w:highlight w:val="none"/>
              </w:rPr>
              <w:t>1</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ascii="宋体" w:hAnsi="宋体" w:eastAsia="宋体"/>
                <w:sz w:val="28"/>
                <w:szCs w:val="28"/>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sz w:val="28"/>
                <w:szCs w:val="28"/>
                <w:highlight w:val="none"/>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ascii="宋体" w:hAnsi="宋体" w:eastAsia="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ascii="宋体" w:hAnsi="宋体" w:eastAsia="宋体"/>
                <w:sz w:val="28"/>
                <w:szCs w:val="28"/>
                <w:highlight w:val="none"/>
              </w:rPr>
            </w:pPr>
            <w:r>
              <w:rPr>
                <w:rFonts w:ascii="宋体" w:hAnsi="宋体" w:eastAsia="宋体"/>
                <w:sz w:val="28"/>
                <w:szCs w:val="28"/>
                <w:highlight w:val="none"/>
              </w:rPr>
              <w:t>2</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hint="eastAsia" w:ascii="宋体" w:hAnsi="宋体" w:eastAsia="宋体"/>
                <w:sz w:val="28"/>
                <w:szCs w:val="28"/>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sz w:val="28"/>
                <w:szCs w:val="28"/>
                <w:highlight w:val="none"/>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ascii="宋体" w:hAnsi="宋体" w:eastAsia="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hint="eastAsia" w:ascii="宋体" w:hAnsi="宋体" w:eastAsia="宋体"/>
                <w:sz w:val="28"/>
                <w:szCs w:val="28"/>
                <w:highlight w:val="none"/>
              </w:rPr>
            </w:pPr>
            <w:r>
              <w:rPr>
                <w:rFonts w:hint="eastAsia" w:ascii="宋体" w:hAnsi="宋体" w:eastAsia="宋体"/>
                <w:sz w:val="28"/>
                <w:szCs w:val="28"/>
                <w:highlight w:val="none"/>
              </w:rPr>
              <w:t>3</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sz w:val="28"/>
                <w:szCs w:val="28"/>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sz w:val="28"/>
                <w:szCs w:val="28"/>
                <w:highlight w:val="none"/>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ascii="宋体" w:hAnsi="宋体" w:eastAsia="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ascii="宋体" w:hAnsi="宋体" w:eastAsia="宋体"/>
                <w:sz w:val="28"/>
                <w:szCs w:val="28"/>
                <w:highlight w:val="none"/>
              </w:rPr>
            </w:pPr>
            <w:r>
              <w:rPr>
                <w:rFonts w:hint="eastAsia" w:ascii="宋体" w:hAnsi="宋体" w:eastAsia="宋体"/>
                <w:sz w:val="28"/>
                <w:szCs w:val="28"/>
                <w:highlight w:val="none"/>
              </w:rPr>
              <w:t>4</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sz w:val="28"/>
                <w:szCs w:val="28"/>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sz w:val="28"/>
                <w:szCs w:val="28"/>
                <w:highlight w:val="none"/>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ascii="宋体" w:hAnsi="宋体" w:eastAsia="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ascii="宋体" w:hAnsi="宋体" w:eastAsia="宋体"/>
                <w:sz w:val="28"/>
                <w:szCs w:val="28"/>
                <w:highlight w:val="none"/>
              </w:rPr>
            </w:pPr>
            <w:r>
              <w:rPr>
                <w:rFonts w:hint="eastAsia" w:ascii="宋体" w:hAnsi="宋体" w:eastAsia="宋体"/>
                <w:sz w:val="28"/>
                <w:szCs w:val="28"/>
                <w:highlight w:val="none"/>
              </w:rPr>
              <w:t>5</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sz w:val="28"/>
                <w:szCs w:val="28"/>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hint="eastAsia" w:ascii="宋体" w:hAnsi="宋体" w:eastAsia="宋体"/>
                <w:sz w:val="28"/>
                <w:szCs w:val="28"/>
                <w:highlight w:val="none"/>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ascii="宋体" w:hAnsi="宋体" w:eastAsia="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ascii="宋体" w:hAnsi="宋体" w:eastAsia="宋体"/>
                <w:sz w:val="28"/>
                <w:szCs w:val="28"/>
                <w:highlight w:val="none"/>
              </w:rPr>
            </w:pPr>
            <w:r>
              <w:rPr>
                <w:rFonts w:hint="eastAsia" w:ascii="宋体" w:hAnsi="宋体" w:eastAsia="宋体"/>
                <w:sz w:val="28"/>
                <w:szCs w:val="28"/>
                <w:highlight w:val="none"/>
              </w:rPr>
              <w:t>6</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ascii="宋体" w:hAnsi="宋体" w:eastAsia="宋体"/>
                <w:sz w:val="28"/>
                <w:szCs w:val="28"/>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ascii="宋体" w:hAnsi="宋体" w:eastAsia="宋体"/>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ascii="宋体" w:hAnsi="宋体" w:eastAsia="宋体"/>
                <w:sz w:val="28"/>
                <w:szCs w:val="28"/>
                <w:highlight w:val="none"/>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ascii="宋体" w:hAnsi="宋体" w:eastAsia="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ascii="宋体" w:hAnsi="宋体" w:eastAsia="宋体"/>
                <w:sz w:val="28"/>
                <w:szCs w:val="28"/>
                <w:highlight w:val="none"/>
              </w:rPr>
            </w:pPr>
            <w:r>
              <w:rPr>
                <w:rFonts w:hint="eastAsia" w:ascii="宋体" w:hAnsi="宋体" w:eastAsia="宋体"/>
                <w:sz w:val="28"/>
                <w:szCs w:val="28"/>
                <w:highlight w:val="none"/>
              </w:rPr>
              <w:t>7</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ascii="宋体" w:hAnsi="宋体" w:eastAsia="宋体"/>
                <w:sz w:val="28"/>
                <w:szCs w:val="28"/>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ascii="宋体" w:hAnsi="宋体" w:eastAsia="宋体"/>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ascii="宋体" w:hAnsi="宋体" w:eastAsia="宋体"/>
                <w:sz w:val="28"/>
                <w:szCs w:val="28"/>
                <w:highlight w:val="none"/>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ascii="宋体" w:hAnsi="宋体" w:eastAsia="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ascii="宋体" w:hAnsi="宋体" w:eastAsia="宋体"/>
                <w:sz w:val="28"/>
                <w:szCs w:val="28"/>
                <w:highlight w:val="none"/>
              </w:rPr>
            </w:pPr>
            <w:r>
              <w:rPr>
                <w:rFonts w:hint="eastAsia" w:ascii="宋体" w:hAnsi="宋体" w:eastAsia="宋体"/>
                <w:sz w:val="28"/>
                <w:szCs w:val="28"/>
                <w:highlight w:val="none"/>
              </w:rPr>
              <w:t>8</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ascii="宋体" w:hAnsi="宋体" w:eastAsia="宋体"/>
                <w:sz w:val="28"/>
                <w:szCs w:val="28"/>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ascii="宋体" w:hAnsi="宋体" w:eastAsia="宋体"/>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ascii="宋体" w:hAnsi="宋体" w:eastAsia="宋体"/>
                <w:sz w:val="28"/>
                <w:szCs w:val="28"/>
                <w:highlight w:val="none"/>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ascii="宋体" w:hAnsi="宋体" w:eastAsia="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ascii="宋体" w:hAnsi="宋体" w:eastAsia="宋体"/>
                <w:sz w:val="28"/>
                <w:szCs w:val="28"/>
                <w:highlight w:val="none"/>
              </w:rPr>
            </w:pPr>
            <w:r>
              <w:rPr>
                <w:rFonts w:hint="eastAsia" w:ascii="宋体" w:hAnsi="宋体" w:eastAsia="宋体"/>
                <w:sz w:val="28"/>
                <w:szCs w:val="28"/>
                <w:highlight w:val="none"/>
              </w:rPr>
              <w:t>9</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ascii="宋体" w:hAnsi="宋体" w:eastAsia="宋体"/>
                <w:sz w:val="28"/>
                <w:szCs w:val="28"/>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ascii="宋体" w:hAnsi="宋体" w:eastAsia="宋体"/>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ascii="宋体" w:hAnsi="宋体" w:eastAsia="宋体"/>
                <w:sz w:val="28"/>
                <w:szCs w:val="28"/>
                <w:highlight w:val="none"/>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ascii="宋体" w:hAnsi="宋体" w:eastAsia="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hint="default" w:ascii="宋体" w:hAnsi="宋体" w:eastAsia="宋体"/>
                <w:sz w:val="28"/>
                <w:szCs w:val="28"/>
                <w:highlight w:val="none"/>
                <w:lang w:val="en-US" w:eastAsia="zh-CN"/>
              </w:rPr>
            </w:pPr>
            <w:r>
              <w:rPr>
                <w:rFonts w:hint="eastAsia" w:ascii="宋体" w:hAnsi="宋体" w:eastAsia="宋体"/>
                <w:sz w:val="28"/>
                <w:szCs w:val="28"/>
                <w:highlight w:val="none"/>
                <w:lang w:val="en-US" w:eastAsia="zh-CN"/>
              </w:rPr>
              <w:t>10</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ascii="宋体" w:hAnsi="宋体" w:eastAsia="宋体"/>
                <w:sz w:val="28"/>
                <w:szCs w:val="28"/>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ascii="宋体" w:hAnsi="宋体" w:eastAsia="宋体"/>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ascii="宋体" w:hAnsi="宋体" w:eastAsia="宋体"/>
                <w:sz w:val="28"/>
                <w:szCs w:val="28"/>
                <w:highlight w:val="none"/>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ascii="宋体" w:hAnsi="宋体" w:eastAsia="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6"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hint="default" w:ascii="宋体" w:hAnsi="宋体" w:eastAsia="宋体"/>
                <w:sz w:val="28"/>
                <w:szCs w:val="28"/>
                <w:highlight w:val="none"/>
                <w:lang w:val="en-US" w:eastAsia="zh-CN"/>
              </w:rPr>
            </w:pPr>
            <w:r>
              <w:rPr>
                <w:rFonts w:hint="eastAsia" w:ascii="宋体" w:hAnsi="宋体" w:eastAsia="宋体"/>
                <w:sz w:val="28"/>
                <w:szCs w:val="28"/>
                <w:highlight w:val="none"/>
                <w:lang w:val="en-US" w:eastAsia="zh-CN"/>
              </w:rPr>
              <w:t>...</w:t>
            </w:r>
          </w:p>
        </w:tc>
        <w:tc>
          <w:tcPr>
            <w:tcW w:w="2489"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ascii="宋体" w:hAnsi="宋体" w:eastAsia="宋体"/>
                <w:sz w:val="28"/>
                <w:szCs w:val="28"/>
                <w:highlight w:val="none"/>
              </w:rPr>
            </w:pPr>
          </w:p>
        </w:tc>
        <w:tc>
          <w:tcPr>
            <w:tcW w:w="192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ascii="宋体" w:hAnsi="宋体" w:eastAsia="宋体"/>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ascii="宋体" w:hAnsi="宋体" w:eastAsia="宋体"/>
                <w:sz w:val="28"/>
                <w:szCs w:val="28"/>
                <w:highlight w:val="none"/>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ascii="宋体" w:hAnsi="宋体" w:eastAsia="宋体"/>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65"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jc w:val="center"/>
              <w:rPr>
                <w:rFonts w:hint="eastAsia" w:ascii="宋体" w:hAnsi="宋体" w:eastAsia="宋体"/>
                <w:sz w:val="28"/>
                <w:szCs w:val="28"/>
                <w:highlight w:val="none"/>
              </w:rPr>
            </w:pPr>
            <w:r>
              <w:rPr>
                <w:rFonts w:hint="eastAsia" w:ascii="宋体" w:hAnsi="宋体" w:eastAsia="宋体"/>
                <w:b/>
                <w:bCs/>
                <w:sz w:val="28"/>
                <w:szCs w:val="28"/>
                <w:highlight w:val="none"/>
              </w:rPr>
              <w:t>合 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ascii="宋体" w:hAnsi="宋体" w:eastAsia="宋体"/>
                <w:sz w:val="28"/>
                <w:szCs w:val="28"/>
                <w:highlight w:val="none"/>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pPr>
              <w:tabs>
                <w:tab w:val="left" w:pos="8280"/>
              </w:tabs>
              <w:snapToGrid w:val="0"/>
              <w:rPr>
                <w:rFonts w:ascii="宋体" w:hAnsi="宋体" w:eastAsia="宋体"/>
                <w:sz w:val="28"/>
                <w:szCs w:val="28"/>
                <w:highlight w:val="none"/>
              </w:rPr>
            </w:pPr>
          </w:p>
        </w:tc>
      </w:tr>
    </w:tbl>
    <w:p>
      <w:pPr>
        <w:spacing w:line="560" w:lineRule="exact"/>
        <w:jc w:val="left"/>
        <w:rPr>
          <w:rFonts w:hint="eastAsia" w:ascii="宋体" w:hAnsi="宋体" w:cs="宋体"/>
          <w:b/>
          <w:sz w:val="24"/>
          <w:szCs w:val="24"/>
          <w:highlight w:val="none"/>
          <w:lang w:bidi="ar"/>
        </w:rPr>
      </w:pPr>
      <w:r>
        <w:rPr>
          <w:rFonts w:hint="eastAsia" w:ascii="宋体" w:hAnsi="宋体" w:cs="宋体"/>
          <w:b/>
          <w:sz w:val="24"/>
          <w:szCs w:val="24"/>
          <w:highlight w:val="none"/>
          <w:lang w:bidi="ar"/>
        </w:rPr>
        <w:t>注：</w:t>
      </w:r>
      <w:r>
        <w:rPr>
          <w:rFonts w:hint="eastAsia"/>
          <w:b/>
          <w:bCs/>
          <w:sz w:val="24"/>
          <w:highlight w:val="none"/>
        </w:rPr>
        <w:t>投标人需将</w:t>
      </w:r>
      <w:r>
        <w:rPr>
          <w:rFonts w:hint="eastAsia" w:ascii="宋体" w:hAnsi="宋体" w:cs="宋体"/>
          <w:b/>
          <w:color w:val="000000"/>
          <w:sz w:val="24"/>
          <w:highlight w:val="none"/>
        </w:rPr>
        <w:t>设备购置发票附后。</w:t>
      </w:r>
    </w:p>
    <w:p>
      <w:pPr>
        <w:spacing w:line="560" w:lineRule="exact"/>
        <w:jc w:val="left"/>
        <w:rPr>
          <w:rFonts w:hint="eastAsia" w:ascii="宋体" w:hAnsi="宋体" w:cs="宋体"/>
          <w:b/>
          <w:sz w:val="24"/>
          <w:szCs w:val="24"/>
          <w:highlight w:val="none"/>
          <w:lang w:bidi="ar"/>
        </w:rPr>
      </w:pPr>
    </w:p>
    <w:p>
      <w:pPr>
        <w:pStyle w:val="65"/>
        <w:spacing w:line="460" w:lineRule="exact"/>
        <w:ind w:left="192" w:firstLine="3948"/>
        <w:rPr>
          <w:rStyle w:val="67"/>
          <w:rFonts w:hint="eastAsia" w:ascii="宋体" w:hAnsi="宋体" w:eastAsia="宋体" w:cs="宋体"/>
          <w:color w:val="auto"/>
          <w:highlight w:val="none"/>
        </w:rPr>
      </w:pPr>
      <w:r>
        <w:rPr>
          <w:rStyle w:val="67"/>
          <w:rFonts w:hint="eastAsia" w:ascii="宋体" w:hAnsi="宋体" w:eastAsia="宋体" w:cs="宋体"/>
          <w:color w:val="auto"/>
          <w:highlight w:val="none"/>
          <w:lang w:val="zh-TW" w:eastAsia="zh-CN"/>
        </w:rPr>
        <w:t>投标人</w:t>
      </w:r>
      <w:r>
        <w:rPr>
          <w:rStyle w:val="67"/>
          <w:rFonts w:hint="eastAsia" w:ascii="宋体" w:hAnsi="宋体" w:eastAsia="宋体" w:cs="宋体"/>
          <w:color w:val="auto"/>
          <w:highlight w:val="none"/>
          <w:lang w:val="zh-TW"/>
        </w:rPr>
        <w:t>代表签字</w:t>
      </w:r>
      <w:r>
        <w:rPr>
          <w:rStyle w:val="67"/>
          <w:rFonts w:hint="eastAsia" w:ascii="宋体" w:hAnsi="宋体" w:eastAsia="宋体" w:cs="宋体"/>
          <w:color w:val="auto"/>
          <w:highlight w:val="none"/>
          <w:lang w:val="zh-TW" w:eastAsia="zh-TW"/>
        </w:rPr>
        <w:t>：</w:t>
      </w:r>
      <w:r>
        <w:rPr>
          <w:rStyle w:val="66"/>
          <w:rFonts w:hint="eastAsia" w:ascii="宋体" w:hAnsi="宋体" w:eastAsia="宋体" w:cs="宋体"/>
          <w:color w:val="auto"/>
          <w:highlight w:val="none"/>
        </w:rPr>
        <w:t>_______________</w:t>
      </w:r>
    </w:p>
    <w:p>
      <w:pPr>
        <w:pStyle w:val="65"/>
        <w:spacing w:line="460" w:lineRule="exact"/>
        <w:ind w:left="192" w:firstLine="3948"/>
        <w:rPr>
          <w:rStyle w:val="67"/>
          <w:rFonts w:hint="eastAsia" w:ascii="宋体" w:hAnsi="宋体" w:eastAsia="宋体" w:cs="宋体"/>
          <w:color w:val="auto"/>
          <w:highlight w:val="none"/>
        </w:rPr>
      </w:pPr>
      <w:r>
        <w:rPr>
          <w:rStyle w:val="67"/>
          <w:rFonts w:hint="eastAsia" w:ascii="宋体" w:hAnsi="宋体" w:eastAsia="宋体" w:cs="宋体"/>
          <w:color w:val="auto"/>
          <w:highlight w:val="none"/>
          <w:lang w:val="zh-TW" w:eastAsia="zh-TW"/>
        </w:rPr>
        <w:t>职务：</w:t>
      </w:r>
      <w:r>
        <w:rPr>
          <w:rStyle w:val="66"/>
          <w:rFonts w:hint="eastAsia" w:ascii="宋体" w:hAnsi="宋体" w:eastAsia="宋体" w:cs="宋体"/>
          <w:color w:val="auto"/>
          <w:highlight w:val="none"/>
        </w:rPr>
        <w:t>_________</w:t>
      </w:r>
      <w:r>
        <w:rPr>
          <w:rStyle w:val="67"/>
          <w:rFonts w:hint="eastAsia" w:ascii="宋体" w:hAnsi="宋体" w:eastAsia="宋体" w:cs="宋体"/>
          <w:color w:val="auto"/>
          <w:highlight w:val="none"/>
          <w:lang w:val="zh-TW" w:eastAsia="zh-TW"/>
        </w:rPr>
        <w:t>日期：</w:t>
      </w:r>
      <w:r>
        <w:rPr>
          <w:rStyle w:val="66"/>
          <w:rFonts w:hint="eastAsia" w:ascii="宋体" w:hAnsi="宋体" w:eastAsia="宋体" w:cs="宋体"/>
          <w:color w:val="auto"/>
          <w:highlight w:val="none"/>
        </w:rPr>
        <w:t>__________</w:t>
      </w:r>
    </w:p>
    <w:p>
      <w:pPr>
        <w:pStyle w:val="65"/>
        <w:spacing w:line="460" w:lineRule="exact"/>
        <w:ind w:left="192" w:firstLine="3948"/>
        <w:rPr>
          <w:rStyle w:val="66"/>
          <w:rFonts w:hint="eastAsia" w:ascii="宋体" w:hAnsi="宋体" w:eastAsia="宋体" w:cs="宋体"/>
          <w:color w:val="auto"/>
          <w:highlight w:val="none"/>
        </w:rPr>
      </w:pPr>
      <w:r>
        <w:rPr>
          <w:rStyle w:val="67"/>
          <w:rFonts w:hint="eastAsia" w:ascii="宋体" w:hAnsi="宋体" w:eastAsia="宋体" w:cs="宋体"/>
          <w:color w:val="auto"/>
          <w:highlight w:val="none"/>
          <w:lang w:val="zh-TW" w:eastAsia="zh-CN"/>
        </w:rPr>
        <w:t>投标人</w:t>
      </w:r>
      <w:r>
        <w:rPr>
          <w:rStyle w:val="67"/>
          <w:rFonts w:hint="eastAsia" w:ascii="宋体" w:hAnsi="宋体" w:eastAsia="宋体" w:cs="宋体"/>
          <w:color w:val="auto"/>
          <w:highlight w:val="none"/>
          <w:lang w:val="zh-TW" w:eastAsia="zh-TW"/>
        </w:rPr>
        <w:t>名称（公章）：</w:t>
      </w:r>
      <w:r>
        <w:rPr>
          <w:rStyle w:val="66"/>
          <w:rFonts w:hint="eastAsia" w:ascii="宋体" w:hAnsi="宋体" w:eastAsia="宋体" w:cs="宋体"/>
          <w:color w:val="auto"/>
          <w:highlight w:val="none"/>
        </w:rPr>
        <w:t>___________</w:t>
      </w:r>
    </w:p>
    <w:p>
      <w:pPr>
        <w:tabs>
          <w:tab w:val="left" w:pos="360"/>
        </w:tabs>
        <w:spacing w:afterLines="100" w:line="360" w:lineRule="auto"/>
        <w:outlineLvl w:val="0"/>
        <w:rPr>
          <w:rFonts w:hint="eastAsia" w:ascii="宋体" w:hAnsi="宋体" w:eastAsia="宋体" w:cs="宋体"/>
          <w:sz w:val="24"/>
          <w:highlight w:val="none"/>
        </w:rPr>
      </w:pPr>
    </w:p>
    <w:p>
      <w:pPr>
        <w:tabs>
          <w:tab w:val="left" w:pos="360"/>
        </w:tabs>
        <w:spacing w:afterLines="100" w:line="360" w:lineRule="auto"/>
        <w:outlineLvl w:val="0"/>
        <w:rPr>
          <w:rFonts w:hint="default" w:ascii="宋体" w:hAnsi="宋体" w:eastAsia="宋体" w:cs="宋体"/>
          <w:sz w:val="24"/>
          <w:highlight w:val="none"/>
          <w:lang w:val="en-US" w:eastAsia="zh-CN"/>
        </w:rPr>
      </w:pPr>
      <w:r>
        <w:rPr>
          <w:rFonts w:hint="eastAsia" w:ascii="宋体" w:hAnsi="宋体" w:eastAsia="宋体" w:cs="宋体"/>
          <w:sz w:val="24"/>
          <w:highlight w:val="none"/>
        </w:rPr>
        <w:t>附件</w:t>
      </w:r>
      <w:r>
        <w:rPr>
          <w:rFonts w:hint="eastAsia" w:ascii="宋体" w:hAnsi="宋体" w:cs="宋体"/>
          <w:sz w:val="24"/>
          <w:highlight w:val="none"/>
          <w:lang w:val="en-US" w:eastAsia="zh-CN"/>
        </w:rPr>
        <w:t>10</w:t>
      </w:r>
    </w:p>
    <w:p>
      <w:pPr>
        <w:autoSpaceDN w:val="0"/>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政府采购政策情况表</w:t>
      </w:r>
    </w:p>
    <w:p>
      <w:pPr>
        <w:spacing w:line="460" w:lineRule="exact"/>
        <w:jc w:val="center"/>
        <w:rPr>
          <w:rFonts w:hint="eastAsia" w:ascii="宋体" w:hAnsi="宋体" w:eastAsia="宋体" w:cs="宋体"/>
          <w:sz w:val="24"/>
          <w:highlight w:val="none"/>
        </w:rPr>
      </w:pPr>
    </w:p>
    <w:p>
      <w:pPr>
        <w:spacing w:line="460" w:lineRule="exact"/>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p>
    <w:p>
      <w:pPr>
        <w:spacing w:line="460" w:lineRule="exact"/>
        <w:rPr>
          <w:rFonts w:hint="eastAsia" w:ascii="宋体" w:hAnsi="宋体" w:eastAsia="宋体" w:cs="宋体"/>
          <w:sz w:val="24"/>
          <w:highlight w:val="none"/>
        </w:rPr>
      </w:pPr>
      <w:r>
        <w:rPr>
          <w:rFonts w:hint="eastAsia" w:ascii="宋体" w:hAnsi="宋体" w:eastAsia="宋体" w:cs="宋体"/>
          <w:sz w:val="24"/>
          <w:highlight w:val="none"/>
        </w:rPr>
        <w:t>项目编号：</w:t>
      </w:r>
      <w:r>
        <w:rPr>
          <w:rFonts w:hint="eastAsia" w:ascii="宋体" w:hAnsi="宋体" w:eastAsia="宋体" w:cs="宋体"/>
          <w:sz w:val="24"/>
          <w:highlight w:val="none"/>
          <w:u w:val="single"/>
        </w:rPr>
        <w:t xml:space="preserve">                    </w:t>
      </w:r>
    </w:p>
    <w:p>
      <w:pPr>
        <w:spacing w:line="460" w:lineRule="exact"/>
        <w:rPr>
          <w:rFonts w:hint="eastAsia" w:ascii="宋体" w:hAnsi="宋体" w:eastAsia="宋体" w:cs="宋体"/>
          <w:sz w:val="24"/>
          <w:highlight w:val="none"/>
          <w:u w:val="single"/>
        </w:rPr>
      </w:pPr>
      <w:r>
        <w:rPr>
          <w:rFonts w:hint="eastAsia" w:ascii="宋体" w:hAnsi="宋体" w:eastAsia="宋体" w:cs="宋体"/>
          <w:sz w:val="24"/>
          <w:highlight w:val="none"/>
        </w:rPr>
        <w:t>包号：</w:t>
      </w:r>
      <w:r>
        <w:rPr>
          <w:rFonts w:hint="eastAsia" w:ascii="宋体" w:hAnsi="宋体" w:eastAsia="宋体" w:cs="宋体"/>
          <w:sz w:val="24"/>
          <w:highlight w:val="none"/>
          <w:u w:val="single"/>
        </w:rPr>
        <w:t xml:space="preserve">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7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089" w:type="dxa"/>
            <w:gridSpan w:val="2"/>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如属所列情形的，请在括号内打“√”：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40"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中小企业</w:t>
            </w:r>
          </w:p>
        </w:tc>
        <w:tc>
          <w:tcPr>
            <w:tcW w:w="7849"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）我公司为小型、微型企业，并由我公司向采购人提供服务，须提供中小微企业声明函，该声明函见投标文件第</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240"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监狱企业</w:t>
            </w:r>
          </w:p>
        </w:tc>
        <w:tc>
          <w:tcPr>
            <w:tcW w:w="7849"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）我公司属于监狱企业，须提供由省级以上监狱管理局、戒毒管理局（含新疆生产建设兵团）出具的属于监狱企业的证明文件。证明材料见投标文件第</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至</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240"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残疾人福利性单位</w:t>
            </w:r>
          </w:p>
        </w:tc>
        <w:tc>
          <w:tcPr>
            <w:tcW w:w="7849"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）我公司属于残疾人福利性单位，由我公司向采购人提供服务，须提供残疾人福利性单位声明函，该声明函见投标文件第</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页。</w:t>
            </w:r>
          </w:p>
        </w:tc>
      </w:tr>
    </w:tbl>
    <w:p>
      <w:pPr>
        <w:spacing w:line="360" w:lineRule="auto"/>
        <w:ind w:firstLine="4080" w:firstLineChars="1700"/>
        <w:rPr>
          <w:rFonts w:hint="eastAsia" w:ascii="宋体" w:hAnsi="宋体" w:eastAsia="宋体" w:cs="宋体"/>
          <w:sz w:val="24"/>
          <w:highlight w:val="none"/>
        </w:rPr>
      </w:pPr>
    </w:p>
    <w:p>
      <w:pPr>
        <w:spacing w:line="46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注：</w:t>
      </w:r>
      <w:r>
        <w:rPr>
          <w:rFonts w:hint="eastAsia" w:ascii="宋体" w:hAnsi="宋体" w:eastAsia="宋体" w:cs="宋体"/>
          <w:sz w:val="24"/>
          <w:szCs w:val="24"/>
          <w:highlight w:val="none"/>
        </w:rPr>
        <w:t>请投标人正确填写本表，所填内容将作为评审的依据。其内容或数据应与对应的证明资料相符，如果填写不完整或有误，不再享受上述政策优惠。</w:t>
      </w:r>
    </w:p>
    <w:p>
      <w:pPr>
        <w:spacing w:line="360" w:lineRule="auto"/>
        <w:ind w:firstLine="4080" w:firstLineChars="1700"/>
        <w:rPr>
          <w:rFonts w:hint="eastAsia" w:ascii="宋体" w:hAnsi="宋体" w:eastAsia="宋体" w:cs="宋体"/>
          <w:sz w:val="24"/>
          <w:highlight w:val="none"/>
        </w:rPr>
      </w:pPr>
    </w:p>
    <w:p>
      <w:pPr>
        <w:spacing w:line="360" w:lineRule="auto"/>
        <w:ind w:firstLine="4080" w:firstLineChars="1700"/>
        <w:rPr>
          <w:rFonts w:hint="eastAsia" w:ascii="宋体" w:hAnsi="宋体" w:eastAsia="宋体" w:cs="宋体"/>
          <w:sz w:val="24"/>
          <w:highlight w:val="none"/>
        </w:rPr>
      </w:pPr>
      <w:r>
        <w:rPr>
          <w:rFonts w:hint="eastAsia" w:ascii="宋体" w:hAnsi="宋体" w:eastAsia="宋体" w:cs="宋体"/>
          <w:sz w:val="24"/>
          <w:highlight w:val="none"/>
        </w:rPr>
        <w:t>投标人名称：</w:t>
      </w:r>
    </w:p>
    <w:p>
      <w:pPr>
        <w:spacing w:line="360" w:lineRule="auto"/>
        <w:ind w:firstLine="4080" w:firstLineChars="1700"/>
        <w:rPr>
          <w:rFonts w:hint="eastAsia" w:ascii="宋体" w:hAnsi="宋体" w:eastAsia="宋体" w:cs="宋体"/>
          <w:sz w:val="24"/>
          <w:highlight w:val="none"/>
        </w:rPr>
      </w:pPr>
      <w:r>
        <w:rPr>
          <w:rFonts w:hint="eastAsia" w:ascii="宋体" w:hAnsi="宋体" w:eastAsia="宋体" w:cs="宋体"/>
          <w:sz w:val="24"/>
          <w:highlight w:val="none"/>
        </w:rPr>
        <w:t>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spacing w:line="360" w:lineRule="auto"/>
        <w:ind w:firstLine="480" w:firstLineChars="200"/>
        <w:outlineLvl w:val="9"/>
        <w:rPr>
          <w:rFonts w:hint="eastAsia" w:ascii="宋体" w:hAnsi="宋体" w:eastAsia="宋体" w:cs="宋体"/>
          <w:sz w:val="24"/>
          <w:highlight w:val="none"/>
        </w:rPr>
      </w:pPr>
    </w:p>
    <w:p>
      <w:pPr>
        <w:spacing w:line="560" w:lineRule="exact"/>
        <w:jc w:val="center"/>
        <w:rPr>
          <w:rFonts w:hint="eastAsia" w:ascii="宋体" w:hAnsi="宋体" w:eastAsia="宋体" w:cs="宋体"/>
          <w:sz w:val="24"/>
          <w:highlight w:val="none"/>
        </w:rPr>
      </w:pPr>
    </w:p>
    <w:p>
      <w:pPr>
        <w:spacing w:line="560" w:lineRule="exact"/>
        <w:jc w:val="center"/>
        <w:rPr>
          <w:rFonts w:hint="eastAsia" w:ascii="宋体" w:hAnsi="宋体" w:eastAsia="宋体" w:cs="宋体"/>
          <w:sz w:val="24"/>
          <w:highlight w:val="none"/>
        </w:rPr>
      </w:pPr>
    </w:p>
    <w:p>
      <w:pPr>
        <w:spacing w:line="560" w:lineRule="exact"/>
        <w:rPr>
          <w:rFonts w:hint="eastAsia" w:ascii="宋体" w:hAnsi="宋体" w:eastAsia="宋体" w:cs="宋体"/>
          <w:sz w:val="24"/>
          <w:highlight w:val="none"/>
        </w:rPr>
      </w:pPr>
      <w:r>
        <w:rPr>
          <w:rFonts w:hint="eastAsia" w:ascii="宋体" w:hAnsi="宋体" w:eastAsia="宋体" w:cs="宋体"/>
          <w:sz w:val="24"/>
          <w:highlight w:val="none"/>
        </w:rPr>
        <w:br w:type="page"/>
      </w:r>
    </w:p>
    <w:p>
      <w:pPr>
        <w:tabs>
          <w:tab w:val="left" w:pos="360"/>
        </w:tabs>
        <w:spacing w:afterLines="100" w:line="360" w:lineRule="auto"/>
        <w:outlineLvl w:val="0"/>
        <w:rPr>
          <w:rFonts w:hint="default" w:ascii="宋体" w:hAnsi="宋体" w:eastAsia="宋体" w:cs="宋体"/>
          <w:sz w:val="24"/>
          <w:highlight w:val="none"/>
          <w:lang w:val="en-US" w:eastAsia="zh-CN"/>
        </w:rPr>
      </w:pPr>
      <w:bookmarkStart w:id="115" w:name="_Toc10145"/>
      <w:bookmarkStart w:id="116" w:name="_Toc13819"/>
      <w:r>
        <w:rPr>
          <w:rFonts w:hint="eastAsia" w:ascii="宋体" w:hAnsi="宋体" w:eastAsia="宋体" w:cs="宋体"/>
          <w:sz w:val="24"/>
          <w:highlight w:val="none"/>
        </w:rPr>
        <w:t>附件</w:t>
      </w:r>
      <w:bookmarkEnd w:id="115"/>
      <w:bookmarkEnd w:id="116"/>
      <w:r>
        <w:rPr>
          <w:rFonts w:hint="eastAsia" w:ascii="宋体" w:hAnsi="宋体" w:cs="宋体"/>
          <w:sz w:val="24"/>
          <w:highlight w:val="none"/>
          <w:lang w:val="en-US" w:eastAsia="zh-CN"/>
        </w:rPr>
        <w:t>11</w:t>
      </w:r>
    </w:p>
    <w:p>
      <w:pPr>
        <w:autoSpaceDE w:val="0"/>
        <w:autoSpaceDN w:val="0"/>
        <w:spacing w:line="480" w:lineRule="auto"/>
        <w:jc w:val="center"/>
        <w:rPr>
          <w:rFonts w:hint="eastAsia" w:ascii="宋体" w:hAnsi="宋体" w:eastAsia="宋体" w:cs="宋体"/>
          <w:b/>
          <w:sz w:val="24"/>
          <w:szCs w:val="24"/>
          <w:highlight w:val="none"/>
        </w:rPr>
      </w:pPr>
      <w:bookmarkStart w:id="117" w:name="OLE_LINK14"/>
      <w:bookmarkStart w:id="118" w:name="OLE_LINK13"/>
      <w:r>
        <w:rPr>
          <w:rFonts w:hint="eastAsia" w:ascii="宋体" w:hAnsi="宋体" w:eastAsia="宋体" w:cs="宋体"/>
          <w:b/>
          <w:sz w:val="24"/>
          <w:szCs w:val="24"/>
          <w:highlight w:val="none"/>
        </w:rPr>
        <w:t>中小企业声明函（服务）</w:t>
      </w:r>
    </w:p>
    <w:p>
      <w:pPr>
        <w:keepNext w:val="0"/>
        <w:keepLines w:val="0"/>
        <w:widowControl/>
        <w:suppressLineNumbers w:val="0"/>
        <w:spacing w:line="360" w:lineRule="auto"/>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本公司郑重声明，根据《政府采购促进中小企业发展管理办法》（财库﹝2020﹞46号）的规定，本公司参加</w:t>
      </w:r>
      <w:r>
        <w:rPr>
          <w:rFonts w:hint="eastAsia" w:ascii="宋体" w:hAnsi="宋体" w:cs="宋体"/>
          <w:color w:val="000000"/>
          <w:sz w:val="24"/>
          <w:szCs w:val="24"/>
          <w:highlight w:val="none"/>
          <w:u w:val="single"/>
        </w:rPr>
        <w:t xml:space="preserve">       </w:t>
      </w:r>
      <w:r>
        <w:rPr>
          <w:rFonts w:hint="eastAsia" w:ascii="宋体" w:hAnsi="宋体" w:eastAsia="宋体" w:cs="宋体"/>
          <w:i/>
          <w:iCs/>
          <w:color w:val="000000"/>
          <w:kern w:val="0"/>
          <w:sz w:val="24"/>
          <w:szCs w:val="24"/>
          <w:highlight w:val="none"/>
          <w:u w:val="single"/>
          <w:lang w:val="en-US" w:eastAsia="zh-CN" w:bidi="ar"/>
        </w:rPr>
        <w:t>（单位名称）</w:t>
      </w:r>
      <w:r>
        <w:rPr>
          <w:rFonts w:hint="eastAsia" w:ascii="宋体" w:hAnsi="宋体" w:cs="宋体"/>
          <w:i/>
          <w:iCs/>
          <w:color w:val="000000"/>
          <w:kern w:val="0"/>
          <w:sz w:val="24"/>
          <w:szCs w:val="24"/>
          <w:highlight w:val="none"/>
          <w:lang w:val="en-US" w:eastAsia="zh-CN" w:bidi="ar"/>
        </w:rPr>
        <w:t>的</w:t>
      </w:r>
      <w:r>
        <w:rPr>
          <w:rFonts w:hint="eastAsia" w:ascii="宋体" w:hAnsi="宋体" w:cs="宋体"/>
          <w:i/>
          <w:iCs/>
          <w:color w:val="000000"/>
          <w:kern w:val="0"/>
          <w:sz w:val="24"/>
          <w:szCs w:val="24"/>
          <w:highlight w:val="none"/>
          <w:u w:val="single"/>
          <w:lang w:val="en-US" w:eastAsia="zh-CN" w:bidi="ar"/>
        </w:rPr>
        <w:t xml:space="preserve">         </w:t>
      </w:r>
      <w:r>
        <w:rPr>
          <w:rFonts w:hint="eastAsia" w:ascii="宋体" w:hAnsi="宋体" w:eastAsia="宋体" w:cs="宋体"/>
          <w:i/>
          <w:iCs/>
          <w:color w:val="000000"/>
          <w:kern w:val="0"/>
          <w:sz w:val="24"/>
          <w:szCs w:val="24"/>
          <w:highlight w:val="none"/>
          <w:u w:val="single"/>
          <w:lang w:val="en-US" w:eastAsia="zh-CN" w:bidi="ar"/>
        </w:rPr>
        <w:t>（项目名称）</w:t>
      </w:r>
      <w:r>
        <w:rPr>
          <w:rFonts w:hint="eastAsia" w:ascii="宋体" w:hAnsi="宋体" w:cs="宋体"/>
          <w:color w:val="000000"/>
          <w:sz w:val="24"/>
          <w:szCs w:val="24"/>
          <w:highlight w:val="none"/>
        </w:rPr>
        <w:t>采购活动，</w:t>
      </w:r>
      <w:r>
        <w:rPr>
          <w:rFonts w:hint="eastAsia" w:ascii="宋体" w:hAnsi="宋体" w:cs="宋体"/>
          <w:color w:val="000000"/>
          <w:sz w:val="24"/>
          <w:szCs w:val="24"/>
          <w:highlight w:val="none"/>
          <w:lang w:eastAsia="zh-CN"/>
        </w:rPr>
        <w:t>服务</w:t>
      </w:r>
      <w:r>
        <w:rPr>
          <w:rFonts w:hint="eastAsia" w:ascii="宋体" w:hAnsi="宋体" w:cs="宋体"/>
          <w:color w:val="000000"/>
          <w:sz w:val="24"/>
          <w:szCs w:val="24"/>
          <w:highlight w:val="none"/>
        </w:rPr>
        <w:t>全部由符合政策要求的中小企业</w:t>
      </w:r>
      <w:r>
        <w:rPr>
          <w:rFonts w:hint="eastAsia" w:ascii="宋体" w:hAnsi="宋体" w:cs="宋体"/>
          <w:color w:val="000000"/>
          <w:sz w:val="24"/>
          <w:szCs w:val="24"/>
          <w:highlight w:val="none"/>
          <w:lang w:eastAsia="zh-CN"/>
        </w:rPr>
        <w:t>承接</w:t>
      </w:r>
      <w:r>
        <w:rPr>
          <w:rFonts w:hint="eastAsia" w:ascii="宋体" w:hAnsi="宋体" w:cs="宋体"/>
          <w:color w:val="000000"/>
          <w:sz w:val="24"/>
          <w:szCs w:val="24"/>
          <w:highlight w:val="none"/>
        </w:rPr>
        <w:t>。相关企业的具体情况如下：</w:t>
      </w:r>
    </w:p>
    <w:p>
      <w:pPr>
        <w:keepNext w:val="0"/>
        <w:keepLines w:val="0"/>
        <w:widowControl/>
        <w:suppressLineNumbers w:val="0"/>
        <w:ind w:firstLine="480" w:firstLineChars="200"/>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1.</w:t>
      </w:r>
      <w:r>
        <w:rPr>
          <w:rFonts w:hint="eastAsia" w:ascii="宋体" w:hAnsi="宋体" w:cs="宋体"/>
          <w:color w:val="000000"/>
          <w:kern w:val="2"/>
          <w:sz w:val="24"/>
          <w:szCs w:val="24"/>
          <w:highlight w:val="none"/>
          <w:u w:val="single"/>
          <w:lang w:val="en-US" w:eastAsia="zh-CN" w:bidi="ar-SA"/>
        </w:rPr>
        <w:t>（标的名称）</w:t>
      </w:r>
      <w:r>
        <w:rPr>
          <w:rFonts w:hint="eastAsia" w:ascii="宋体" w:hAnsi="宋体" w:cs="宋体"/>
          <w:color w:val="000000"/>
          <w:sz w:val="24"/>
          <w:szCs w:val="24"/>
          <w:highlight w:val="none"/>
        </w:rPr>
        <w:t>，属于</w:t>
      </w:r>
      <w:r>
        <w:rPr>
          <w:rFonts w:hint="eastAsia" w:ascii="宋体" w:hAnsi="宋体" w:cs="宋体"/>
          <w:color w:val="000000"/>
          <w:kern w:val="2"/>
          <w:sz w:val="24"/>
          <w:szCs w:val="24"/>
          <w:highlight w:val="none"/>
          <w:u w:val="single"/>
          <w:lang w:val="en-US" w:eastAsia="zh-CN" w:bidi="ar-SA"/>
        </w:rPr>
        <w:t>（采购文件中明确的所属行业）</w:t>
      </w:r>
      <w:r>
        <w:rPr>
          <w:rFonts w:hint="eastAsia" w:ascii="仿宋" w:hAnsi="仿宋" w:eastAsia="仿宋" w:cs="仿宋"/>
          <w:color w:val="000000"/>
          <w:kern w:val="0"/>
          <w:sz w:val="31"/>
          <w:szCs w:val="31"/>
          <w:lang w:val="en-US" w:eastAsia="zh-CN" w:bidi="ar"/>
        </w:rPr>
        <w:t>；</w:t>
      </w:r>
      <w:r>
        <w:rPr>
          <w:rFonts w:hint="eastAsia" w:ascii="宋体" w:hAnsi="宋体" w:cs="宋体"/>
          <w:color w:val="000000"/>
          <w:sz w:val="24"/>
          <w:szCs w:val="24"/>
          <w:highlight w:val="none"/>
          <w:lang w:eastAsia="zh-CN"/>
        </w:rPr>
        <w:t>承接企业为</w:t>
      </w:r>
      <w:r>
        <w:rPr>
          <w:rFonts w:hint="eastAsia" w:ascii="宋体" w:hAnsi="宋体" w:cs="宋体"/>
          <w:color w:val="000000"/>
          <w:sz w:val="24"/>
          <w:szCs w:val="24"/>
          <w:highlight w:val="none"/>
          <w:u w:val="single"/>
        </w:rPr>
        <w:t xml:space="preserve">         （</w:t>
      </w:r>
      <w:r>
        <w:rPr>
          <w:rFonts w:hint="eastAsia" w:ascii="宋体" w:hAnsi="宋体" w:cs="宋体"/>
          <w:b/>
          <w:color w:val="000000"/>
          <w:sz w:val="24"/>
          <w:szCs w:val="24"/>
          <w:highlight w:val="none"/>
        </w:rPr>
        <w:t>请填写企业名称</w:t>
      </w:r>
      <w:r>
        <w:rPr>
          <w:rFonts w:hint="eastAsia" w:ascii="宋体" w:hAnsi="宋体" w:cs="宋体"/>
          <w:color w:val="000000"/>
          <w:sz w:val="24"/>
          <w:szCs w:val="24"/>
          <w:highlight w:val="none"/>
        </w:rPr>
        <w:t>），从业人员</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人，营业收入为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万元，资产总额为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万元，属于</w:t>
      </w:r>
      <w:r>
        <w:rPr>
          <w:rFonts w:hint="eastAsia" w:ascii="宋体" w:hAnsi="宋体" w:cs="宋体"/>
          <w:color w:val="000000"/>
          <w:sz w:val="24"/>
          <w:szCs w:val="24"/>
          <w:highlight w:val="none"/>
          <w:u w:val="single"/>
        </w:rPr>
        <w:t xml:space="preserve">        （</w:t>
      </w:r>
      <w:r>
        <w:rPr>
          <w:rFonts w:hint="eastAsia" w:ascii="宋体" w:hAnsi="宋体" w:cs="宋体"/>
          <w:b/>
          <w:color w:val="000000"/>
          <w:sz w:val="24"/>
          <w:szCs w:val="24"/>
          <w:highlight w:val="none"/>
        </w:rPr>
        <w:t>请根据中小企业划分标准填写中型企业/小型企业/微型企业</w:t>
      </w:r>
      <w:r>
        <w:rPr>
          <w:rFonts w:hint="eastAsia" w:ascii="宋体" w:hAnsi="宋体" w:cs="宋体"/>
          <w:color w:val="000000"/>
          <w:sz w:val="24"/>
          <w:szCs w:val="24"/>
          <w:highlight w:val="none"/>
        </w:rPr>
        <w:t>）；</w:t>
      </w:r>
    </w:p>
    <w:p>
      <w:pPr>
        <w:autoSpaceDE w:val="0"/>
        <w:autoSpaceDN w:val="0"/>
        <w:spacing w:line="360" w:lineRule="auto"/>
        <w:ind w:left="641"/>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w:t>
      </w:r>
    </w:p>
    <w:p>
      <w:pPr>
        <w:autoSpaceDE w:val="0"/>
        <w:autoSpaceDN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以上企业，不属于大型企业的分支机构，不存在控股股东为大型企业的情形，也不存在与大型企业的负责人为同一人的情形。</w:t>
      </w:r>
    </w:p>
    <w:p>
      <w:pPr>
        <w:autoSpaceDE w:val="0"/>
        <w:autoSpaceDN w:val="0"/>
        <w:spacing w:line="5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本企业对上述声明内容的真实性负责。如有虚假，将依法承担相应责任。</w:t>
      </w:r>
    </w:p>
    <w:p>
      <w:pPr>
        <w:autoSpaceDE w:val="0"/>
        <w:autoSpaceDN w:val="0"/>
        <w:spacing w:line="500" w:lineRule="exact"/>
        <w:ind w:left="3840" w:firstLine="960" w:firstLineChars="4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w:t>
      </w:r>
    </w:p>
    <w:p>
      <w:pPr>
        <w:autoSpaceDE w:val="0"/>
        <w:autoSpaceDN w:val="0"/>
        <w:spacing w:line="500" w:lineRule="exact"/>
        <w:ind w:left="3840" w:firstLine="960" w:firstLineChars="400"/>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t>日期：</w:t>
      </w:r>
      <w:r>
        <w:rPr>
          <w:rFonts w:hint="eastAsia" w:ascii="宋体" w:hAnsi="宋体" w:eastAsia="宋体" w:cs="宋体"/>
          <w:sz w:val="24"/>
          <w:szCs w:val="21"/>
          <w:highlight w:val="none"/>
        </w:rPr>
        <w:t>年</w:t>
      </w:r>
      <w:r>
        <w:rPr>
          <w:rFonts w:hint="eastAsia" w:ascii="宋体" w:hAnsi="宋体" w:cs="宋体"/>
          <w:sz w:val="24"/>
          <w:szCs w:val="21"/>
          <w:highlight w:val="none"/>
          <w:lang w:val="en-US" w:eastAsia="zh-CN"/>
        </w:rPr>
        <w:t xml:space="preserve"> </w:t>
      </w:r>
      <w:r>
        <w:rPr>
          <w:rFonts w:hint="eastAsia" w:ascii="宋体" w:hAnsi="宋体" w:eastAsia="宋体" w:cs="宋体"/>
          <w:sz w:val="24"/>
          <w:szCs w:val="21"/>
          <w:highlight w:val="none"/>
        </w:rPr>
        <w:t>月</w:t>
      </w:r>
      <w:r>
        <w:rPr>
          <w:rFonts w:hint="eastAsia" w:ascii="宋体" w:hAnsi="宋体" w:cs="宋体"/>
          <w:sz w:val="24"/>
          <w:szCs w:val="21"/>
          <w:highlight w:val="none"/>
          <w:lang w:val="en-US" w:eastAsia="zh-CN"/>
        </w:rPr>
        <w:t xml:space="preserve"> </w:t>
      </w:r>
      <w:r>
        <w:rPr>
          <w:rFonts w:hint="eastAsia" w:ascii="宋体" w:hAnsi="宋体" w:eastAsia="宋体" w:cs="宋体"/>
          <w:sz w:val="24"/>
          <w:szCs w:val="21"/>
          <w:highlight w:val="none"/>
        </w:rPr>
        <w:t>日</w:t>
      </w:r>
    </w:p>
    <w:p>
      <w:pPr>
        <w:spacing w:line="360" w:lineRule="auto"/>
        <w:ind w:right="84" w:firstLine="241" w:firstLineChars="100"/>
        <w:rPr>
          <w:rFonts w:hint="eastAsia" w:ascii="宋体" w:hAnsi="宋体" w:eastAsia="宋体" w:cs="宋体"/>
          <w:b/>
          <w:sz w:val="24"/>
          <w:szCs w:val="24"/>
          <w:highlight w:val="none"/>
        </w:rPr>
      </w:pPr>
      <w:r>
        <w:rPr>
          <w:rFonts w:hint="eastAsia" w:ascii="宋体" w:hAnsi="宋体" w:eastAsia="宋体" w:cs="宋体"/>
          <w:b/>
          <w:sz w:val="24"/>
          <w:szCs w:val="24"/>
          <w:highlight w:val="none"/>
        </w:rPr>
        <w:t>注：</w:t>
      </w:r>
    </w:p>
    <w:p>
      <w:pPr>
        <w:spacing w:line="360" w:lineRule="auto"/>
        <w:ind w:right="84" w:firstLine="241" w:firstLineChars="100"/>
        <w:rPr>
          <w:rFonts w:hint="eastAsia" w:ascii="宋体" w:hAnsi="宋体" w:eastAsia="宋体" w:cs="宋体"/>
          <w:b/>
          <w:sz w:val="24"/>
          <w:szCs w:val="24"/>
          <w:highlight w:val="none"/>
        </w:rPr>
      </w:pPr>
      <w:r>
        <w:rPr>
          <w:rFonts w:hint="eastAsia" w:ascii="宋体" w:hAnsi="宋体" w:eastAsia="宋体" w:cs="宋体"/>
          <w:b/>
          <w:sz w:val="24"/>
          <w:szCs w:val="24"/>
          <w:highlight w:val="none"/>
        </w:rPr>
        <w:t>1.标的名称须按照采购文件中明确的标的名称进行填写；所属行业须按照采购文件中明确的所属行业进行填写，否则不享受中小企业扶持政策。</w:t>
      </w:r>
    </w:p>
    <w:p>
      <w:pPr>
        <w:spacing w:line="360" w:lineRule="auto"/>
        <w:ind w:right="84" w:firstLine="241" w:firstLineChars="100"/>
        <w:rPr>
          <w:rFonts w:hint="eastAsia" w:ascii="宋体" w:hAnsi="宋体" w:eastAsia="宋体" w:cs="宋体"/>
          <w:b/>
          <w:sz w:val="24"/>
          <w:szCs w:val="24"/>
          <w:highlight w:val="none"/>
        </w:rPr>
      </w:pPr>
      <w:r>
        <w:rPr>
          <w:rFonts w:hint="eastAsia" w:ascii="宋体" w:hAnsi="宋体" w:eastAsia="宋体" w:cs="宋体"/>
          <w:b/>
          <w:sz w:val="24"/>
          <w:szCs w:val="24"/>
          <w:highlight w:val="none"/>
        </w:rPr>
        <w:t>2.从业人员、营业收入、资产总额填报上一年度数据，无上一年度数据的新成立企业可不填报。除新成立企业外，上表填写不全的，不享受中小企业扶持政策。</w:t>
      </w:r>
    </w:p>
    <w:p>
      <w:pPr>
        <w:widowControl/>
        <w:jc w:val="left"/>
        <w:rPr>
          <w:rFonts w:hint="eastAsia" w:ascii="宋体" w:hAnsi="宋体" w:eastAsia="宋体" w:cs="宋体"/>
          <w:sz w:val="24"/>
          <w:szCs w:val="21"/>
          <w:highlight w:val="none"/>
        </w:rPr>
      </w:pPr>
      <w:r>
        <w:rPr>
          <w:rFonts w:hint="eastAsia" w:ascii="宋体" w:hAnsi="宋体" w:eastAsia="宋体" w:cs="宋体"/>
          <w:b/>
          <w:sz w:val="24"/>
          <w:szCs w:val="21"/>
          <w:highlight w:val="none"/>
        </w:rPr>
        <w:t>3.中标（成交）供应商享受中小企业扶持政策的，将随中标（成交）结果同时公告其《中小企业声明函》，接受社会监督。</w:t>
      </w:r>
    </w:p>
    <w:p>
      <w:pPr>
        <w:widowControl/>
        <w:jc w:val="left"/>
        <w:rPr>
          <w:rFonts w:hint="eastAsia" w:ascii="宋体" w:hAnsi="宋体" w:eastAsia="宋体" w:cs="宋体"/>
          <w:sz w:val="24"/>
          <w:szCs w:val="21"/>
          <w:highlight w:val="none"/>
        </w:rPr>
      </w:pPr>
    </w:p>
    <w:p>
      <w:pPr>
        <w:widowControl/>
        <w:jc w:val="left"/>
        <w:rPr>
          <w:rFonts w:hint="eastAsia" w:ascii="宋体" w:hAnsi="宋体" w:eastAsia="宋体" w:cs="宋体"/>
          <w:sz w:val="24"/>
          <w:szCs w:val="21"/>
          <w:highlight w:val="none"/>
        </w:rPr>
      </w:pPr>
    </w:p>
    <w:p>
      <w:pPr>
        <w:widowControl/>
        <w:jc w:val="left"/>
        <w:rPr>
          <w:rFonts w:hint="eastAsia" w:ascii="宋体" w:hAnsi="宋体" w:eastAsia="宋体" w:cs="宋体"/>
          <w:b/>
          <w:kern w:val="0"/>
          <w:sz w:val="24"/>
          <w:szCs w:val="21"/>
          <w:highlight w:val="none"/>
        </w:rPr>
      </w:pPr>
      <w:r>
        <w:rPr>
          <w:rFonts w:hint="eastAsia" w:ascii="宋体" w:hAnsi="宋体" w:eastAsia="宋体" w:cs="宋体"/>
          <w:b/>
          <w:kern w:val="0"/>
          <w:sz w:val="24"/>
          <w:szCs w:val="21"/>
          <w:highlight w:val="none"/>
        </w:rPr>
        <w:br w:type="page"/>
      </w:r>
    </w:p>
    <w:p>
      <w:pPr>
        <w:tabs>
          <w:tab w:val="left" w:pos="360"/>
        </w:tabs>
        <w:spacing w:afterLines="100" w:line="360" w:lineRule="auto"/>
        <w:outlineLvl w:val="0"/>
        <w:rPr>
          <w:rFonts w:hint="default" w:ascii="宋体" w:hAnsi="宋体" w:eastAsia="宋体" w:cs="宋体"/>
          <w:sz w:val="24"/>
          <w:highlight w:val="none"/>
          <w:lang w:val="en-US" w:eastAsia="zh-CN"/>
        </w:rPr>
      </w:pPr>
      <w:bookmarkStart w:id="119" w:name="_Toc962"/>
      <w:bookmarkStart w:id="120" w:name="_Toc10676"/>
      <w:r>
        <w:rPr>
          <w:rFonts w:hint="eastAsia" w:ascii="宋体" w:hAnsi="宋体" w:eastAsia="宋体" w:cs="宋体"/>
          <w:sz w:val="24"/>
          <w:highlight w:val="none"/>
          <w:lang w:val="en-US" w:eastAsia="zh-CN"/>
        </w:rPr>
        <w:t>附件12</w:t>
      </w:r>
    </w:p>
    <w:p>
      <w:pPr>
        <w:tabs>
          <w:tab w:val="left" w:pos="360"/>
        </w:tabs>
        <w:spacing w:after="240" w:afterLines="100" w:line="360" w:lineRule="auto"/>
        <w:jc w:val="center"/>
        <w:rPr>
          <w:rFonts w:hint="eastAsia" w:asciiTheme="minorEastAsia" w:hAnsiTheme="minorEastAsia"/>
          <w:b/>
          <w:color w:val="auto"/>
          <w:highlight w:val="none"/>
          <w:lang w:eastAsia="zh-CN"/>
        </w:rPr>
      </w:pPr>
    </w:p>
    <w:p>
      <w:pPr>
        <w:spacing w:line="460" w:lineRule="exact"/>
        <w:jc w:val="center"/>
        <w:rPr>
          <w:rFonts w:hint="eastAsia" w:ascii="Times New Roman" w:hAnsi="Times New Roman" w:eastAsia="宋体" w:cs="Times New Roman"/>
          <w:b/>
          <w:color w:val="000000"/>
          <w:sz w:val="24"/>
          <w:szCs w:val="24"/>
          <w:highlight w:val="none"/>
        </w:rPr>
      </w:pPr>
      <w:r>
        <w:rPr>
          <w:rFonts w:hint="eastAsia" w:ascii="Times New Roman" w:hAnsi="Times New Roman" w:eastAsia="宋体" w:cs="Times New Roman"/>
          <w:b/>
          <w:color w:val="000000"/>
          <w:sz w:val="24"/>
          <w:szCs w:val="24"/>
          <w:highlight w:val="none"/>
        </w:rPr>
        <w:t>无重大违法记录声明</w:t>
      </w:r>
    </w:p>
    <w:p>
      <w:pPr>
        <w:jc w:val="center"/>
        <w:rPr>
          <w:rFonts w:ascii="宋体" w:hAnsi="宋体"/>
          <w:b/>
          <w:color w:val="000000"/>
          <w:sz w:val="24"/>
          <w:highlight w:val="none"/>
        </w:rPr>
      </w:pPr>
    </w:p>
    <w:p>
      <w:pPr>
        <w:spacing w:line="560" w:lineRule="exact"/>
        <w:ind w:firstLine="601"/>
        <w:rPr>
          <w:rFonts w:ascii="宋体" w:hAnsi="宋体"/>
          <w:color w:val="000000"/>
          <w:sz w:val="24"/>
          <w:highlight w:val="none"/>
        </w:rPr>
      </w:pPr>
      <w:r>
        <w:rPr>
          <w:rFonts w:hint="eastAsia" w:ascii="宋体" w:hAnsi="宋体"/>
          <w:color w:val="000000"/>
          <w:sz w:val="24"/>
          <w:highlight w:val="none"/>
        </w:rPr>
        <w:t>我单位现参加</w:t>
      </w:r>
      <w:r>
        <w:rPr>
          <w:rFonts w:hint="eastAsia" w:ascii="宋体" w:hAnsi="宋体"/>
          <w:color w:val="000000"/>
          <w:sz w:val="24"/>
          <w:highlight w:val="none"/>
          <w:u w:val="single"/>
        </w:rPr>
        <w:t xml:space="preserve">                          </w:t>
      </w:r>
      <w:r>
        <w:rPr>
          <w:rFonts w:hint="eastAsia" w:ascii="宋体" w:hAnsi="宋体"/>
          <w:color w:val="000000"/>
          <w:sz w:val="24"/>
          <w:highlight w:val="none"/>
        </w:rPr>
        <w:t>项目（项目编号：</w:t>
      </w:r>
      <w:r>
        <w:rPr>
          <w:rFonts w:hint="eastAsia" w:ascii="宋体" w:hAnsi="宋体"/>
          <w:color w:val="000000"/>
          <w:sz w:val="24"/>
          <w:highlight w:val="none"/>
          <w:u w:val="single"/>
        </w:rPr>
        <w:t xml:space="preserve">          </w:t>
      </w:r>
      <w:r>
        <w:rPr>
          <w:rFonts w:hint="eastAsia" w:ascii="宋体" w:hAnsi="宋体"/>
          <w:color w:val="000000"/>
          <w:sz w:val="24"/>
          <w:highlight w:val="none"/>
        </w:rPr>
        <w:t>），并作出如下承诺：</w:t>
      </w:r>
    </w:p>
    <w:p>
      <w:pPr>
        <w:spacing w:line="560" w:lineRule="exact"/>
        <w:ind w:firstLine="601"/>
        <w:rPr>
          <w:rFonts w:ascii="宋体" w:hAnsi="宋体"/>
          <w:color w:val="000000"/>
          <w:sz w:val="24"/>
          <w:highlight w:val="none"/>
        </w:rPr>
      </w:pPr>
      <w:r>
        <w:rPr>
          <w:rFonts w:hint="eastAsia" w:ascii="宋体" w:hAnsi="宋体"/>
          <w:color w:val="000000"/>
          <w:sz w:val="24"/>
          <w:highlight w:val="none"/>
        </w:rPr>
        <w:t>1.我单位不存在《</w:t>
      </w:r>
      <w:r>
        <w:rPr>
          <w:rFonts w:ascii="宋体" w:hAnsi="宋体"/>
          <w:color w:val="000000"/>
          <w:sz w:val="24"/>
          <w:highlight w:val="none"/>
        </w:rPr>
        <w:t>中华人民共和国政府采购法实施条例</w:t>
      </w:r>
      <w:r>
        <w:rPr>
          <w:rFonts w:hint="eastAsia" w:ascii="宋体" w:hAnsi="宋体"/>
          <w:color w:val="000000"/>
          <w:sz w:val="24"/>
          <w:highlight w:val="none"/>
        </w:rPr>
        <w:t>》(</w:t>
      </w:r>
      <w:r>
        <w:rPr>
          <w:rFonts w:ascii="宋体" w:hAnsi="宋体"/>
          <w:color w:val="000000"/>
          <w:sz w:val="24"/>
          <w:highlight w:val="none"/>
        </w:rPr>
        <w:t>国务院令第658号</w:t>
      </w:r>
      <w:r>
        <w:rPr>
          <w:rFonts w:hint="eastAsia" w:ascii="宋体" w:hAnsi="宋体"/>
          <w:color w:val="000000"/>
          <w:sz w:val="24"/>
          <w:highlight w:val="none"/>
        </w:rPr>
        <w:t>)第18条中“</w:t>
      </w:r>
      <w:r>
        <w:rPr>
          <w:rFonts w:ascii="宋体" w:hAnsi="宋体"/>
          <w:color w:val="000000"/>
          <w:sz w:val="24"/>
          <w:highlight w:val="none"/>
        </w:rPr>
        <w:t>单位负责人为同一人或者存在直接控股、管理关系的不同</w:t>
      </w:r>
      <w:r>
        <w:rPr>
          <w:rFonts w:hint="eastAsia" w:ascii="宋体" w:hAnsi="宋体"/>
          <w:color w:val="000000"/>
          <w:sz w:val="24"/>
          <w:highlight w:val="none"/>
          <w:lang w:eastAsia="zh-CN"/>
        </w:rPr>
        <w:t>投标人</w:t>
      </w:r>
      <w:r>
        <w:rPr>
          <w:rFonts w:ascii="宋体" w:hAnsi="宋体"/>
          <w:color w:val="000000"/>
          <w:sz w:val="24"/>
          <w:highlight w:val="none"/>
        </w:rPr>
        <w:t>，不得参加同一合同项下的政府采购活动。</w:t>
      </w:r>
      <w:r>
        <w:rPr>
          <w:rFonts w:hint="eastAsia" w:ascii="宋体" w:hAnsi="宋体"/>
          <w:color w:val="000000"/>
          <w:sz w:val="24"/>
          <w:highlight w:val="none"/>
        </w:rPr>
        <w:t>”的情形，如若出现以上情况，一经查实，视为无效</w:t>
      </w:r>
      <w:r>
        <w:rPr>
          <w:rFonts w:hint="eastAsia" w:ascii="宋体" w:hAnsi="宋体"/>
          <w:color w:val="000000"/>
          <w:sz w:val="24"/>
          <w:highlight w:val="none"/>
          <w:lang w:eastAsia="zh-CN"/>
        </w:rPr>
        <w:t>响应</w:t>
      </w:r>
      <w:r>
        <w:rPr>
          <w:rFonts w:hint="eastAsia" w:ascii="宋体" w:hAnsi="宋体"/>
          <w:color w:val="000000"/>
          <w:sz w:val="24"/>
          <w:highlight w:val="none"/>
        </w:rPr>
        <w:t>并接受相应处罚。</w:t>
      </w:r>
    </w:p>
    <w:p>
      <w:pPr>
        <w:spacing w:line="560" w:lineRule="exact"/>
        <w:ind w:firstLine="601"/>
        <w:rPr>
          <w:rFonts w:ascii="宋体" w:hAnsi="宋体"/>
          <w:color w:val="000000"/>
          <w:sz w:val="24"/>
          <w:highlight w:val="none"/>
        </w:rPr>
      </w:pPr>
      <w:r>
        <w:rPr>
          <w:rFonts w:hint="eastAsia" w:ascii="宋体" w:hAnsi="宋体"/>
          <w:color w:val="000000"/>
          <w:sz w:val="24"/>
          <w:highlight w:val="none"/>
        </w:rPr>
        <w:t>2.我单位在</w:t>
      </w:r>
      <w:r>
        <w:rPr>
          <w:rFonts w:hint="eastAsia" w:ascii="宋体" w:hAnsi="宋体"/>
          <w:color w:val="000000"/>
          <w:sz w:val="24"/>
          <w:highlight w:val="none"/>
          <w:lang w:eastAsia="zh-CN"/>
        </w:rPr>
        <w:t>投标</w:t>
      </w:r>
      <w:r>
        <w:rPr>
          <w:rFonts w:hint="eastAsia" w:ascii="宋体" w:hAnsi="宋体"/>
          <w:color w:val="000000"/>
          <w:sz w:val="24"/>
          <w:highlight w:val="none"/>
          <w:lang w:val="en-US" w:eastAsia="zh-CN"/>
        </w:rPr>
        <w:t>文件提交截止日</w:t>
      </w:r>
      <w:r>
        <w:rPr>
          <w:rFonts w:hint="eastAsia" w:ascii="宋体" w:hAnsi="宋体"/>
          <w:color w:val="000000"/>
          <w:sz w:val="24"/>
          <w:highlight w:val="none"/>
        </w:rPr>
        <w:t>前三年内，在经营活动中没有重大违法记录，同时在《天津市政府采购网》完成注册并通过审核成为合格</w:t>
      </w:r>
      <w:r>
        <w:rPr>
          <w:rFonts w:hint="eastAsia" w:ascii="宋体" w:hAnsi="宋体"/>
          <w:color w:val="000000"/>
          <w:sz w:val="24"/>
          <w:highlight w:val="none"/>
          <w:lang w:eastAsia="zh-CN"/>
        </w:rPr>
        <w:t>投标人。</w:t>
      </w:r>
    </w:p>
    <w:p>
      <w:pPr>
        <w:spacing w:line="560" w:lineRule="exact"/>
        <w:ind w:firstLine="601"/>
        <w:rPr>
          <w:rFonts w:ascii="宋体" w:hAnsi="宋体"/>
          <w:color w:val="000000"/>
          <w:sz w:val="24"/>
          <w:highlight w:val="none"/>
        </w:rPr>
      </w:pPr>
    </w:p>
    <w:p>
      <w:pPr>
        <w:spacing w:line="560" w:lineRule="exact"/>
        <w:ind w:firstLine="601"/>
        <w:rPr>
          <w:rFonts w:ascii="宋体" w:hAnsi="宋体"/>
          <w:color w:val="000000"/>
          <w:sz w:val="24"/>
          <w:highlight w:val="none"/>
        </w:rPr>
      </w:pPr>
      <w:r>
        <w:rPr>
          <w:rFonts w:hint="eastAsia" w:ascii="宋体" w:hAnsi="宋体"/>
          <w:color w:val="000000"/>
          <w:sz w:val="24"/>
          <w:highlight w:val="none"/>
        </w:rPr>
        <w:t>特此承诺。</w:t>
      </w:r>
    </w:p>
    <w:p>
      <w:pPr>
        <w:spacing w:line="560" w:lineRule="exact"/>
        <w:ind w:firstLine="601"/>
        <w:rPr>
          <w:rFonts w:ascii="宋体" w:hAnsi="宋体"/>
          <w:color w:val="000000"/>
          <w:sz w:val="24"/>
          <w:highlight w:val="none"/>
        </w:rPr>
      </w:pPr>
    </w:p>
    <w:p>
      <w:pPr>
        <w:spacing w:line="560" w:lineRule="exact"/>
        <w:ind w:firstLine="601"/>
        <w:rPr>
          <w:rFonts w:ascii="宋体" w:hAnsi="宋体"/>
          <w:color w:val="000000"/>
          <w:sz w:val="24"/>
          <w:highlight w:val="none"/>
        </w:rPr>
      </w:pPr>
      <w:r>
        <w:rPr>
          <w:rFonts w:hint="eastAsia" w:ascii="宋体" w:hAnsi="宋体"/>
          <w:color w:val="000000"/>
          <w:sz w:val="24"/>
          <w:highlight w:val="none"/>
        </w:rPr>
        <w:t xml:space="preserve">                  </w:t>
      </w:r>
    </w:p>
    <w:p>
      <w:pPr>
        <w:spacing w:line="560" w:lineRule="exact"/>
        <w:ind w:firstLine="601"/>
        <w:rPr>
          <w:rFonts w:ascii="宋体" w:hAnsi="宋体"/>
          <w:color w:val="000000"/>
          <w:sz w:val="24"/>
          <w:highlight w:val="none"/>
        </w:rPr>
      </w:pPr>
      <w:r>
        <w:rPr>
          <w:rFonts w:hint="eastAsia" w:ascii="宋体" w:hAnsi="宋体"/>
          <w:color w:val="000000"/>
          <w:sz w:val="24"/>
          <w:highlight w:val="none"/>
        </w:rPr>
        <w:t xml:space="preserve">                 </w:t>
      </w:r>
    </w:p>
    <w:p>
      <w:pPr>
        <w:spacing w:line="460" w:lineRule="exact"/>
        <w:jc w:val="center"/>
        <w:rPr>
          <w:color w:val="000000"/>
          <w:sz w:val="24"/>
          <w:highlight w:val="none"/>
        </w:rPr>
      </w:pPr>
      <w:r>
        <w:rPr>
          <w:rFonts w:hint="eastAsia"/>
          <w:color w:val="000000"/>
          <w:sz w:val="24"/>
          <w:highlight w:val="none"/>
          <w:lang w:val="en-US" w:eastAsia="zh-CN"/>
        </w:rPr>
        <w:t xml:space="preserve">                        </w:t>
      </w:r>
      <w:r>
        <w:rPr>
          <w:rFonts w:hint="eastAsia"/>
          <w:color w:val="000000"/>
          <w:sz w:val="24"/>
          <w:highlight w:val="none"/>
          <w:lang w:eastAsia="zh-CN"/>
        </w:rPr>
        <w:t>投标人</w:t>
      </w:r>
      <w:r>
        <w:rPr>
          <w:rFonts w:hint="eastAsia"/>
          <w:color w:val="000000"/>
          <w:sz w:val="24"/>
          <w:highlight w:val="none"/>
        </w:rPr>
        <w:t>代表签字：_______________</w:t>
      </w:r>
    </w:p>
    <w:p>
      <w:pPr>
        <w:spacing w:line="460" w:lineRule="exact"/>
        <w:jc w:val="right"/>
        <w:rPr>
          <w:color w:val="000000"/>
          <w:sz w:val="24"/>
          <w:highlight w:val="none"/>
        </w:rPr>
      </w:pPr>
    </w:p>
    <w:p>
      <w:pPr>
        <w:spacing w:line="460" w:lineRule="exact"/>
        <w:jc w:val="center"/>
        <w:rPr>
          <w:color w:val="000000"/>
          <w:sz w:val="24"/>
          <w:highlight w:val="none"/>
        </w:rPr>
      </w:pPr>
      <w:r>
        <w:rPr>
          <w:rFonts w:hint="eastAsia"/>
          <w:color w:val="000000"/>
          <w:sz w:val="24"/>
          <w:highlight w:val="none"/>
          <w:lang w:val="en-US" w:eastAsia="zh-CN"/>
        </w:rPr>
        <w:t xml:space="preserve">                        </w:t>
      </w:r>
      <w:r>
        <w:rPr>
          <w:rFonts w:hint="eastAsia"/>
          <w:color w:val="000000"/>
          <w:sz w:val="24"/>
          <w:highlight w:val="none"/>
        </w:rPr>
        <w:t>职务：_________日期：__________</w:t>
      </w:r>
    </w:p>
    <w:p>
      <w:pPr>
        <w:spacing w:line="460" w:lineRule="exact"/>
        <w:jc w:val="right"/>
        <w:rPr>
          <w:color w:val="000000"/>
          <w:sz w:val="24"/>
          <w:highlight w:val="none"/>
        </w:rPr>
      </w:pPr>
    </w:p>
    <w:p>
      <w:pPr>
        <w:spacing w:line="460" w:lineRule="exact"/>
        <w:jc w:val="center"/>
        <w:rPr>
          <w:color w:val="000000"/>
          <w:sz w:val="24"/>
          <w:highlight w:val="none"/>
        </w:rPr>
      </w:pPr>
      <w:r>
        <w:rPr>
          <w:rFonts w:hint="eastAsia"/>
          <w:color w:val="000000"/>
          <w:sz w:val="24"/>
          <w:highlight w:val="none"/>
          <w:lang w:val="en-US" w:eastAsia="zh-CN"/>
        </w:rPr>
        <w:t xml:space="preserve">                         </w:t>
      </w:r>
      <w:r>
        <w:rPr>
          <w:rFonts w:hint="eastAsia"/>
          <w:color w:val="000000"/>
          <w:sz w:val="24"/>
          <w:highlight w:val="none"/>
          <w:lang w:eastAsia="zh-CN"/>
        </w:rPr>
        <w:t>投标人</w:t>
      </w:r>
      <w:r>
        <w:rPr>
          <w:rFonts w:hint="eastAsia"/>
          <w:color w:val="000000"/>
          <w:sz w:val="24"/>
          <w:highlight w:val="none"/>
        </w:rPr>
        <w:t>名称（公章）：_____________</w:t>
      </w:r>
    </w:p>
    <w:p>
      <w:pPr>
        <w:autoSpaceDN w:val="0"/>
        <w:spacing w:line="360" w:lineRule="auto"/>
        <w:outlineLvl w:val="0"/>
        <w:rPr>
          <w:rFonts w:hint="eastAsia" w:ascii="宋体" w:hAnsi="宋体" w:eastAsia="宋体" w:cs="宋体"/>
          <w:bCs/>
          <w:sz w:val="24"/>
          <w:highlight w:val="none"/>
        </w:rPr>
      </w:pPr>
    </w:p>
    <w:p>
      <w:pPr>
        <w:autoSpaceDN w:val="0"/>
        <w:spacing w:line="360" w:lineRule="auto"/>
        <w:outlineLvl w:val="0"/>
        <w:rPr>
          <w:rFonts w:hint="eastAsia" w:ascii="宋体" w:hAnsi="宋体" w:eastAsia="宋体" w:cs="宋体"/>
          <w:bCs/>
          <w:sz w:val="24"/>
          <w:highlight w:val="none"/>
        </w:rPr>
      </w:pPr>
    </w:p>
    <w:p>
      <w:pPr>
        <w:autoSpaceDN w:val="0"/>
        <w:spacing w:line="360" w:lineRule="auto"/>
        <w:outlineLvl w:val="0"/>
        <w:rPr>
          <w:rFonts w:hint="eastAsia" w:ascii="宋体" w:hAnsi="宋体" w:eastAsia="宋体" w:cs="宋体"/>
          <w:bCs/>
          <w:sz w:val="24"/>
          <w:highlight w:val="none"/>
        </w:rPr>
      </w:pPr>
    </w:p>
    <w:p>
      <w:pPr>
        <w:autoSpaceDN w:val="0"/>
        <w:spacing w:line="360" w:lineRule="auto"/>
        <w:outlineLvl w:val="0"/>
        <w:rPr>
          <w:rFonts w:hint="eastAsia" w:ascii="宋体" w:hAnsi="宋体" w:eastAsia="宋体" w:cs="宋体"/>
          <w:bCs/>
          <w:sz w:val="24"/>
          <w:highlight w:val="none"/>
        </w:rPr>
      </w:pPr>
    </w:p>
    <w:p>
      <w:pPr>
        <w:autoSpaceDN w:val="0"/>
        <w:spacing w:line="360" w:lineRule="auto"/>
        <w:outlineLvl w:val="0"/>
        <w:rPr>
          <w:rFonts w:hint="eastAsia" w:ascii="宋体" w:hAnsi="宋体" w:eastAsia="宋体" w:cs="宋体"/>
          <w:bCs/>
          <w:sz w:val="24"/>
          <w:highlight w:val="none"/>
        </w:rPr>
      </w:pPr>
    </w:p>
    <w:p>
      <w:pPr>
        <w:autoSpaceDN w:val="0"/>
        <w:spacing w:line="360" w:lineRule="auto"/>
        <w:outlineLvl w:val="0"/>
        <w:rPr>
          <w:rFonts w:hint="eastAsia" w:ascii="宋体" w:hAnsi="宋体" w:eastAsia="宋体" w:cs="宋体"/>
          <w:bCs/>
          <w:sz w:val="24"/>
          <w:highlight w:val="none"/>
        </w:rPr>
      </w:pPr>
    </w:p>
    <w:p>
      <w:pPr>
        <w:tabs>
          <w:tab w:val="left" w:pos="360"/>
        </w:tabs>
        <w:spacing w:afterLines="100" w:line="360" w:lineRule="auto"/>
        <w:outlineLvl w:val="0"/>
        <w:rPr>
          <w:rFonts w:hint="default" w:ascii="宋体" w:hAnsi="宋体" w:eastAsia="宋体" w:cs="宋体"/>
          <w:sz w:val="24"/>
          <w:highlight w:val="none"/>
          <w:lang w:val="en-US" w:eastAsia="zh-CN"/>
        </w:rPr>
      </w:pPr>
      <w:r>
        <w:rPr>
          <w:rFonts w:hint="eastAsia" w:ascii="宋体" w:hAnsi="宋体" w:eastAsia="宋体" w:cs="宋体"/>
          <w:sz w:val="24"/>
          <w:highlight w:val="none"/>
          <w:lang w:val="zh-TW" w:eastAsia="zh-TW"/>
        </w:rPr>
        <w:t>附件</w:t>
      </w:r>
      <w:r>
        <w:rPr>
          <w:rFonts w:hint="eastAsia" w:ascii="宋体" w:hAnsi="宋体" w:eastAsia="宋体" w:cs="宋体"/>
          <w:sz w:val="24"/>
          <w:highlight w:val="none"/>
          <w:lang w:val="en-US" w:eastAsia="zh-CN"/>
        </w:rPr>
        <w:t>13</w:t>
      </w:r>
    </w:p>
    <w:p>
      <w:pPr>
        <w:pStyle w:val="65"/>
        <w:ind w:left="0" w:leftChars="0" w:firstLine="0" w:firstLineChars="0"/>
        <w:jc w:val="center"/>
        <w:outlineLvl w:val="0"/>
        <w:rPr>
          <w:rFonts w:cs="宋体" w:asciiTheme="minorEastAsia" w:hAnsiTheme="minorEastAsia" w:eastAsiaTheme="minorEastAsia"/>
          <w:b/>
          <w:bCs/>
          <w:color w:val="auto"/>
          <w:highlight w:val="none"/>
          <w:lang w:val="zh-TW" w:eastAsia="zh-TW"/>
        </w:rPr>
      </w:pPr>
      <w:bookmarkStart w:id="121" w:name="_Toc30274"/>
      <w:bookmarkStart w:id="122" w:name="_Toc6415"/>
      <w:r>
        <w:rPr>
          <w:rFonts w:cs="宋体" w:asciiTheme="minorEastAsia" w:hAnsiTheme="minorEastAsia" w:eastAsiaTheme="minorEastAsia"/>
          <w:b/>
          <w:bCs/>
          <w:color w:val="auto"/>
          <w:highlight w:val="none"/>
          <w:lang w:val="zh-TW" w:eastAsia="zh-TW"/>
        </w:rPr>
        <w:t>真诚投标承诺书</w:t>
      </w:r>
      <w:bookmarkEnd w:id="121"/>
      <w:bookmarkEnd w:id="122"/>
    </w:p>
    <w:p>
      <w:pPr>
        <w:pStyle w:val="65"/>
        <w:ind w:left="0" w:leftChars="0" w:firstLine="0" w:firstLineChars="0"/>
        <w:jc w:val="center"/>
        <w:rPr>
          <w:rFonts w:cs="宋体" w:asciiTheme="minorEastAsia" w:hAnsiTheme="minorEastAsia" w:eastAsiaTheme="minorEastAsia"/>
          <w:b/>
          <w:bCs/>
          <w:color w:val="auto"/>
          <w:highlight w:val="none"/>
          <w:lang w:val="zh-TW" w:eastAsia="zh-TW"/>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致：</w:t>
      </w:r>
      <w:r>
        <w:rPr>
          <w:rFonts w:hint="eastAsia" w:ascii="宋体" w:hAnsi="宋体" w:eastAsia="宋体" w:cs="宋体"/>
          <w:sz w:val="24"/>
          <w:szCs w:val="24"/>
          <w:highlight w:val="none"/>
          <w:lang w:val="en-US" w:eastAsia="zh-CN"/>
        </w:rPr>
        <w:t>天津市东丽区市场监督管理局</w:t>
      </w:r>
    </w:p>
    <w:p>
      <w:pPr>
        <w:pStyle w:val="65"/>
        <w:ind w:firstLine="480" w:firstLineChars="200"/>
        <w:jc w:val="left"/>
        <w:rPr>
          <w:rFonts w:cs="宋体" w:asciiTheme="minorEastAsia" w:hAnsiTheme="minorEastAsia" w:eastAsiaTheme="minorEastAsia"/>
          <w:color w:val="auto"/>
          <w:highlight w:val="none"/>
          <w:lang w:val="zh-TW" w:eastAsia="zh-TW"/>
        </w:rPr>
      </w:pPr>
      <w:r>
        <w:rPr>
          <w:rFonts w:hint="eastAsia" w:ascii="宋体" w:hAnsi="宋体" w:eastAsia="宋体" w:cs="宋体"/>
          <w:sz w:val="24"/>
          <w:szCs w:val="21"/>
          <w:highlight w:val="none"/>
          <w:lang w:eastAsia="zh-CN"/>
        </w:rPr>
        <w:t>中易（天津）工程咨询有限公司</w:t>
      </w:r>
    </w:p>
    <w:p>
      <w:pPr>
        <w:pStyle w:val="65"/>
        <w:ind w:firstLine="480"/>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本投标人愿意参与</w:t>
      </w:r>
      <w:r>
        <w:rPr>
          <w:rStyle w:val="66"/>
          <w:rFonts w:asciiTheme="minorEastAsia" w:hAnsiTheme="minorEastAsia" w:eastAsiaTheme="minorEastAsia"/>
          <w:color w:val="auto"/>
          <w:highlight w:val="none"/>
        </w:rPr>
        <w:t>“</w:t>
      </w:r>
      <w:r>
        <w:rPr>
          <w:rStyle w:val="66"/>
          <w:rFonts w:hint="eastAsia" w:asciiTheme="minorEastAsia" w:hAnsiTheme="minorEastAsia" w:eastAsiaTheme="minorEastAsia"/>
          <w:color w:val="auto"/>
          <w:highlight w:val="none"/>
          <w:lang w:val="en-US" w:eastAsia="zh-CN"/>
        </w:rPr>
        <w:t xml:space="preserve"> </w:t>
      </w:r>
      <w:r>
        <w:rPr>
          <w:rStyle w:val="66"/>
          <w:rFonts w:hint="eastAsia" w:asciiTheme="minorEastAsia" w:hAnsiTheme="minorEastAsia" w:eastAsiaTheme="minorEastAsia"/>
          <w:color w:val="auto"/>
          <w:highlight w:val="none"/>
          <w:u w:val="single" w:color="auto"/>
          <w:lang w:val="en-US" w:eastAsia="zh-CN"/>
        </w:rPr>
        <w:t xml:space="preserve">          </w:t>
      </w:r>
      <w:r>
        <w:rPr>
          <w:rFonts w:cs="宋体" w:asciiTheme="minorEastAsia" w:hAnsiTheme="minorEastAsia" w:eastAsiaTheme="minorEastAsia"/>
          <w:color w:val="auto"/>
          <w:highlight w:val="none"/>
          <w:lang w:val="zh-TW" w:eastAsia="zh-TW"/>
        </w:rPr>
        <w:t>项目（</w:t>
      </w:r>
      <w:r>
        <w:rPr>
          <w:rFonts w:hint="eastAsia" w:cs="宋体" w:asciiTheme="minorEastAsia" w:hAnsiTheme="minorEastAsia" w:eastAsiaTheme="minorEastAsia"/>
          <w:color w:val="auto"/>
          <w:highlight w:val="none"/>
          <w:lang w:val="en-US" w:eastAsia="zh-CN"/>
        </w:rPr>
        <w:t>项目编号：</w:t>
      </w:r>
      <w:r>
        <w:rPr>
          <w:rFonts w:hint="eastAsia" w:cs="宋体" w:asciiTheme="minorEastAsia" w:hAnsiTheme="minorEastAsia" w:eastAsiaTheme="minorEastAsia"/>
          <w:color w:val="auto"/>
          <w:highlight w:val="none"/>
          <w:u w:val="single" w:color="auto"/>
          <w:lang w:val="en-US" w:eastAsia="zh-CN"/>
        </w:rPr>
        <w:t xml:space="preserve">            </w:t>
      </w:r>
      <w:r>
        <w:rPr>
          <w:rFonts w:cs="宋体" w:asciiTheme="minorEastAsia" w:hAnsiTheme="minorEastAsia" w:eastAsiaTheme="minorEastAsia"/>
          <w:color w:val="auto"/>
          <w:highlight w:val="none"/>
          <w:lang w:val="zh-TW" w:eastAsia="zh-TW"/>
        </w:rPr>
        <w:t>）</w:t>
      </w:r>
      <w:r>
        <w:rPr>
          <w:rStyle w:val="66"/>
          <w:rFonts w:asciiTheme="minorEastAsia" w:hAnsiTheme="minorEastAsia" w:eastAsiaTheme="minorEastAsia"/>
          <w:color w:val="auto"/>
          <w:highlight w:val="none"/>
        </w:rPr>
        <w:t>”</w:t>
      </w:r>
      <w:r>
        <w:rPr>
          <w:rFonts w:cs="宋体" w:asciiTheme="minorEastAsia" w:hAnsiTheme="minorEastAsia" w:eastAsiaTheme="minorEastAsia"/>
          <w:color w:val="auto"/>
          <w:highlight w:val="none"/>
          <w:lang w:val="zh-TW" w:eastAsia="zh-TW"/>
        </w:rPr>
        <w:t>的投标，并作出如下承诺：</w:t>
      </w:r>
    </w:p>
    <w:p>
      <w:pPr>
        <w:pStyle w:val="65"/>
        <w:ind w:firstLine="480"/>
        <w:rPr>
          <w:rFonts w:cs="宋体" w:asciiTheme="minorEastAsia" w:hAnsiTheme="minorEastAsia" w:eastAsiaTheme="minorEastAsia"/>
          <w:color w:val="auto"/>
          <w:highlight w:val="none"/>
        </w:rPr>
      </w:pPr>
      <w:r>
        <w:rPr>
          <w:rStyle w:val="66"/>
          <w:rFonts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未与其它任何公司</w:t>
      </w:r>
      <w:r>
        <w:rPr>
          <w:rFonts w:hint="eastAsia" w:cs="宋体" w:asciiTheme="minorEastAsia" w:hAnsiTheme="minorEastAsia" w:eastAsiaTheme="minorEastAsia"/>
          <w:color w:val="auto"/>
          <w:highlight w:val="none"/>
          <w:lang w:val="en-US" w:eastAsia="zh-CN"/>
        </w:rPr>
        <w:t>/</w:t>
      </w:r>
      <w:r>
        <w:rPr>
          <w:rFonts w:cs="宋体" w:asciiTheme="minorEastAsia" w:hAnsiTheme="minorEastAsia" w:eastAsiaTheme="minorEastAsia"/>
          <w:color w:val="auto"/>
          <w:highlight w:val="none"/>
          <w:lang w:val="zh-TW" w:eastAsia="zh-TW"/>
        </w:rPr>
        <w:t>个人达成固定价格的协议。</w:t>
      </w:r>
    </w:p>
    <w:p>
      <w:pPr>
        <w:pStyle w:val="65"/>
        <w:ind w:firstLine="480"/>
        <w:rPr>
          <w:rFonts w:cs="宋体" w:asciiTheme="minorEastAsia" w:hAnsiTheme="minorEastAsia" w:eastAsiaTheme="minorEastAsia"/>
          <w:color w:val="auto"/>
          <w:highlight w:val="none"/>
        </w:rPr>
      </w:pPr>
      <w:r>
        <w:rPr>
          <w:rStyle w:val="66"/>
          <w:rFonts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在投标撤回之前，不做以下任何事项：</w:t>
      </w:r>
    </w:p>
    <w:p>
      <w:pPr>
        <w:pStyle w:val="65"/>
        <w:ind w:firstLine="480"/>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Style w:val="66"/>
          <w:rFonts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）向采购人以外的人员泄漏投标情况；</w:t>
      </w:r>
    </w:p>
    <w:p>
      <w:pPr>
        <w:pStyle w:val="65"/>
        <w:ind w:firstLine="480"/>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Style w:val="66"/>
          <w:rFonts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）与其他参与本次投标的人达成可能限制竞争的协议；</w:t>
      </w:r>
    </w:p>
    <w:p>
      <w:pPr>
        <w:pStyle w:val="65"/>
        <w:ind w:firstLine="480"/>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Style w:val="66"/>
          <w:rFonts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）为影响投标而向有关</w:t>
      </w:r>
      <w:r>
        <w:rPr>
          <w:rFonts w:hint="eastAsia" w:cs="宋体" w:asciiTheme="minorEastAsia" w:hAnsiTheme="minorEastAsia" w:eastAsiaTheme="minorEastAsia"/>
          <w:color w:val="auto"/>
          <w:highlight w:val="none"/>
          <w:lang w:val="zh-TW" w:eastAsia="zh-CN"/>
        </w:rPr>
        <w:t>招标</w:t>
      </w:r>
      <w:r>
        <w:rPr>
          <w:rFonts w:cs="宋体" w:asciiTheme="minorEastAsia" w:hAnsiTheme="minorEastAsia" w:eastAsiaTheme="minorEastAsia"/>
          <w:color w:val="auto"/>
          <w:highlight w:val="none"/>
          <w:lang w:val="zh-TW" w:eastAsia="zh-TW"/>
        </w:rPr>
        <w:t>当事者提供金钱、物质及服务；</w:t>
      </w:r>
    </w:p>
    <w:p>
      <w:pPr>
        <w:pStyle w:val="65"/>
        <w:ind w:firstLine="480"/>
        <w:rPr>
          <w:rFonts w:cs="宋体" w:asciiTheme="minorEastAsia" w:hAnsiTheme="minorEastAsia" w:eastAsiaTheme="minorEastAsia"/>
          <w:color w:val="auto"/>
          <w:highlight w:val="none"/>
        </w:rPr>
      </w:pPr>
      <w:r>
        <w:rPr>
          <w:rStyle w:val="66"/>
          <w:rFonts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保证所投产品来自合法的供货渠道，若中标，则有义务向采购人提供其需要的有效书面证明材料。如果提供非法渠道的商品，视为欺诈，根据《中华人民共和国消费者权益保护法》承担商品价值双倍的赔偿；同时承担采购人依据现行的国家法律法规追究的其他责任。</w:t>
      </w:r>
    </w:p>
    <w:p>
      <w:pPr>
        <w:pStyle w:val="65"/>
        <w:ind w:firstLine="480" w:firstLineChars="200"/>
        <w:rPr>
          <w:rFonts w:cs="宋体" w:asciiTheme="minorEastAsia" w:hAnsiTheme="minorEastAsia" w:eastAsiaTheme="minorEastAsia"/>
          <w:color w:val="auto"/>
          <w:highlight w:val="none"/>
        </w:rPr>
      </w:pPr>
      <w:r>
        <w:rPr>
          <w:rStyle w:val="66"/>
          <w:rFonts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保证递交的投标文件不提供虚假材料，否则接受政府采购法第七十七条规定的处罚，列入不良行为记录名单，一至三年内禁止参加政府采购活动。以下材料或情形之一不实的均视为提供虚假材料：</w:t>
      </w:r>
    </w:p>
    <w:p>
      <w:pPr>
        <w:pStyle w:val="65"/>
        <w:ind w:firstLine="480"/>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Style w:val="66"/>
          <w:rFonts w:asciiTheme="minorEastAsia" w:hAnsiTheme="minorEastAsia" w:eastAsiaTheme="minorEastAsia"/>
          <w:color w:val="auto"/>
          <w:highlight w:val="none"/>
        </w:rPr>
        <w:t>1</w:t>
      </w:r>
      <w:r>
        <w:rPr>
          <w:rFonts w:cs="宋体" w:asciiTheme="minorEastAsia" w:hAnsiTheme="minorEastAsia" w:eastAsiaTheme="minorEastAsia"/>
          <w:color w:val="auto"/>
          <w:highlight w:val="none"/>
          <w:lang w:val="zh-TW" w:eastAsia="zh-TW"/>
        </w:rPr>
        <w:t>）投标价格；（</w:t>
      </w:r>
      <w:r>
        <w:rPr>
          <w:rStyle w:val="66"/>
          <w:rFonts w:asciiTheme="minorEastAsia" w:hAnsiTheme="minorEastAsia" w:eastAsiaTheme="minorEastAsia"/>
          <w:color w:val="auto"/>
          <w:highlight w:val="none"/>
        </w:rPr>
        <w:t>2</w:t>
      </w:r>
      <w:r>
        <w:rPr>
          <w:rFonts w:cs="宋体" w:asciiTheme="minorEastAsia" w:hAnsiTheme="minorEastAsia" w:eastAsiaTheme="minorEastAsia"/>
          <w:color w:val="auto"/>
          <w:highlight w:val="none"/>
          <w:lang w:val="zh-TW" w:eastAsia="zh-TW"/>
        </w:rPr>
        <w:t>）交货期；（</w:t>
      </w:r>
      <w:r>
        <w:rPr>
          <w:rStyle w:val="66"/>
          <w:rFonts w:asciiTheme="minorEastAsia" w:hAnsiTheme="minorEastAsia" w:eastAsiaTheme="minorEastAsia"/>
          <w:color w:val="auto"/>
          <w:highlight w:val="none"/>
        </w:rPr>
        <w:t>3</w:t>
      </w:r>
      <w:r>
        <w:rPr>
          <w:rFonts w:cs="宋体" w:asciiTheme="minorEastAsia" w:hAnsiTheme="minorEastAsia" w:eastAsiaTheme="minorEastAsia"/>
          <w:color w:val="auto"/>
          <w:highlight w:val="none"/>
          <w:lang w:val="zh-TW" w:eastAsia="zh-TW"/>
        </w:rPr>
        <w:t>）业绩；（</w:t>
      </w:r>
      <w:r>
        <w:rPr>
          <w:rStyle w:val="66"/>
          <w:rFonts w:asciiTheme="minorEastAsia" w:hAnsiTheme="minorEastAsia" w:eastAsiaTheme="minorEastAsia"/>
          <w:color w:val="auto"/>
          <w:highlight w:val="none"/>
        </w:rPr>
        <w:t>4</w:t>
      </w:r>
      <w:r>
        <w:rPr>
          <w:rFonts w:cs="宋体" w:asciiTheme="minorEastAsia" w:hAnsiTheme="minorEastAsia" w:eastAsiaTheme="minorEastAsia"/>
          <w:color w:val="auto"/>
          <w:highlight w:val="none"/>
          <w:lang w:val="zh-TW" w:eastAsia="zh-TW"/>
        </w:rPr>
        <w:t>）资质文件；</w:t>
      </w:r>
    </w:p>
    <w:p>
      <w:pPr>
        <w:pStyle w:val="65"/>
        <w:ind w:firstLine="480"/>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w:t>
      </w:r>
      <w:r>
        <w:rPr>
          <w:rStyle w:val="66"/>
          <w:rFonts w:asciiTheme="minorEastAsia" w:hAnsiTheme="minorEastAsia" w:eastAsiaTheme="minorEastAsia"/>
          <w:color w:val="auto"/>
          <w:highlight w:val="none"/>
        </w:rPr>
        <w:t>5</w:t>
      </w:r>
      <w:r>
        <w:rPr>
          <w:rFonts w:cs="宋体" w:asciiTheme="minorEastAsia" w:hAnsiTheme="minorEastAsia" w:eastAsiaTheme="minorEastAsia"/>
          <w:color w:val="auto"/>
          <w:highlight w:val="none"/>
          <w:lang w:val="zh-TW" w:eastAsia="zh-TW"/>
        </w:rPr>
        <w:t>）技术响应；（</w:t>
      </w:r>
      <w:r>
        <w:rPr>
          <w:rStyle w:val="66"/>
          <w:rFonts w:asciiTheme="minorEastAsia" w:hAnsiTheme="minorEastAsia" w:eastAsiaTheme="minorEastAsia"/>
          <w:color w:val="auto"/>
          <w:highlight w:val="none"/>
        </w:rPr>
        <w:t>6</w:t>
      </w:r>
      <w:r>
        <w:rPr>
          <w:rFonts w:cs="宋体" w:asciiTheme="minorEastAsia" w:hAnsiTheme="minorEastAsia" w:eastAsiaTheme="minorEastAsia"/>
          <w:color w:val="auto"/>
          <w:highlight w:val="none"/>
          <w:lang w:val="zh-TW" w:eastAsia="zh-TW"/>
        </w:rPr>
        <w:t>）服务及履约情况；</w:t>
      </w:r>
    </w:p>
    <w:p>
      <w:pPr>
        <w:pStyle w:val="65"/>
        <w:ind w:firstLine="480"/>
        <w:rPr>
          <w:rFonts w:cs="宋体" w:asciiTheme="minorEastAsia" w:hAnsiTheme="minorEastAsia" w:eastAsiaTheme="minorEastAsia"/>
          <w:color w:val="auto"/>
          <w:highlight w:val="none"/>
          <w:lang w:val="zh-TW" w:eastAsia="zh-TW"/>
        </w:rPr>
      </w:pPr>
      <w:r>
        <w:rPr>
          <w:rFonts w:cs="宋体" w:asciiTheme="minorEastAsia" w:hAnsiTheme="minorEastAsia" w:eastAsiaTheme="minorEastAsia"/>
          <w:color w:val="auto"/>
          <w:highlight w:val="none"/>
          <w:lang w:val="zh-TW" w:eastAsia="zh-TW"/>
        </w:rPr>
        <w:t>特此承诺。</w:t>
      </w:r>
    </w:p>
    <w:p>
      <w:pPr>
        <w:pStyle w:val="65"/>
        <w:ind w:firstLine="480"/>
        <w:rPr>
          <w:rFonts w:cs="宋体" w:asciiTheme="minorEastAsia" w:hAnsiTheme="minorEastAsia" w:eastAsiaTheme="minorEastAsia"/>
          <w:color w:val="auto"/>
          <w:highlight w:val="none"/>
          <w:lang w:val="zh-TW" w:eastAsia="zh-TW"/>
        </w:rPr>
      </w:pPr>
    </w:p>
    <w:p>
      <w:pPr>
        <w:pStyle w:val="65"/>
        <w:ind w:left="0" w:leftChars="0" w:firstLine="0" w:firstLineChars="0"/>
        <w:rPr>
          <w:rFonts w:cs="宋体" w:asciiTheme="minorEastAsia" w:hAnsiTheme="minorEastAsia" w:eastAsiaTheme="minorEastAsia"/>
          <w:color w:val="auto"/>
          <w:highlight w:val="none"/>
          <w:lang w:val="zh-TW" w:eastAsia="zh-TW"/>
        </w:rPr>
      </w:pPr>
    </w:p>
    <w:p>
      <w:pPr>
        <w:pStyle w:val="65"/>
        <w:ind w:firstLine="4044" w:firstLineChars="1685"/>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投标人代表签字：</w:t>
      </w:r>
      <w:r>
        <w:rPr>
          <w:rStyle w:val="66"/>
          <w:rFonts w:asciiTheme="minorEastAsia" w:hAnsiTheme="minorEastAsia" w:eastAsiaTheme="minorEastAsia"/>
          <w:color w:val="auto"/>
          <w:highlight w:val="none"/>
        </w:rPr>
        <w:t>_______________</w:t>
      </w:r>
    </w:p>
    <w:p>
      <w:pPr>
        <w:pStyle w:val="65"/>
        <w:ind w:firstLine="4080" w:firstLineChars="1700"/>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职务：</w:t>
      </w:r>
      <w:r>
        <w:rPr>
          <w:rStyle w:val="66"/>
          <w:rFonts w:asciiTheme="minorEastAsia" w:hAnsiTheme="minorEastAsia" w:eastAsiaTheme="minorEastAsia"/>
          <w:color w:val="auto"/>
          <w:highlight w:val="none"/>
        </w:rPr>
        <w:t>_________</w:t>
      </w:r>
      <w:r>
        <w:rPr>
          <w:rFonts w:cs="宋体" w:asciiTheme="minorEastAsia" w:hAnsiTheme="minorEastAsia" w:eastAsiaTheme="minorEastAsia"/>
          <w:color w:val="auto"/>
          <w:highlight w:val="none"/>
          <w:lang w:val="zh-TW" w:eastAsia="zh-TW"/>
        </w:rPr>
        <w:t>日期：</w:t>
      </w:r>
      <w:r>
        <w:rPr>
          <w:rStyle w:val="66"/>
          <w:rFonts w:asciiTheme="minorEastAsia" w:hAnsiTheme="minorEastAsia" w:eastAsiaTheme="minorEastAsia"/>
          <w:color w:val="auto"/>
          <w:highlight w:val="none"/>
        </w:rPr>
        <w:t>__________</w:t>
      </w:r>
    </w:p>
    <w:p>
      <w:pPr>
        <w:pStyle w:val="65"/>
        <w:ind w:firstLine="4080" w:firstLineChars="1700"/>
        <w:rPr>
          <w:rFonts w:cs="宋体" w:asciiTheme="minorEastAsia" w:hAnsiTheme="minorEastAsia" w:eastAsiaTheme="minorEastAsia"/>
          <w:color w:val="auto"/>
          <w:highlight w:val="none"/>
        </w:rPr>
      </w:pPr>
      <w:r>
        <w:rPr>
          <w:rFonts w:cs="宋体" w:asciiTheme="minorEastAsia" w:hAnsiTheme="minorEastAsia" w:eastAsiaTheme="minorEastAsia"/>
          <w:color w:val="auto"/>
          <w:highlight w:val="none"/>
          <w:lang w:val="zh-TW" w:eastAsia="zh-TW"/>
        </w:rPr>
        <w:t>投标人名称（公章）：</w:t>
      </w:r>
      <w:r>
        <w:rPr>
          <w:rStyle w:val="66"/>
          <w:rFonts w:asciiTheme="minorEastAsia" w:hAnsiTheme="minorEastAsia" w:eastAsiaTheme="minorEastAsia"/>
          <w:color w:val="auto"/>
          <w:highlight w:val="none"/>
        </w:rPr>
        <w:t>____________</w:t>
      </w:r>
    </w:p>
    <w:p>
      <w:pPr>
        <w:pStyle w:val="65"/>
        <w:rPr>
          <w:rFonts w:cs="宋体" w:asciiTheme="minorEastAsia" w:hAnsiTheme="minorEastAsia" w:eastAsiaTheme="minorEastAsia"/>
          <w:b/>
          <w:bCs/>
          <w:color w:val="auto"/>
          <w:kern w:val="0"/>
          <w:highlight w:val="none"/>
        </w:rPr>
      </w:pPr>
    </w:p>
    <w:p>
      <w:pPr>
        <w:rPr>
          <w:rFonts w:cs="宋体" w:asciiTheme="minorEastAsia" w:hAnsiTheme="minorEastAsia" w:eastAsiaTheme="minorEastAsia"/>
          <w:b/>
          <w:bCs/>
          <w:color w:val="auto"/>
          <w:kern w:val="0"/>
          <w:highlight w:val="none"/>
        </w:rPr>
      </w:pPr>
      <w:r>
        <w:rPr>
          <w:rFonts w:cs="宋体" w:asciiTheme="minorEastAsia" w:hAnsiTheme="minorEastAsia" w:eastAsiaTheme="minorEastAsia"/>
          <w:b/>
          <w:bCs/>
          <w:color w:val="auto"/>
          <w:kern w:val="0"/>
          <w:highlight w:val="none"/>
        </w:rPr>
        <w:br w:type="page"/>
      </w:r>
    </w:p>
    <w:p>
      <w:pPr>
        <w:autoSpaceDN w:val="0"/>
        <w:spacing w:line="360" w:lineRule="auto"/>
        <w:outlineLvl w:val="0"/>
        <w:rPr>
          <w:rFonts w:hint="default" w:ascii="宋体" w:hAnsi="宋体" w:eastAsia="宋体" w:cs="宋体"/>
          <w:bCs/>
          <w:sz w:val="24"/>
          <w:highlight w:val="none"/>
          <w:lang w:val="en-US" w:eastAsia="zh-CN"/>
        </w:rPr>
      </w:pPr>
      <w:r>
        <w:rPr>
          <w:rFonts w:hint="eastAsia" w:ascii="宋体" w:hAnsi="宋体" w:eastAsia="宋体" w:cs="宋体"/>
          <w:bCs/>
          <w:sz w:val="24"/>
          <w:highlight w:val="none"/>
        </w:rPr>
        <w:t>附件</w:t>
      </w:r>
      <w:bookmarkEnd w:id="119"/>
      <w:bookmarkEnd w:id="120"/>
      <w:r>
        <w:rPr>
          <w:rFonts w:hint="eastAsia" w:ascii="宋体" w:hAnsi="宋体" w:cs="宋体"/>
          <w:bCs/>
          <w:sz w:val="24"/>
          <w:highlight w:val="none"/>
          <w:lang w:val="en-US" w:eastAsia="zh-CN"/>
        </w:rPr>
        <w:t>14</w:t>
      </w:r>
    </w:p>
    <w:p>
      <w:pPr>
        <w:autoSpaceDN w:val="0"/>
        <w:spacing w:line="360" w:lineRule="auto"/>
        <w:jc w:val="center"/>
        <w:rPr>
          <w:rFonts w:hint="eastAsia" w:ascii="宋体" w:hAnsi="宋体" w:eastAsia="宋体" w:cs="宋体"/>
          <w:b/>
          <w:bCs/>
          <w:sz w:val="24"/>
          <w:highlight w:val="none"/>
        </w:rPr>
      </w:pPr>
      <w:r>
        <w:rPr>
          <w:rFonts w:hint="eastAsia" w:ascii="宋体" w:hAnsi="宋体" w:eastAsia="宋体" w:cs="宋体"/>
          <w:b/>
          <w:kern w:val="0"/>
          <w:sz w:val="24"/>
          <w:szCs w:val="21"/>
          <w:highlight w:val="none"/>
        </w:rPr>
        <w:t>若投标人不是残疾人福利性单位，投标文件中可不提供此声明函</w:t>
      </w:r>
    </w:p>
    <w:p>
      <w:pPr>
        <w:autoSpaceDN w:val="0"/>
        <w:spacing w:line="360" w:lineRule="auto"/>
        <w:jc w:val="center"/>
        <w:rPr>
          <w:rFonts w:hint="eastAsia" w:ascii="宋体" w:hAnsi="宋体" w:eastAsia="宋体" w:cs="宋体"/>
          <w:b/>
          <w:bCs/>
          <w:sz w:val="24"/>
          <w:highlight w:val="none"/>
        </w:rPr>
      </w:pPr>
    </w:p>
    <w:p>
      <w:pPr>
        <w:autoSpaceDN w:val="0"/>
        <w:spacing w:line="360" w:lineRule="auto"/>
        <w:jc w:val="center"/>
        <w:rPr>
          <w:rFonts w:hint="eastAsia" w:ascii="宋体" w:hAnsi="宋体" w:eastAsia="宋体" w:cs="宋体"/>
          <w:b/>
          <w:bCs/>
          <w:sz w:val="24"/>
          <w:highlight w:val="none"/>
        </w:rPr>
      </w:pPr>
      <w:r>
        <w:rPr>
          <w:rFonts w:hint="eastAsia" w:ascii="宋体" w:hAnsi="宋体" w:eastAsia="宋体" w:cs="宋体"/>
          <w:b/>
          <w:bCs/>
          <w:sz w:val="24"/>
          <w:highlight w:val="none"/>
        </w:rPr>
        <w:t>残疾人福利性单位声明函</w:t>
      </w:r>
    </w:p>
    <w:bookmarkEnd w:id="117"/>
    <w:bookmarkEnd w:id="118"/>
    <w:p>
      <w:pPr>
        <w:spacing w:line="588" w:lineRule="exact"/>
        <w:rPr>
          <w:rFonts w:hint="eastAsia" w:ascii="宋体" w:hAnsi="宋体" w:eastAsia="宋体" w:cs="宋体"/>
          <w:b/>
          <w:spacing w:val="6"/>
          <w:sz w:val="30"/>
          <w:szCs w:val="30"/>
          <w:highlight w:val="none"/>
        </w:rPr>
      </w:pPr>
    </w:p>
    <w:p>
      <w:pPr>
        <w:snapToGrid w:val="0"/>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本单位郑重声明，根据《财政部民政部中国残疾人联合会关于促进残疾人就业政府采购政策的通知》（财库〔2017〕141号）的规定，本单位为符合条件的残疾人福利性单位，本单位参加本项目采购活动由本单位向采购人提供服务。</w:t>
      </w:r>
    </w:p>
    <w:p>
      <w:pPr>
        <w:snapToGrid w:val="0"/>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本单位对上述声明的真实性负责。如有虚假，将依法承担相应责任。</w:t>
      </w:r>
    </w:p>
    <w:p>
      <w:pPr>
        <w:snapToGrid w:val="0"/>
        <w:spacing w:line="360" w:lineRule="auto"/>
        <w:ind w:firstLine="480" w:firstLineChars="200"/>
        <w:rPr>
          <w:rFonts w:hint="eastAsia" w:ascii="宋体" w:hAnsi="宋体" w:eastAsia="宋体" w:cs="宋体"/>
          <w:sz w:val="24"/>
          <w:szCs w:val="21"/>
          <w:highlight w:val="none"/>
        </w:rPr>
      </w:pPr>
    </w:p>
    <w:p>
      <w:pPr>
        <w:snapToGrid w:val="0"/>
        <w:spacing w:line="360" w:lineRule="auto"/>
        <w:ind w:firstLine="480" w:firstLineChars="200"/>
        <w:rPr>
          <w:rFonts w:hint="eastAsia" w:ascii="宋体" w:hAnsi="宋体" w:eastAsia="宋体" w:cs="宋体"/>
          <w:sz w:val="24"/>
          <w:szCs w:val="21"/>
          <w:highlight w:val="none"/>
        </w:rPr>
      </w:pPr>
    </w:p>
    <w:p>
      <w:pPr>
        <w:snapToGrid w:val="0"/>
        <w:spacing w:line="360" w:lineRule="auto"/>
        <w:ind w:firstLine="480" w:firstLineChars="200"/>
        <w:rPr>
          <w:rFonts w:hint="eastAsia" w:ascii="宋体" w:hAnsi="宋体" w:eastAsia="宋体" w:cs="宋体"/>
          <w:sz w:val="24"/>
          <w:szCs w:val="21"/>
          <w:highlight w:val="none"/>
        </w:rPr>
      </w:pPr>
    </w:p>
    <w:p>
      <w:pPr>
        <w:snapToGrid w:val="0"/>
        <w:spacing w:line="360" w:lineRule="auto"/>
        <w:ind w:firstLine="480" w:firstLineChars="200"/>
        <w:rPr>
          <w:rFonts w:hint="eastAsia" w:ascii="宋体" w:hAnsi="宋体" w:eastAsia="宋体" w:cs="宋体"/>
          <w:sz w:val="24"/>
          <w:szCs w:val="21"/>
          <w:highlight w:val="none"/>
        </w:rPr>
      </w:pPr>
    </w:p>
    <w:p>
      <w:pPr>
        <w:snapToGrid w:val="0"/>
        <w:spacing w:line="360" w:lineRule="auto"/>
        <w:ind w:firstLine="480" w:firstLineChars="200"/>
        <w:jc w:val="left"/>
        <w:rPr>
          <w:rFonts w:hint="eastAsia" w:ascii="宋体" w:hAnsi="宋体" w:eastAsia="宋体" w:cs="宋体"/>
          <w:sz w:val="24"/>
          <w:szCs w:val="21"/>
          <w:highlight w:val="none"/>
        </w:rPr>
      </w:pPr>
      <w:r>
        <w:rPr>
          <w:rFonts w:hint="eastAsia" w:ascii="宋体" w:hAnsi="宋体" w:eastAsia="宋体" w:cs="宋体"/>
          <w:sz w:val="24"/>
          <w:szCs w:val="21"/>
          <w:highlight w:val="none"/>
        </w:rPr>
        <w:t>投标人名称：</w:t>
      </w:r>
    </w:p>
    <w:p>
      <w:pPr>
        <w:snapToGrid w:val="0"/>
        <w:spacing w:line="360" w:lineRule="auto"/>
        <w:ind w:firstLine="480" w:firstLineChars="200"/>
        <w:jc w:val="left"/>
        <w:rPr>
          <w:rFonts w:hint="eastAsia" w:ascii="宋体" w:hAnsi="宋体" w:eastAsia="宋体" w:cs="宋体"/>
          <w:sz w:val="24"/>
          <w:szCs w:val="21"/>
          <w:highlight w:val="none"/>
        </w:rPr>
      </w:pPr>
    </w:p>
    <w:p>
      <w:pPr>
        <w:snapToGrid w:val="0"/>
        <w:spacing w:line="360" w:lineRule="auto"/>
        <w:ind w:firstLine="480" w:firstLineChars="200"/>
        <w:jc w:val="left"/>
        <w:rPr>
          <w:rFonts w:hint="eastAsia" w:ascii="宋体" w:hAnsi="宋体" w:eastAsia="宋体" w:cs="宋体"/>
          <w:sz w:val="24"/>
          <w:szCs w:val="21"/>
          <w:highlight w:val="none"/>
        </w:rPr>
      </w:pPr>
      <w:r>
        <w:rPr>
          <w:rFonts w:hint="eastAsia" w:ascii="宋体" w:hAnsi="宋体" w:eastAsia="宋体" w:cs="宋体"/>
          <w:sz w:val="24"/>
          <w:szCs w:val="21"/>
          <w:highlight w:val="none"/>
        </w:rPr>
        <w:t>日期：年月日</w:t>
      </w:r>
    </w:p>
    <w:p>
      <w:pPr>
        <w:snapToGrid w:val="0"/>
        <w:spacing w:line="360" w:lineRule="auto"/>
        <w:ind w:firstLine="480" w:firstLineChars="200"/>
        <w:jc w:val="left"/>
        <w:rPr>
          <w:rFonts w:hint="eastAsia" w:ascii="宋体" w:hAnsi="宋体" w:eastAsia="宋体" w:cs="宋体"/>
          <w:sz w:val="24"/>
          <w:szCs w:val="21"/>
          <w:highlight w:val="none"/>
        </w:rPr>
      </w:pPr>
    </w:p>
    <w:p>
      <w:pPr>
        <w:snapToGrid w:val="0"/>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rPr>
        <w:t>注：</w:t>
      </w:r>
    </w:p>
    <w:p>
      <w:pPr>
        <w:snapToGrid w:val="0"/>
        <w:spacing w:line="360" w:lineRule="auto"/>
        <w:ind w:firstLine="480" w:firstLineChars="200"/>
        <w:rPr>
          <w:rFonts w:hint="eastAsia" w:ascii="宋体" w:hAnsi="宋体" w:eastAsia="宋体" w:cs="宋体"/>
          <w:sz w:val="24"/>
          <w:szCs w:val="21"/>
          <w:highlight w:val="none"/>
        </w:rPr>
      </w:pPr>
      <w:r>
        <w:rPr>
          <w:rFonts w:hint="eastAsia" w:ascii="宋体" w:hAnsi="宋体" w:eastAsia="宋体" w:cs="宋体"/>
          <w:sz w:val="24"/>
          <w:szCs w:val="21"/>
          <w:highlight w:val="none"/>
          <w:lang w:val="en-US" w:eastAsia="zh-CN"/>
        </w:rPr>
        <w:t>1</w:t>
      </w:r>
      <w:r>
        <w:rPr>
          <w:rFonts w:hint="eastAsia" w:ascii="宋体" w:hAnsi="宋体" w:eastAsia="宋体" w:cs="宋体"/>
          <w:sz w:val="24"/>
          <w:szCs w:val="21"/>
          <w:highlight w:val="none"/>
        </w:rPr>
        <w:t>. 中标供应商为残疾人福利性单位的，将随中标结果同时公告其《残疾人福利性单位声明函》，接受社会监督。</w:t>
      </w:r>
    </w:p>
    <w:p>
      <w:pPr>
        <w:snapToGrid w:val="0"/>
        <w:spacing w:line="360" w:lineRule="auto"/>
        <w:ind w:firstLine="482" w:firstLineChars="200"/>
        <w:rPr>
          <w:rFonts w:hint="eastAsia" w:ascii="宋体" w:hAnsi="宋体" w:eastAsia="宋体" w:cs="宋体"/>
          <w:sz w:val="24"/>
          <w:szCs w:val="21"/>
          <w:highlight w:val="none"/>
        </w:rPr>
      </w:pPr>
      <w:r>
        <w:rPr>
          <w:rFonts w:hint="eastAsia" w:ascii="宋体" w:hAnsi="宋体" w:eastAsia="宋体" w:cs="宋体"/>
          <w:b/>
          <w:kern w:val="0"/>
          <w:sz w:val="24"/>
          <w:szCs w:val="21"/>
          <w:highlight w:val="none"/>
          <w:lang w:val="en-US" w:eastAsia="zh-CN"/>
        </w:rPr>
        <w:t>2</w:t>
      </w:r>
      <w:r>
        <w:rPr>
          <w:rFonts w:hint="eastAsia" w:ascii="宋体" w:hAnsi="宋体" w:eastAsia="宋体" w:cs="宋体"/>
          <w:b/>
          <w:kern w:val="0"/>
          <w:sz w:val="24"/>
          <w:szCs w:val="21"/>
          <w:highlight w:val="none"/>
        </w:rPr>
        <w:t>. 若投标人不是残疾人福利性单位，投标文件中可不提供此声明函。</w:t>
      </w:r>
    </w:p>
    <w:p>
      <w:pPr>
        <w:snapToGrid w:val="0"/>
        <w:spacing w:line="360" w:lineRule="auto"/>
        <w:ind w:firstLine="480" w:firstLineChars="200"/>
        <w:jc w:val="left"/>
        <w:rPr>
          <w:rFonts w:hint="eastAsia" w:ascii="宋体" w:hAnsi="宋体" w:eastAsia="宋体" w:cs="宋体"/>
          <w:sz w:val="24"/>
          <w:szCs w:val="21"/>
          <w:highlight w:val="none"/>
        </w:rPr>
      </w:pPr>
    </w:p>
    <w:p>
      <w:pPr>
        <w:spacing w:line="360" w:lineRule="auto"/>
        <w:ind w:right="84" w:firstLine="240" w:firstLineChars="100"/>
        <w:rPr>
          <w:rFonts w:hint="eastAsia" w:ascii="宋体" w:hAnsi="宋体" w:eastAsia="宋体" w:cs="宋体"/>
          <w:position w:val="-40"/>
          <w:sz w:val="24"/>
          <w:highlight w:val="none"/>
        </w:rPr>
      </w:pPr>
    </w:p>
    <w:p>
      <w:pPr>
        <w:tabs>
          <w:tab w:val="left" w:pos="36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br w:type="page"/>
      </w:r>
    </w:p>
    <w:p>
      <w:pPr>
        <w:autoSpaceDN w:val="0"/>
        <w:spacing w:line="360" w:lineRule="auto"/>
        <w:outlineLvl w:val="0"/>
        <w:rPr>
          <w:rFonts w:hint="default" w:ascii="宋体" w:hAnsi="宋体" w:eastAsia="宋体" w:cs="宋体"/>
          <w:bCs/>
          <w:sz w:val="24"/>
          <w:highlight w:val="none"/>
          <w:lang w:val="en-US" w:eastAsia="zh-CN"/>
        </w:rPr>
      </w:pPr>
      <w:bookmarkStart w:id="123" w:name="_Toc775"/>
      <w:bookmarkStart w:id="124" w:name="_Toc9869"/>
      <w:r>
        <w:rPr>
          <w:rFonts w:hint="eastAsia" w:ascii="宋体" w:hAnsi="宋体" w:eastAsia="宋体" w:cs="宋体"/>
          <w:bCs/>
          <w:sz w:val="24"/>
          <w:highlight w:val="none"/>
        </w:rPr>
        <w:t>附件</w:t>
      </w:r>
      <w:r>
        <w:rPr>
          <w:rFonts w:hint="eastAsia" w:ascii="宋体" w:hAnsi="宋体" w:eastAsia="宋体" w:cs="宋体"/>
          <w:bCs/>
          <w:sz w:val="24"/>
          <w:highlight w:val="none"/>
          <w:lang w:val="en-US" w:eastAsia="zh-CN"/>
        </w:rPr>
        <w:t>15</w:t>
      </w:r>
    </w:p>
    <w:p>
      <w:pPr>
        <w:jc w:val="center"/>
        <w:rPr>
          <w:highlight w:val="none"/>
          <w:lang w:eastAsia="zh-CN"/>
        </w:rPr>
      </w:pPr>
    </w:p>
    <w:p>
      <w:pPr>
        <w:jc w:val="center"/>
        <w:rPr>
          <w:b/>
          <w:sz w:val="28"/>
          <w:szCs w:val="28"/>
          <w:highlight w:val="none"/>
          <w:lang w:eastAsia="zh-CN"/>
        </w:rPr>
      </w:pPr>
      <w:r>
        <w:rPr>
          <w:rFonts w:hint="eastAsia"/>
          <w:b/>
          <w:sz w:val="28"/>
          <w:szCs w:val="28"/>
          <w:highlight w:val="none"/>
          <w:lang w:eastAsia="zh-CN"/>
        </w:rPr>
        <w:t>非联合体声明函</w:t>
      </w:r>
    </w:p>
    <w:p>
      <w:pPr>
        <w:rPr>
          <w:rFonts w:ascii="宋体" w:hAnsi="宋体" w:eastAsia="宋体" w:cs="宋体"/>
          <w:highlight w:val="none"/>
          <w:lang w:eastAsia="zh-CN"/>
        </w:rPr>
      </w:pPr>
    </w:p>
    <w:p>
      <w:pPr>
        <w:tabs>
          <w:tab w:val="left" w:pos="360"/>
        </w:tabs>
        <w:spacing w:line="360" w:lineRule="auto"/>
        <w:ind w:firstLine="480" w:firstLineChars="200"/>
        <w:rPr>
          <w:rFonts w:hint="eastAsia" w:ascii="宋体" w:hAnsi="宋体" w:eastAsia="宋体" w:cs="宋体"/>
          <w:sz w:val="24"/>
          <w:highlight w:val="none"/>
          <w:u w:val="single"/>
          <w:lang w:eastAsia="zh-CN"/>
        </w:rPr>
      </w:pPr>
      <w:r>
        <w:rPr>
          <w:rFonts w:hint="eastAsia" w:ascii="宋体" w:hAnsi="宋体" w:eastAsia="宋体" w:cs="宋体"/>
          <w:sz w:val="24"/>
          <w:highlight w:val="none"/>
          <w:lang w:eastAsia="zh-CN"/>
        </w:rPr>
        <w:t>本公司</w:t>
      </w:r>
      <w:r>
        <w:rPr>
          <w:rFonts w:hint="eastAsia" w:ascii="宋体" w:hAnsi="宋体" w:eastAsia="宋体" w:cs="宋体"/>
          <w:sz w:val="24"/>
          <w:highlight w:val="none"/>
          <w:u w:val="single"/>
          <w:lang w:eastAsia="zh-CN"/>
        </w:rPr>
        <w:t xml:space="preserve">                       </w:t>
      </w:r>
      <w:r>
        <w:rPr>
          <w:rFonts w:hint="eastAsia" w:ascii="宋体" w:hAnsi="宋体" w:eastAsia="宋体" w:cs="宋体"/>
          <w:sz w:val="24"/>
          <w:highlight w:val="none"/>
          <w:lang w:eastAsia="zh-CN"/>
        </w:rPr>
        <w:t>(投标人名称、地址)，为非联合体参加</w:t>
      </w:r>
      <w:r>
        <w:rPr>
          <w:rFonts w:hint="eastAsia" w:ascii="宋体" w:hAnsi="宋体" w:eastAsia="宋体" w:cs="宋体"/>
          <w:sz w:val="24"/>
          <w:highlight w:val="none"/>
          <w:u w:val="single"/>
          <w:lang w:eastAsia="zh-CN"/>
        </w:rPr>
        <w:t xml:space="preserve">    </w:t>
      </w:r>
    </w:p>
    <w:p>
      <w:pPr>
        <w:tabs>
          <w:tab w:val="left" w:pos="360"/>
        </w:tabs>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u w:val="single"/>
          <w:lang w:eastAsia="zh-CN"/>
        </w:rPr>
        <w:t xml:space="preserve">                          </w:t>
      </w:r>
      <w:r>
        <w:rPr>
          <w:rFonts w:hint="eastAsia" w:ascii="宋体" w:hAnsi="宋体" w:eastAsia="宋体" w:cs="宋体"/>
          <w:sz w:val="24"/>
          <w:highlight w:val="none"/>
          <w:lang w:eastAsia="zh-CN"/>
        </w:rPr>
        <w:t>（项目名称）（项目编号：</w:t>
      </w:r>
      <w:r>
        <w:rPr>
          <w:rFonts w:hint="eastAsia" w:ascii="宋体" w:hAnsi="宋体" w:eastAsia="宋体" w:cs="宋体"/>
          <w:sz w:val="24"/>
          <w:highlight w:val="none"/>
          <w:u w:val="single"/>
          <w:lang w:eastAsia="zh-CN"/>
        </w:rPr>
        <w:t xml:space="preserve">           </w:t>
      </w:r>
      <w:r>
        <w:rPr>
          <w:rFonts w:hint="eastAsia" w:ascii="宋体" w:hAnsi="宋体" w:eastAsia="宋体" w:cs="宋体"/>
          <w:sz w:val="24"/>
          <w:highlight w:val="none"/>
          <w:lang w:eastAsia="zh-CN"/>
        </w:rPr>
        <w:t>）的</w:t>
      </w:r>
      <w:r>
        <w:rPr>
          <w:rFonts w:hint="eastAsia" w:ascii="宋体" w:hAnsi="宋体" w:eastAsia="宋体" w:cs="宋体"/>
          <w:sz w:val="24"/>
          <w:highlight w:val="none"/>
          <w:lang w:val="en-US" w:eastAsia="zh-CN"/>
        </w:rPr>
        <w:t>政府采购活动</w:t>
      </w:r>
      <w:r>
        <w:rPr>
          <w:rFonts w:hint="eastAsia" w:ascii="宋体" w:hAnsi="宋体" w:eastAsia="宋体" w:cs="宋体"/>
          <w:sz w:val="24"/>
          <w:highlight w:val="none"/>
          <w:lang w:eastAsia="zh-CN"/>
        </w:rPr>
        <w:t>，本单位对上述声明的真实性负责，如有虚假，将依法承担相应责任。</w:t>
      </w:r>
    </w:p>
    <w:p>
      <w:pPr>
        <w:tabs>
          <w:tab w:val="left" w:pos="360"/>
        </w:tabs>
        <w:spacing w:line="360" w:lineRule="auto"/>
        <w:ind w:firstLine="480" w:firstLineChars="200"/>
        <w:rPr>
          <w:rFonts w:hint="eastAsia" w:ascii="宋体" w:hAnsi="宋体" w:eastAsia="宋体" w:cs="宋体"/>
          <w:sz w:val="24"/>
          <w:highlight w:val="none"/>
          <w:lang w:eastAsia="zh-CN"/>
        </w:rPr>
      </w:pPr>
    </w:p>
    <w:p>
      <w:pPr>
        <w:tabs>
          <w:tab w:val="left" w:pos="360"/>
        </w:tabs>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特此声明</w:t>
      </w:r>
    </w:p>
    <w:p>
      <w:pPr>
        <w:tabs>
          <w:tab w:val="left" w:pos="360"/>
        </w:tabs>
        <w:spacing w:line="360" w:lineRule="auto"/>
        <w:ind w:firstLine="480" w:firstLineChars="200"/>
        <w:rPr>
          <w:rFonts w:hint="eastAsia" w:ascii="宋体" w:hAnsi="宋体" w:eastAsia="宋体" w:cs="宋体"/>
          <w:sz w:val="24"/>
          <w:highlight w:val="none"/>
          <w:lang w:eastAsia="zh-CN"/>
        </w:rPr>
      </w:pPr>
    </w:p>
    <w:p>
      <w:pPr>
        <w:tabs>
          <w:tab w:val="left" w:pos="360"/>
        </w:tabs>
        <w:spacing w:line="360" w:lineRule="auto"/>
        <w:ind w:firstLine="480" w:firstLineChars="200"/>
        <w:rPr>
          <w:rFonts w:hint="eastAsia" w:ascii="宋体" w:hAnsi="宋体" w:eastAsia="宋体" w:cs="宋体"/>
          <w:sz w:val="24"/>
          <w:highlight w:val="none"/>
          <w:lang w:eastAsia="zh-CN"/>
        </w:rPr>
      </w:pPr>
    </w:p>
    <w:p>
      <w:pPr>
        <w:tabs>
          <w:tab w:val="left" w:pos="360"/>
        </w:tabs>
        <w:spacing w:line="360" w:lineRule="auto"/>
        <w:ind w:firstLine="480" w:firstLineChars="200"/>
        <w:rPr>
          <w:rFonts w:hint="eastAsia" w:ascii="宋体" w:hAnsi="宋体" w:eastAsia="宋体" w:cs="宋体"/>
          <w:sz w:val="24"/>
          <w:highlight w:val="none"/>
          <w:lang w:eastAsia="zh-CN"/>
        </w:rPr>
      </w:pPr>
    </w:p>
    <w:p>
      <w:pPr>
        <w:tabs>
          <w:tab w:val="left" w:pos="360"/>
        </w:tabs>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                                   投标人名称</w:t>
      </w:r>
      <w:r>
        <w:rPr>
          <w:rFonts w:hint="eastAsia" w:ascii="宋体" w:hAnsi="宋体" w:eastAsia="宋体" w:cs="宋体"/>
          <w:color w:val="000000"/>
          <w:sz w:val="24"/>
          <w:highlight w:val="none"/>
        </w:rPr>
        <w:t>（公章）</w:t>
      </w:r>
      <w:r>
        <w:rPr>
          <w:rFonts w:hint="eastAsia" w:ascii="宋体" w:hAnsi="宋体" w:eastAsia="宋体" w:cs="宋体"/>
          <w:sz w:val="24"/>
          <w:highlight w:val="none"/>
          <w:lang w:eastAsia="zh-CN"/>
        </w:rPr>
        <w:t>：</w:t>
      </w:r>
    </w:p>
    <w:p>
      <w:pPr>
        <w:tabs>
          <w:tab w:val="left" w:pos="360"/>
        </w:tabs>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                                   投标人代表签字：</w:t>
      </w:r>
    </w:p>
    <w:p>
      <w:pPr>
        <w:tabs>
          <w:tab w:val="left" w:pos="360"/>
        </w:tabs>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 xml:space="preserve">                                   日期：  年  月  日</w:t>
      </w:r>
    </w:p>
    <w:p>
      <w:pPr>
        <w:spacing w:line="620" w:lineRule="exact"/>
        <w:outlineLvl w:val="0"/>
        <w:rPr>
          <w:rFonts w:hint="eastAsia" w:ascii="宋体" w:hAnsi="宋体" w:eastAsia="宋体" w:cs="宋体"/>
          <w:sz w:val="24"/>
          <w:szCs w:val="24"/>
          <w:highlight w:val="none"/>
        </w:rPr>
      </w:pPr>
    </w:p>
    <w:p>
      <w:pPr>
        <w:spacing w:line="620" w:lineRule="exact"/>
        <w:outlineLvl w:val="0"/>
        <w:rPr>
          <w:rFonts w:hint="eastAsia" w:ascii="宋体" w:hAnsi="宋体" w:eastAsia="宋体" w:cs="宋体"/>
          <w:sz w:val="24"/>
          <w:szCs w:val="24"/>
          <w:highlight w:val="none"/>
        </w:rPr>
      </w:pPr>
    </w:p>
    <w:p>
      <w:pPr>
        <w:spacing w:line="620" w:lineRule="exact"/>
        <w:outlineLvl w:val="0"/>
        <w:rPr>
          <w:rFonts w:hint="eastAsia" w:ascii="宋体" w:hAnsi="宋体" w:eastAsia="宋体" w:cs="宋体"/>
          <w:sz w:val="24"/>
          <w:szCs w:val="24"/>
          <w:highlight w:val="none"/>
        </w:rPr>
      </w:pPr>
    </w:p>
    <w:p>
      <w:pPr>
        <w:spacing w:line="620" w:lineRule="exact"/>
        <w:outlineLvl w:val="0"/>
        <w:rPr>
          <w:rFonts w:hint="eastAsia" w:ascii="宋体" w:hAnsi="宋体" w:eastAsia="宋体" w:cs="宋体"/>
          <w:sz w:val="24"/>
          <w:szCs w:val="24"/>
          <w:highlight w:val="none"/>
        </w:rPr>
      </w:pPr>
    </w:p>
    <w:p>
      <w:pPr>
        <w:spacing w:line="620" w:lineRule="exact"/>
        <w:outlineLvl w:val="0"/>
        <w:rPr>
          <w:rFonts w:hint="eastAsia" w:ascii="宋体" w:hAnsi="宋体" w:eastAsia="宋体" w:cs="宋体"/>
          <w:sz w:val="24"/>
          <w:szCs w:val="24"/>
          <w:highlight w:val="none"/>
        </w:rPr>
      </w:pPr>
    </w:p>
    <w:p>
      <w:pPr>
        <w:spacing w:line="620" w:lineRule="exact"/>
        <w:outlineLvl w:val="0"/>
        <w:rPr>
          <w:rFonts w:hint="eastAsia" w:ascii="宋体" w:hAnsi="宋体" w:eastAsia="宋体" w:cs="宋体"/>
          <w:sz w:val="24"/>
          <w:szCs w:val="24"/>
          <w:highlight w:val="none"/>
        </w:rPr>
      </w:pPr>
    </w:p>
    <w:p>
      <w:pPr>
        <w:spacing w:line="620" w:lineRule="exact"/>
        <w:outlineLvl w:val="0"/>
        <w:rPr>
          <w:rFonts w:hint="eastAsia" w:ascii="宋体" w:hAnsi="宋体" w:eastAsia="宋体" w:cs="宋体"/>
          <w:sz w:val="24"/>
          <w:szCs w:val="24"/>
          <w:highlight w:val="none"/>
        </w:rPr>
      </w:pPr>
    </w:p>
    <w:p>
      <w:pPr>
        <w:spacing w:line="620" w:lineRule="exact"/>
        <w:outlineLvl w:val="0"/>
        <w:rPr>
          <w:rFonts w:hint="eastAsia" w:ascii="宋体" w:hAnsi="宋体" w:eastAsia="宋体" w:cs="宋体"/>
          <w:sz w:val="24"/>
          <w:szCs w:val="24"/>
          <w:highlight w:val="none"/>
        </w:rPr>
      </w:pPr>
    </w:p>
    <w:p>
      <w:pPr>
        <w:spacing w:line="620" w:lineRule="exact"/>
        <w:outlineLvl w:val="0"/>
        <w:rPr>
          <w:rFonts w:hint="eastAsia" w:ascii="宋体" w:hAnsi="宋体" w:eastAsia="宋体" w:cs="宋体"/>
          <w:sz w:val="24"/>
          <w:szCs w:val="24"/>
          <w:highlight w:val="none"/>
        </w:rPr>
      </w:pPr>
    </w:p>
    <w:p>
      <w:pPr>
        <w:spacing w:line="620" w:lineRule="exact"/>
        <w:outlineLvl w:val="0"/>
        <w:rPr>
          <w:rFonts w:hint="eastAsia" w:ascii="宋体" w:hAnsi="宋体" w:eastAsia="宋体" w:cs="宋体"/>
          <w:sz w:val="24"/>
          <w:szCs w:val="24"/>
          <w:highlight w:val="none"/>
        </w:rPr>
      </w:pPr>
    </w:p>
    <w:p>
      <w:pPr>
        <w:spacing w:line="620" w:lineRule="exact"/>
        <w:outlineLvl w:val="0"/>
        <w:rPr>
          <w:rFonts w:hint="eastAsia" w:ascii="宋体" w:hAnsi="宋体" w:eastAsia="宋体" w:cs="宋体"/>
          <w:sz w:val="24"/>
          <w:szCs w:val="24"/>
          <w:highlight w:val="none"/>
        </w:rPr>
      </w:pPr>
    </w:p>
    <w:p>
      <w:pPr>
        <w:spacing w:line="620" w:lineRule="exact"/>
        <w:outlineLvl w:val="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附件</w:t>
      </w:r>
      <w:bookmarkEnd w:id="123"/>
      <w:bookmarkEnd w:id="124"/>
      <w:r>
        <w:rPr>
          <w:rFonts w:hint="eastAsia" w:ascii="宋体" w:hAnsi="宋体" w:cs="宋体"/>
          <w:sz w:val="24"/>
          <w:szCs w:val="24"/>
          <w:highlight w:val="none"/>
          <w:lang w:val="en-US" w:eastAsia="zh-CN"/>
        </w:rPr>
        <w:t>16</w:t>
      </w:r>
    </w:p>
    <w:p>
      <w:pPr>
        <w:autoSpaceDN w:val="0"/>
        <w:spacing w:line="360" w:lineRule="auto"/>
        <w:jc w:val="center"/>
        <w:outlineLvl w:val="0"/>
        <w:rPr>
          <w:rFonts w:hint="eastAsia" w:ascii="宋体" w:hAnsi="宋体" w:eastAsia="宋体" w:cs="宋体"/>
          <w:b/>
          <w:bCs/>
          <w:sz w:val="24"/>
          <w:highlight w:val="none"/>
        </w:rPr>
      </w:pPr>
      <w:bookmarkStart w:id="125" w:name="_Toc31107"/>
      <w:bookmarkStart w:id="126" w:name="_Toc7890"/>
      <w:r>
        <w:rPr>
          <w:rFonts w:hint="eastAsia" w:ascii="宋体" w:hAnsi="宋体" w:eastAsia="宋体" w:cs="宋体"/>
          <w:b/>
          <w:bCs/>
          <w:sz w:val="24"/>
          <w:highlight w:val="none"/>
        </w:rPr>
        <w:t>投标人认为需要提供的其他资料</w:t>
      </w:r>
      <w:bookmarkEnd w:id="125"/>
      <w:bookmarkEnd w:id="126"/>
    </w:p>
    <w:p>
      <w:pPr>
        <w:widowControl/>
        <w:jc w:val="left"/>
        <w:rPr>
          <w:rFonts w:hint="eastAsia" w:ascii="宋体" w:hAnsi="宋体" w:eastAsia="宋体" w:cs="宋体"/>
          <w:b/>
          <w:bCs/>
          <w:sz w:val="24"/>
          <w:highlight w:val="none"/>
        </w:rPr>
      </w:pPr>
    </w:p>
    <w:p>
      <w:pPr>
        <w:widowControl/>
        <w:jc w:val="left"/>
        <w:rPr>
          <w:rFonts w:hint="eastAsia" w:ascii="宋体" w:hAnsi="宋体" w:eastAsia="宋体" w:cs="宋体"/>
          <w:sz w:val="24"/>
          <w:szCs w:val="24"/>
          <w:highlight w:val="none"/>
        </w:rPr>
      </w:pPr>
    </w:p>
    <w:sectPr>
      <w:pgSz w:w="11906" w:h="16838"/>
      <w:pgMar w:top="1440" w:right="1800" w:bottom="1440" w:left="1800" w:header="851" w:footer="992" w:gutter="0"/>
      <w:pgNumType w:fmt="decimal"/>
      <w:cols w:space="425" w:num="1"/>
      <w:docGrid w:linePitch="286"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serif">
    <w:altName w:val="Segoe Print"/>
    <w:panose1 w:val="00000000000000000000"/>
    <w:charset w:val="00"/>
    <w:family w:val="auto"/>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1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20AB9"/>
    <w:multiLevelType w:val="singleLevel"/>
    <w:tmpl w:val="81820AB9"/>
    <w:lvl w:ilvl="0" w:tentative="0">
      <w:start w:val="8"/>
      <w:numFmt w:val="decimal"/>
      <w:suff w:val="nothing"/>
      <w:lvlText w:val="（%1）"/>
      <w:lvlJc w:val="left"/>
    </w:lvl>
  </w:abstractNum>
  <w:abstractNum w:abstractNumId="1">
    <w:nsid w:val="C7881EB4"/>
    <w:multiLevelType w:val="singleLevel"/>
    <w:tmpl w:val="C7881EB4"/>
    <w:lvl w:ilvl="0" w:tentative="0">
      <w:start w:val="1"/>
      <w:numFmt w:val="decimal"/>
      <w:suff w:val="nothing"/>
      <w:lvlText w:val="%1．"/>
      <w:lvlJc w:val="left"/>
      <w:pPr>
        <w:ind w:left="0" w:firstLine="400"/>
      </w:pPr>
      <w:rPr>
        <w:rFonts w:hint="default"/>
      </w:rPr>
    </w:lvl>
  </w:abstractNum>
  <w:abstractNum w:abstractNumId="2">
    <w:nsid w:val="D489D570"/>
    <w:multiLevelType w:val="singleLevel"/>
    <w:tmpl w:val="D489D570"/>
    <w:lvl w:ilvl="0" w:tentative="0">
      <w:start w:val="1"/>
      <w:numFmt w:val="decimal"/>
      <w:lvlText w:val="%1."/>
      <w:lvlJc w:val="left"/>
      <w:pPr>
        <w:ind w:left="425" w:hanging="425"/>
      </w:pPr>
      <w:rPr>
        <w:rFonts w:hint="default"/>
      </w:rPr>
    </w:lvl>
  </w:abstractNum>
  <w:abstractNum w:abstractNumId="3">
    <w:nsid w:val="E226D907"/>
    <w:multiLevelType w:val="singleLevel"/>
    <w:tmpl w:val="E226D907"/>
    <w:lvl w:ilvl="0" w:tentative="0">
      <w:start w:val="2"/>
      <w:numFmt w:val="decimal"/>
      <w:lvlText w:val="%1."/>
      <w:lvlJc w:val="left"/>
      <w:pPr>
        <w:tabs>
          <w:tab w:val="left" w:pos="312"/>
        </w:tabs>
      </w:pPr>
    </w:lvl>
  </w:abstractNum>
  <w:abstractNum w:abstractNumId="4">
    <w:nsid w:val="0BF5A1DE"/>
    <w:multiLevelType w:val="singleLevel"/>
    <w:tmpl w:val="0BF5A1DE"/>
    <w:lvl w:ilvl="0" w:tentative="0">
      <w:start w:val="1"/>
      <w:numFmt w:val="decimal"/>
      <w:suff w:val="nothing"/>
      <w:lvlText w:val="%1．"/>
      <w:lvlJc w:val="left"/>
      <w:pPr>
        <w:ind w:left="0" w:firstLine="400"/>
      </w:pPr>
      <w:rPr>
        <w:rFont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OGVkYjk3OGMyM2Q4NTkzZWE5MjA3ODM1ZjUxZWYifQ=="/>
  </w:docVars>
  <w:rsids>
    <w:rsidRoot w:val="00172A27"/>
    <w:rsid w:val="00000115"/>
    <w:rsid w:val="00000D09"/>
    <w:rsid w:val="00001FD1"/>
    <w:rsid w:val="00001FDE"/>
    <w:rsid w:val="00002088"/>
    <w:rsid w:val="0000412A"/>
    <w:rsid w:val="00010B26"/>
    <w:rsid w:val="00010DCF"/>
    <w:rsid w:val="00010F8B"/>
    <w:rsid w:val="00011B73"/>
    <w:rsid w:val="00012453"/>
    <w:rsid w:val="00012F7D"/>
    <w:rsid w:val="00013068"/>
    <w:rsid w:val="00013701"/>
    <w:rsid w:val="00014723"/>
    <w:rsid w:val="00015CB5"/>
    <w:rsid w:val="00017C2D"/>
    <w:rsid w:val="00020AEE"/>
    <w:rsid w:val="00020AFD"/>
    <w:rsid w:val="000210A1"/>
    <w:rsid w:val="0002114F"/>
    <w:rsid w:val="000227B2"/>
    <w:rsid w:val="000308AC"/>
    <w:rsid w:val="00032015"/>
    <w:rsid w:val="0003622F"/>
    <w:rsid w:val="00036A32"/>
    <w:rsid w:val="000403B6"/>
    <w:rsid w:val="0004130F"/>
    <w:rsid w:val="0004170D"/>
    <w:rsid w:val="00042507"/>
    <w:rsid w:val="00042FFE"/>
    <w:rsid w:val="00044850"/>
    <w:rsid w:val="00046978"/>
    <w:rsid w:val="00050365"/>
    <w:rsid w:val="0005098F"/>
    <w:rsid w:val="00053948"/>
    <w:rsid w:val="00056208"/>
    <w:rsid w:val="0005643C"/>
    <w:rsid w:val="00056EF3"/>
    <w:rsid w:val="000607D4"/>
    <w:rsid w:val="0006282F"/>
    <w:rsid w:val="00064727"/>
    <w:rsid w:val="000647AF"/>
    <w:rsid w:val="00065BDD"/>
    <w:rsid w:val="00065D2B"/>
    <w:rsid w:val="00065F4C"/>
    <w:rsid w:val="0007081F"/>
    <w:rsid w:val="00071F3B"/>
    <w:rsid w:val="00072D66"/>
    <w:rsid w:val="00072FC6"/>
    <w:rsid w:val="00073A38"/>
    <w:rsid w:val="00074F44"/>
    <w:rsid w:val="000756A0"/>
    <w:rsid w:val="00075BCB"/>
    <w:rsid w:val="00075C85"/>
    <w:rsid w:val="00076BA5"/>
    <w:rsid w:val="00076C10"/>
    <w:rsid w:val="00080170"/>
    <w:rsid w:val="00080E90"/>
    <w:rsid w:val="000826F9"/>
    <w:rsid w:val="0008680B"/>
    <w:rsid w:val="00086EBE"/>
    <w:rsid w:val="000900AA"/>
    <w:rsid w:val="00090BEA"/>
    <w:rsid w:val="00090D50"/>
    <w:rsid w:val="00092400"/>
    <w:rsid w:val="00093F03"/>
    <w:rsid w:val="00095F70"/>
    <w:rsid w:val="000A3427"/>
    <w:rsid w:val="000A3A38"/>
    <w:rsid w:val="000A3D2B"/>
    <w:rsid w:val="000A3F59"/>
    <w:rsid w:val="000A52D7"/>
    <w:rsid w:val="000A5CEA"/>
    <w:rsid w:val="000A5D9A"/>
    <w:rsid w:val="000B0095"/>
    <w:rsid w:val="000B0DDF"/>
    <w:rsid w:val="000B0ECB"/>
    <w:rsid w:val="000B2830"/>
    <w:rsid w:val="000B2975"/>
    <w:rsid w:val="000B4865"/>
    <w:rsid w:val="000B63EB"/>
    <w:rsid w:val="000B7FA2"/>
    <w:rsid w:val="000C337F"/>
    <w:rsid w:val="000C42FC"/>
    <w:rsid w:val="000C4CA4"/>
    <w:rsid w:val="000C6CA8"/>
    <w:rsid w:val="000C7A3F"/>
    <w:rsid w:val="000D26D7"/>
    <w:rsid w:val="000D2F5A"/>
    <w:rsid w:val="000D514E"/>
    <w:rsid w:val="000D5C9A"/>
    <w:rsid w:val="000D6905"/>
    <w:rsid w:val="000D7D60"/>
    <w:rsid w:val="000E50F9"/>
    <w:rsid w:val="000E6A76"/>
    <w:rsid w:val="000E7401"/>
    <w:rsid w:val="000E74AC"/>
    <w:rsid w:val="000F0246"/>
    <w:rsid w:val="000F106F"/>
    <w:rsid w:val="000F1202"/>
    <w:rsid w:val="000F1454"/>
    <w:rsid w:val="000F48D9"/>
    <w:rsid w:val="000F5C82"/>
    <w:rsid w:val="000F6957"/>
    <w:rsid w:val="000F7472"/>
    <w:rsid w:val="000F7A9D"/>
    <w:rsid w:val="001007D1"/>
    <w:rsid w:val="0010361C"/>
    <w:rsid w:val="0010398D"/>
    <w:rsid w:val="00104EFC"/>
    <w:rsid w:val="00105557"/>
    <w:rsid w:val="00110AEE"/>
    <w:rsid w:val="0011558D"/>
    <w:rsid w:val="00115D21"/>
    <w:rsid w:val="00116412"/>
    <w:rsid w:val="001165C6"/>
    <w:rsid w:val="00121CDE"/>
    <w:rsid w:val="001225B9"/>
    <w:rsid w:val="00123B1D"/>
    <w:rsid w:val="0012489A"/>
    <w:rsid w:val="00124B7F"/>
    <w:rsid w:val="001256ED"/>
    <w:rsid w:val="00125B90"/>
    <w:rsid w:val="001310D9"/>
    <w:rsid w:val="00132744"/>
    <w:rsid w:val="00132AEC"/>
    <w:rsid w:val="00136F51"/>
    <w:rsid w:val="001404E8"/>
    <w:rsid w:val="001411F4"/>
    <w:rsid w:val="00141664"/>
    <w:rsid w:val="001436EA"/>
    <w:rsid w:val="00143B4D"/>
    <w:rsid w:val="00144030"/>
    <w:rsid w:val="0014494F"/>
    <w:rsid w:val="00145142"/>
    <w:rsid w:val="001524A8"/>
    <w:rsid w:val="00154232"/>
    <w:rsid w:val="00154D52"/>
    <w:rsid w:val="00155128"/>
    <w:rsid w:val="00156D5F"/>
    <w:rsid w:val="00157876"/>
    <w:rsid w:val="0016115B"/>
    <w:rsid w:val="0016221D"/>
    <w:rsid w:val="001626AF"/>
    <w:rsid w:val="001659F0"/>
    <w:rsid w:val="001706DD"/>
    <w:rsid w:val="001707F2"/>
    <w:rsid w:val="00171166"/>
    <w:rsid w:val="00172B5E"/>
    <w:rsid w:val="00173561"/>
    <w:rsid w:val="001736F5"/>
    <w:rsid w:val="00175016"/>
    <w:rsid w:val="001760DF"/>
    <w:rsid w:val="00177051"/>
    <w:rsid w:val="001773D5"/>
    <w:rsid w:val="001775BB"/>
    <w:rsid w:val="00177B91"/>
    <w:rsid w:val="00177C39"/>
    <w:rsid w:val="00181ED5"/>
    <w:rsid w:val="001834DA"/>
    <w:rsid w:val="00186440"/>
    <w:rsid w:val="001902F8"/>
    <w:rsid w:val="00193361"/>
    <w:rsid w:val="00193BCD"/>
    <w:rsid w:val="0019431D"/>
    <w:rsid w:val="00194FBC"/>
    <w:rsid w:val="001956E3"/>
    <w:rsid w:val="00196D6B"/>
    <w:rsid w:val="00196E07"/>
    <w:rsid w:val="0019758C"/>
    <w:rsid w:val="001A10D7"/>
    <w:rsid w:val="001A2731"/>
    <w:rsid w:val="001A2919"/>
    <w:rsid w:val="001A2CC0"/>
    <w:rsid w:val="001A3DE3"/>
    <w:rsid w:val="001A43D9"/>
    <w:rsid w:val="001A46BA"/>
    <w:rsid w:val="001A46F9"/>
    <w:rsid w:val="001A788B"/>
    <w:rsid w:val="001B0E7F"/>
    <w:rsid w:val="001B19E3"/>
    <w:rsid w:val="001B4553"/>
    <w:rsid w:val="001B5BEA"/>
    <w:rsid w:val="001C0E64"/>
    <w:rsid w:val="001C192E"/>
    <w:rsid w:val="001C1981"/>
    <w:rsid w:val="001C216F"/>
    <w:rsid w:val="001C2A6E"/>
    <w:rsid w:val="001C50CC"/>
    <w:rsid w:val="001C61E4"/>
    <w:rsid w:val="001C77AF"/>
    <w:rsid w:val="001D1850"/>
    <w:rsid w:val="001D1CD0"/>
    <w:rsid w:val="001D6903"/>
    <w:rsid w:val="001E3CB7"/>
    <w:rsid w:val="001F12D9"/>
    <w:rsid w:val="001F135C"/>
    <w:rsid w:val="001F1AEF"/>
    <w:rsid w:val="001F1B94"/>
    <w:rsid w:val="001F2B50"/>
    <w:rsid w:val="001F345B"/>
    <w:rsid w:val="001F562A"/>
    <w:rsid w:val="001F65EF"/>
    <w:rsid w:val="001F738F"/>
    <w:rsid w:val="002004A0"/>
    <w:rsid w:val="002027E3"/>
    <w:rsid w:val="0020535C"/>
    <w:rsid w:val="00205B61"/>
    <w:rsid w:val="00210D0A"/>
    <w:rsid w:val="00210F12"/>
    <w:rsid w:val="002113A2"/>
    <w:rsid w:val="0021198F"/>
    <w:rsid w:val="00212004"/>
    <w:rsid w:val="00212E26"/>
    <w:rsid w:val="00213917"/>
    <w:rsid w:val="00213C53"/>
    <w:rsid w:val="00214D65"/>
    <w:rsid w:val="0021638D"/>
    <w:rsid w:val="00220DF4"/>
    <w:rsid w:val="00226465"/>
    <w:rsid w:val="00230077"/>
    <w:rsid w:val="00230690"/>
    <w:rsid w:val="002312F5"/>
    <w:rsid w:val="00231D1B"/>
    <w:rsid w:val="00233239"/>
    <w:rsid w:val="00237BEE"/>
    <w:rsid w:val="0024313F"/>
    <w:rsid w:val="00243DC1"/>
    <w:rsid w:val="00244482"/>
    <w:rsid w:val="0024790F"/>
    <w:rsid w:val="00251ED7"/>
    <w:rsid w:val="002543C1"/>
    <w:rsid w:val="00261C83"/>
    <w:rsid w:val="00264E75"/>
    <w:rsid w:val="00264E8A"/>
    <w:rsid w:val="00265B2C"/>
    <w:rsid w:val="00266956"/>
    <w:rsid w:val="00266F74"/>
    <w:rsid w:val="0027115C"/>
    <w:rsid w:val="00274CF5"/>
    <w:rsid w:val="00277427"/>
    <w:rsid w:val="002804EC"/>
    <w:rsid w:val="002826C1"/>
    <w:rsid w:val="0028771F"/>
    <w:rsid w:val="00292BE5"/>
    <w:rsid w:val="00293728"/>
    <w:rsid w:val="0029386D"/>
    <w:rsid w:val="00293B4A"/>
    <w:rsid w:val="00293FAC"/>
    <w:rsid w:val="00294641"/>
    <w:rsid w:val="002948B5"/>
    <w:rsid w:val="00294986"/>
    <w:rsid w:val="00294EAF"/>
    <w:rsid w:val="0029610C"/>
    <w:rsid w:val="0029654D"/>
    <w:rsid w:val="00297EAE"/>
    <w:rsid w:val="00297EC5"/>
    <w:rsid w:val="002A0D22"/>
    <w:rsid w:val="002A1446"/>
    <w:rsid w:val="002A2422"/>
    <w:rsid w:val="002A4B3C"/>
    <w:rsid w:val="002B2188"/>
    <w:rsid w:val="002B3BB4"/>
    <w:rsid w:val="002B51BE"/>
    <w:rsid w:val="002B6544"/>
    <w:rsid w:val="002B7F23"/>
    <w:rsid w:val="002C1C3E"/>
    <w:rsid w:val="002C1D2D"/>
    <w:rsid w:val="002C28FD"/>
    <w:rsid w:val="002C5F0A"/>
    <w:rsid w:val="002C696D"/>
    <w:rsid w:val="002C6CFC"/>
    <w:rsid w:val="002D082A"/>
    <w:rsid w:val="002D09CD"/>
    <w:rsid w:val="002D1542"/>
    <w:rsid w:val="002D17E4"/>
    <w:rsid w:val="002D3B80"/>
    <w:rsid w:val="002D48E1"/>
    <w:rsid w:val="002D56D1"/>
    <w:rsid w:val="002D57F1"/>
    <w:rsid w:val="002D5B4E"/>
    <w:rsid w:val="002D6CC7"/>
    <w:rsid w:val="002E156F"/>
    <w:rsid w:val="002E2F37"/>
    <w:rsid w:val="002E3317"/>
    <w:rsid w:val="002E76C8"/>
    <w:rsid w:val="002F1119"/>
    <w:rsid w:val="002F130A"/>
    <w:rsid w:val="002F245E"/>
    <w:rsid w:val="002F36B8"/>
    <w:rsid w:val="002F4792"/>
    <w:rsid w:val="002F4F7D"/>
    <w:rsid w:val="002F7328"/>
    <w:rsid w:val="0030402F"/>
    <w:rsid w:val="00305174"/>
    <w:rsid w:val="00307F3A"/>
    <w:rsid w:val="0031086D"/>
    <w:rsid w:val="00316E04"/>
    <w:rsid w:val="00317543"/>
    <w:rsid w:val="00317C7D"/>
    <w:rsid w:val="00317FB0"/>
    <w:rsid w:val="00321531"/>
    <w:rsid w:val="00321DA5"/>
    <w:rsid w:val="00322EA4"/>
    <w:rsid w:val="00323692"/>
    <w:rsid w:val="003242B7"/>
    <w:rsid w:val="003244D9"/>
    <w:rsid w:val="00325832"/>
    <w:rsid w:val="00325C7E"/>
    <w:rsid w:val="003265E2"/>
    <w:rsid w:val="00330DC0"/>
    <w:rsid w:val="0033276F"/>
    <w:rsid w:val="00333A1D"/>
    <w:rsid w:val="00333E97"/>
    <w:rsid w:val="00343849"/>
    <w:rsid w:val="0035257E"/>
    <w:rsid w:val="00354626"/>
    <w:rsid w:val="00355EEA"/>
    <w:rsid w:val="003562AF"/>
    <w:rsid w:val="003562E3"/>
    <w:rsid w:val="00362CEF"/>
    <w:rsid w:val="00363D42"/>
    <w:rsid w:val="00364265"/>
    <w:rsid w:val="00364574"/>
    <w:rsid w:val="003672D3"/>
    <w:rsid w:val="0037085F"/>
    <w:rsid w:val="00372DBB"/>
    <w:rsid w:val="00373D3D"/>
    <w:rsid w:val="0037495C"/>
    <w:rsid w:val="00374D13"/>
    <w:rsid w:val="00374D2C"/>
    <w:rsid w:val="00375238"/>
    <w:rsid w:val="00375683"/>
    <w:rsid w:val="00377781"/>
    <w:rsid w:val="00377D46"/>
    <w:rsid w:val="00380538"/>
    <w:rsid w:val="003839AE"/>
    <w:rsid w:val="00383A58"/>
    <w:rsid w:val="00383B18"/>
    <w:rsid w:val="00385CDC"/>
    <w:rsid w:val="003918BD"/>
    <w:rsid w:val="00391FD0"/>
    <w:rsid w:val="0039235B"/>
    <w:rsid w:val="00393557"/>
    <w:rsid w:val="00394B36"/>
    <w:rsid w:val="00395727"/>
    <w:rsid w:val="00397B9C"/>
    <w:rsid w:val="003A34FE"/>
    <w:rsid w:val="003A40F1"/>
    <w:rsid w:val="003A4B1D"/>
    <w:rsid w:val="003A536B"/>
    <w:rsid w:val="003A58F8"/>
    <w:rsid w:val="003A6738"/>
    <w:rsid w:val="003A7FEB"/>
    <w:rsid w:val="003B1C7E"/>
    <w:rsid w:val="003B1FF8"/>
    <w:rsid w:val="003B6D2D"/>
    <w:rsid w:val="003B77F8"/>
    <w:rsid w:val="003B78E0"/>
    <w:rsid w:val="003C1985"/>
    <w:rsid w:val="003C460A"/>
    <w:rsid w:val="003C4D8B"/>
    <w:rsid w:val="003C5110"/>
    <w:rsid w:val="003C6110"/>
    <w:rsid w:val="003C71A3"/>
    <w:rsid w:val="003D2EF8"/>
    <w:rsid w:val="003D3057"/>
    <w:rsid w:val="003E080B"/>
    <w:rsid w:val="003E2404"/>
    <w:rsid w:val="003E26CC"/>
    <w:rsid w:val="003E2BBE"/>
    <w:rsid w:val="003E2F1E"/>
    <w:rsid w:val="003E4B1B"/>
    <w:rsid w:val="003E5355"/>
    <w:rsid w:val="003E5548"/>
    <w:rsid w:val="003E6E8F"/>
    <w:rsid w:val="003E71CA"/>
    <w:rsid w:val="003E7204"/>
    <w:rsid w:val="003E7322"/>
    <w:rsid w:val="003E73B3"/>
    <w:rsid w:val="003E7539"/>
    <w:rsid w:val="003F0E0A"/>
    <w:rsid w:val="003F1920"/>
    <w:rsid w:val="003F2CA2"/>
    <w:rsid w:val="003F328C"/>
    <w:rsid w:val="003F68DF"/>
    <w:rsid w:val="003F6966"/>
    <w:rsid w:val="003F6B18"/>
    <w:rsid w:val="004002CB"/>
    <w:rsid w:val="0040134A"/>
    <w:rsid w:val="00402BE6"/>
    <w:rsid w:val="0040538D"/>
    <w:rsid w:val="0040553A"/>
    <w:rsid w:val="0040569C"/>
    <w:rsid w:val="0040617D"/>
    <w:rsid w:val="00407AC1"/>
    <w:rsid w:val="00410A95"/>
    <w:rsid w:val="00411416"/>
    <w:rsid w:val="00412894"/>
    <w:rsid w:val="004153D6"/>
    <w:rsid w:val="00415D1E"/>
    <w:rsid w:val="00415D39"/>
    <w:rsid w:val="00416AFE"/>
    <w:rsid w:val="004176FC"/>
    <w:rsid w:val="00417F8F"/>
    <w:rsid w:val="0042093E"/>
    <w:rsid w:val="00421214"/>
    <w:rsid w:val="00422101"/>
    <w:rsid w:val="0042253A"/>
    <w:rsid w:val="00423C10"/>
    <w:rsid w:val="00424D37"/>
    <w:rsid w:val="004267C9"/>
    <w:rsid w:val="00427F8D"/>
    <w:rsid w:val="00431536"/>
    <w:rsid w:val="00431C42"/>
    <w:rsid w:val="00432C99"/>
    <w:rsid w:val="0043478C"/>
    <w:rsid w:val="004377AC"/>
    <w:rsid w:val="004424FE"/>
    <w:rsid w:val="00442E14"/>
    <w:rsid w:val="00443C74"/>
    <w:rsid w:val="00443E5F"/>
    <w:rsid w:val="00445278"/>
    <w:rsid w:val="00445313"/>
    <w:rsid w:val="004462F4"/>
    <w:rsid w:val="0045046E"/>
    <w:rsid w:val="00452D6F"/>
    <w:rsid w:val="004541BF"/>
    <w:rsid w:val="004559D5"/>
    <w:rsid w:val="0045685C"/>
    <w:rsid w:val="00457B84"/>
    <w:rsid w:val="00460809"/>
    <w:rsid w:val="00461A5D"/>
    <w:rsid w:val="00463EEE"/>
    <w:rsid w:val="00467487"/>
    <w:rsid w:val="004675E9"/>
    <w:rsid w:val="00470811"/>
    <w:rsid w:val="00470892"/>
    <w:rsid w:val="00472C82"/>
    <w:rsid w:val="004752A9"/>
    <w:rsid w:val="004826E0"/>
    <w:rsid w:val="00482D1A"/>
    <w:rsid w:val="00484D60"/>
    <w:rsid w:val="004858AB"/>
    <w:rsid w:val="00486462"/>
    <w:rsid w:val="00486F96"/>
    <w:rsid w:val="00490C18"/>
    <w:rsid w:val="00495ECD"/>
    <w:rsid w:val="00496887"/>
    <w:rsid w:val="004A0C58"/>
    <w:rsid w:val="004A0F57"/>
    <w:rsid w:val="004A114C"/>
    <w:rsid w:val="004A32AF"/>
    <w:rsid w:val="004A3709"/>
    <w:rsid w:val="004A3B65"/>
    <w:rsid w:val="004A4C01"/>
    <w:rsid w:val="004A4E98"/>
    <w:rsid w:val="004A62FF"/>
    <w:rsid w:val="004A6F03"/>
    <w:rsid w:val="004A7516"/>
    <w:rsid w:val="004A7F72"/>
    <w:rsid w:val="004B015A"/>
    <w:rsid w:val="004B1A54"/>
    <w:rsid w:val="004B24A4"/>
    <w:rsid w:val="004B2C4C"/>
    <w:rsid w:val="004B2F0F"/>
    <w:rsid w:val="004B5E1E"/>
    <w:rsid w:val="004B725D"/>
    <w:rsid w:val="004C1EC2"/>
    <w:rsid w:val="004C5602"/>
    <w:rsid w:val="004D2411"/>
    <w:rsid w:val="004D6187"/>
    <w:rsid w:val="004D6293"/>
    <w:rsid w:val="004D6546"/>
    <w:rsid w:val="004E0483"/>
    <w:rsid w:val="004E0B40"/>
    <w:rsid w:val="004E550B"/>
    <w:rsid w:val="004E66AE"/>
    <w:rsid w:val="004F178D"/>
    <w:rsid w:val="004F26E5"/>
    <w:rsid w:val="004F3B06"/>
    <w:rsid w:val="004F55DE"/>
    <w:rsid w:val="004F6571"/>
    <w:rsid w:val="004F6CCF"/>
    <w:rsid w:val="004F7B5C"/>
    <w:rsid w:val="00502349"/>
    <w:rsid w:val="00503F5D"/>
    <w:rsid w:val="0050570A"/>
    <w:rsid w:val="00506CD1"/>
    <w:rsid w:val="005078CE"/>
    <w:rsid w:val="00507E5B"/>
    <w:rsid w:val="005107CA"/>
    <w:rsid w:val="00513A4E"/>
    <w:rsid w:val="005155D3"/>
    <w:rsid w:val="00515683"/>
    <w:rsid w:val="005201BE"/>
    <w:rsid w:val="0052022D"/>
    <w:rsid w:val="00524604"/>
    <w:rsid w:val="00525EE9"/>
    <w:rsid w:val="005260BE"/>
    <w:rsid w:val="0053021A"/>
    <w:rsid w:val="0053092D"/>
    <w:rsid w:val="00533423"/>
    <w:rsid w:val="00533A02"/>
    <w:rsid w:val="0053415D"/>
    <w:rsid w:val="005349D4"/>
    <w:rsid w:val="00536473"/>
    <w:rsid w:val="00537D63"/>
    <w:rsid w:val="005407BF"/>
    <w:rsid w:val="00540B5F"/>
    <w:rsid w:val="00540DB4"/>
    <w:rsid w:val="00542508"/>
    <w:rsid w:val="0054375A"/>
    <w:rsid w:val="005449BE"/>
    <w:rsid w:val="00545EE4"/>
    <w:rsid w:val="00546140"/>
    <w:rsid w:val="00546CBF"/>
    <w:rsid w:val="00547F40"/>
    <w:rsid w:val="00550B2F"/>
    <w:rsid w:val="00551E61"/>
    <w:rsid w:val="00553463"/>
    <w:rsid w:val="00554CBC"/>
    <w:rsid w:val="00555DBF"/>
    <w:rsid w:val="00556695"/>
    <w:rsid w:val="00556DFA"/>
    <w:rsid w:val="0055739D"/>
    <w:rsid w:val="0056011E"/>
    <w:rsid w:val="00560CBB"/>
    <w:rsid w:val="00560DF3"/>
    <w:rsid w:val="00561D80"/>
    <w:rsid w:val="00563F3E"/>
    <w:rsid w:val="005641EB"/>
    <w:rsid w:val="00564A17"/>
    <w:rsid w:val="00566238"/>
    <w:rsid w:val="0057120E"/>
    <w:rsid w:val="00572118"/>
    <w:rsid w:val="00572E0A"/>
    <w:rsid w:val="005737C6"/>
    <w:rsid w:val="00573B53"/>
    <w:rsid w:val="00574BAC"/>
    <w:rsid w:val="00575386"/>
    <w:rsid w:val="00575B05"/>
    <w:rsid w:val="005763E6"/>
    <w:rsid w:val="00580546"/>
    <w:rsid w:val="00581C11"/>
    <w:rsid w:val="005842A0"/>
    <w:rsid w:val="0058472E"/>
    <w:rsid w:val="00584D37"/>
    <w:rsid w:val="00591377"/>
    <w:rsid w:val="00593B52"/>
    <w:rsid w:val="0059473B"/>
    <w:rsid w:val="005948F3"/>
    <w:rsid w:val="00594F5A"/>
    <w:rsid w:val="005953CA"/>
    <w:rsid w:val="0059595C"/>
    <w:rsid w:val="005960BA"/>
    <w:rsid w:val="005A4A3A"/>
    <w:rsid w:val="005A4B26"/>
    <w:rsid w:val="005A6731"/>
    <w:rsid w:val="005B4918"/>
    <w:rsid w:val="005B4A8B"/>
    <w:rsid w:val="005B631B"/>
    <w:rsid w:val="005B6420"/>
    <w:rsid w:val="005C02E2"/>
    <w:rsid w:val="005C2998"/>
    <w:rsid w:val="005C5EB1"/>
    <w:rsid w:val="005C668E"/>
    <w:rsid w:val="005D046E"/>
    <w:rsid w:val="005D1150"/>
    <w:rsid w:val="005D1B17"/>
    <w:rsid w:val="005D3683"/>
    <w:rsid w:val="005D792B"/>
    <w:rsid w:val="005E2406"/>
    <w:rsid w:val="005E2966"/>
    <w:rsid w:val="005E2A3E"/>
    <w:rsid w:val="005E3ADD"/>
    <w:rsid w:val="005E6149"/>
    <w:rsid w:val="005E7CD6"/>
    <w:rsid w:val="005E7D17"/>
    <w:rsid w:val="005E7FF4"/>
    <w:rsid w:val="005F09CC"/>
    <w:rsid w:val="005F1B3C"/>
    <w:rsid w:val="005F2890"/>
    <w:rsid w:val="005F297C"/>
    <w:rsid w:val="005F3D0B"/>
    <w:rsid w:val="005F3EB2"/>
    <w:rsid w:val="006001B2"/>
    <w:rsid w:val="006014DA"/>
    <w:rsid w:val="00602BE6"/>
    <w:rsid w:val="006033F6"/>
    <w:rsid w:val="006038D0"/>
    <w:rsid w:val="00603F55"/>
    <w:rsid w:val="006063AB"/>
    <w:rsid w:val="00606545"/>
    <w:rsid w:val="00611A86"/>
    <w:rsid w:val="00612BD3"/>
    <w:rsid w:val="00612EBE"/>
    <w:rsid w:val="00615D13"/>
    <w:rsid w:val="00616667"/>
    <w:rsid w:val="00616B13"/>
    <w:rsid w:val="00620130"/>
    <w:rsid w:val="006201A9"/>
    <w:rsid w:val="006241AE"/>
    <w:rsid w:val="00625361"/>
    <w:rsid w:val="00626603"/>
    <w:rsid w:val="00627131"/>
    <w:rsid w:val="00630B07"/>
    <w:rsid w:val="00631865"/>
    <w:rsid w:val="00632120"/>
    <w:rsid w:val="00633921"/>
    <w:rsid w:val="00634901"/>
    <w:rsid w:val="00635DAE"/>
    <w:rsid w:val="006367C9"/>
    <w:rsid w:val="00637E05"/>
    <w:rsid w:val="00641801"/>
    <w:rsid w:val="00642B53"/>
    <w:rsid w:val="00643686"/>
    <w:rsid w:val="00644F54"/>
    <w:rsid w:val="006478CA"/>
    <w:rsid w:val="006520E2"/>
    <w:rsid w:val="006521C9"/>
    <w:rsid w:val="00652F7B"/>
    <w:rsid w:val="0065325B"/>
    <w:rsid w:val="00664921"/>
    <w:rsid w:val="00665DA5"/>
    <w:rsid w:val="00665EEB"/>
    <w:rsid w:val="00665F3D"/>
    <w:rsid w:val="00670BE5"/>
    <w:rsid w:val="00670D5D"/>
    <w:rsid w:val="0067311E"/>
    <w:rsid w:val="006741E5"/>
    <w:rsid w:val="00674887"/>
    <w:rsid w:val="006760BC"/>
    <w:rsid w:val="00677575"/>
    <w:rsid w:val="006802EF"/>
    <w:rsid w:val="00681C7D"/>
    <w:rsid w:val="006827FC"/>
    <w:rsid w:val="00682FB1"/>
    <w:rsid w:val="00683FD6"/>
    <w:rsid w:val="0068537D"/>
    <w:rsid w:val="00691FE7"/>
    <w:rsid w:val="00693947"/>
    <w:rsid w:val="0069618D"/>
    <w:rsid w:val="006A1C8A"/>
    <w:rsid w:val="006A351E"/>
    <w:rsid w:val="006A4BDB"/>
    <w:rsid w:val="006A4E6A"/>
    <w:rsid w:val="006A5563"/>
    <w:rsid w:val="006A6F51"/>
    <w:rsid w:val="006A75E7"/>
    <w:rsid w:val="006B0EC3"/>
    <w:rsid w:val="006B4F06"/>
    <w:rsid w:val="006B52A7"/>
    <w:rsid w:val="006B6384"/>
    <w:rsid w:val="006C0461"/>
    <w:rsid w:val="006C2E10"/>
    <w:rsid w:val="006C3DCD"/>
    <w:rsid w:val="006C48E6"/>
    <w:rsid w:val="006C5A5F"/>
    <w:rsid w:val="006D082C"/>
    <w:rsid w:val="006D0BEC"/>
    <w:rsid w:val="006D562F"/>
    <w:rsid w:val="006D61C8"/>
    <w:rsid w:val="006E076A"/>
    <w:rsid w:val="006E0CD2"/>
    <w:rsid w:val="006E1997"/>
    <w:rsid w:val="006E2EB7"/>
    <w:rsid w:val="006E618A"/>
    <w:rsid w:val="006E701A"/>
    <w:rsid w:val="006F0645"/>
    <w:rsid w:val="006F1700"/>
    <w:rsid w:val="006F2F64"/>
    <w:rsid w:val="0070070A"/>
    <w:rsid w:val="007128C9"/>
    <w:rsid w:val="00713387"/>
    <w:rsid w:val="00717835"/>
    <w:rsid w:val="00720B59"/>
    <w:rsid w:val="007236BA"/>
    <w:rsid w:val="00723733"/>
    <w:rsid w:val="007238DD"/>
    <w:rsid w:val="00723D02"/>
    <w:rsid w:val="00723D84"/>
    <w:rsid w:val="0072455E"/>
    <w:rsid w:val="00724717"/>
    <w:rsid w:val="007258A0"/>
    <w:rsid w:val="0072660C"/>
    <w:rsid w:val="00726702"/>
    <w:rsid w:val="00731AB7"/>
    <w:rsid w:val="007336AC"/>
    <w:rsid w:val="007338B9"/>
    <w:rsid w:val="0073493C"/>
    <w:rsid w:val="00735E6C"/>
    <w:rsid w:val="00740283"/>
    <w:rsid w:val="0074090C"/>
    <w:rsid w:val="0074180F"/>
    <w:rsid w:val="007419A4"/>
    <w:rsid w:val="0074297A"/>
    <w:rsid w:val="00742C6D"/>
    <w:rsid w:val="00744277"/>
    <w:rsid w:val="0074509B"/>
    <w:rsid w:val="00746019"/>
    <w:rsid w:val="00746C56"/>
    <w:rsid w:val="007473F3"/>
    <w:rsid w:val="00753020"/>
    <w:rsid w:val="007532A0"/>
    <w:rsid w:val="007549A7"/>
    <w:rsid w:val="007558DB"/>
    <w:rsid w:val="00755AB9"/>
    <w:rsid w:val="00757876"/>
    <w:rsid w:val="00757B94"/>
    <w:rsid w:val="00757DF0"/>
    <w:rsid w:val="00760746"/>
    <w:rsid w:val="0076301A"/>
    <w:rsid w:val="00763791"/>
    <w:rsid w:val="00765D14"/>
    <w:rsid w:val="00766299"/>
    <w:rsid w:val="00766870"/>
    <w:rsid w:val="007717EA"/>
    <w:rsid w:val="00773347"/>
    <w:rsid w:val="007734E1"/>
    <w:rsid w:val="007737A3"/>
    <w:rsid w:val="007753D0"/>
    <w:rsid w:val="0077606A"/>
    <w:rsid w:val="00780E86"/>
    <w:rsid w:val="0078107C"/>
    <w:rsid w:val="0078146D"/>
    <w:rsid w:val="007817D1"/>
    <w:rsid w:val="00781801"/>
    <w:rsid w:val="00782F9C"/>
    <w:rsid w:val="00784C33"/>
    <w:rsid w:val="00785D2B"/>
    <w:rsid w:val="007909A8"/>
    <w:rsid w:val="00793505"/>
    <w:rsid w:val="0079363C"/>
    <w:rsid w:val="00793B6E"/>
    <w:rsid w:val="00793DB5"/>
    <w:rsid w:val="007956C9"/>
    <w:rsid w:val="007A381A"/>
    <w:rsid w:val="007A4BB5"/>
    <w:rsid w:val="007A4FB6"/>
    <w:rsid w:val="007A524A"/>
    <w:rsid w:val="007A5AEB"/>
    <w:rsid w:val="007A6C73"/>
    <w:rsid w:val="007A6F73"/>
    <w:rsid w:val="007B1550"/>
    <w:rsid w:val="007B1B3A"/>
    <w:rsid w:val="007B2643"/>
    <w:rsid w:val="007B4E82"/>
    <w:rsid w:val="007B7C1E"/>
    <w:rsid w:val="007C1D1B"/>
    <w:rsid w:val="007C4556"/>
    <w:rsid w:val="007C7012"/>
    <w:rsid w:val="007D2504"/>
    <w:rsid w:val="007D52BB"/>
    <w:rsid w:val="007D6EC1"/>
    <w:rsid w:val="007D7020"/>
    <w:rsid w:val="007E0EAB"/>
    <w:rsid w:val="007E2250"/>
    <w:rsid w:val="007E22DA"/>
    <w:rsid w:val="007E4CD6"/>
    <w:rsid w:val="007E5EEA"/>
    <w:rsid w:val="007E76A5"/>
    <w:rsid w:val="007F1C0D"/>
    <w:rsid w:val="007F1F0C"/>
    <w:rsid w:val="007F1FE0"/>
    <w:rsid w:val="007F5589"/>
    <w:rsid w:val="007F5D38"/>
    <w:rsid w:val="007F79A8"/>
    <w:rsid w:val="007F79FD"/>
    <w:rsid w:val="00800430"/>
    <w:rsid w:val="008005A8"/>
    <w:rsid w:val="0080141B"/>
    <w:rsid w:val="0080483D"/>
    <w:rsid w:val="0080641F"/>
    <w:rsid w:val="0080752E"/>
    <w:rsid w:val="008139B7"/>
    <w:rsid w:val="00813E2C"/>
    <w:rsid w:val="00814C9A"/>
    <w:rsid w:val="008150C7"/>
    <w:rsid w:val="00817270"/>
    <w:rsid w:val="00821C63"/>
    <w:rsid w:val="008225AC"/>
    <w:rsid w:val="0082444C"/>
    <w:rsid w:val="00825F69"/>
    <w:rsid w:val="008304C4"/>
    <w:rsid w:val="00831982"/>
    <w:rsid w:val="00831EDF"/>
    <w:rsid w:val="00834D56"/>
    <w:rsid w:val="008362C0"/>
    <w:rsid w:val="0083644B"/>
    <w:rsid w:val="00837228"/>
    <w:rsid w:val="008401CC"/>
    <w:rsid w:val="00841881"/>
    <w:rsid w:val="00843905"/>
    <w:rsid w:val="0084694D"/>
    <w:rsid w:val="00850525"/>
    <w:rsid w:val="008523EA"/>
    <w:rsid w:val="00852EBB"/>
    <w:rsid w:val="0085585F"/>
    <w:rsid w:val="00855A31"/>
    <w:rsid w:val="00855FFB"/>
    <w:rsid w:val="008604E7"/>
    <w:rsid w:val="00865D2C"/>
    <w:rsid w:val="0086630A"/>
    <w:rsid w:val="00867A00"/>
    <w:rsid w:val="008736D0"/>
    <w:rsid w:val="00873D31"/>
    <w:rsid w:val="00874016"/>
    <w:rsid w:val="0087401C"/>
    <w:rsid w:val="00877914"/>
    <w:rsid w:val="00881781"/>
    <w:rsid w:val="00883479"/>
    <w:rsid w:val="00883E91"/>
    <w:rsid w:val="00884E4E"/>
    <w:rsid w:val="00885DD4"/>
    <w:rsid w:val="00886809"/>
    <w:rsid w:val="0088731B"/>
    <w:rsid w:val="0088750D"/>
    <w:rsid w:val="008876CD"/>
    <w:rsid w:val="008879C5"/>
    <w:rsid w:val="00890051"/>
    <w:rsid w:val="00890600"/>
    <w:rsid w:val="0089306D"/>
    <w:rsid w:val="008951B3"/>
    <w:rsid w:val="00895332"/>
    <w:rsid w:val="00895914"/>
    <w:rsid w:val="00896774"/>
    <w:rsid w:val="008A10ED"/>
    <w:rsid w:val="008A194B"/>
    <w:rsid w:val="008A1E8A"/>
    <w:rsid w:val="008A52C2"/>
    <w:rsid w:val="008A790A"/>
    <w:rsid w:val="008B0DBE"/>
    <w:rsid w:val="008B1F79"/>
    <w:rsid w:val="008B3001"/>
    <w:rsid w:val="008B5DBC"/>
    <w:rsid w:val="008C0F2A"/>
    <w:rsid w:val="008C28A6"/>
    <w:rsid w:val="008C3C92"/>
    <w:rsid w:val="008C3D3E"/>
    <w:rsid w:val="008C4E8A"/>
    <w:rsid w:val="008C5FC4"/>
    <w:rsid w:val="008D061B"/>
    <w:rsid w:val="008D071B"/>
    <w:rsid w:val="008D1FC3"/>
    <w:rsid w:val="008D4422"/>
    <w:rsid w:val="008D6180"/>
    <w:rsid w:val="008D640B"/>
    <w:rsid w:val="008D7AAF"/>
    <w:rsid w:val="008D7E2B"/>
    <w:rsid w:val="008E3C04"/>
    <w:rsid w:val="008E53EE"/>
    <w:rsid w:val="008E56E2"/>
    <w:rsid w:val="008F35A8"/>
    <w:rsid w:val="008F36F6"/>
    <w:rsid w:val="008F38C2"/>
    <w:rsid w:val="008F4858"/>
    <w:rsid w:val="008F6517"/>
    <w:rsid w:val="008F678A"/>
    <w:rsid w:val="009016E3"/>
    <w:rsid w:val="00905E7D"/>
    <w:rsid w:val="009110A8"/>
    <w:rsid w:val="0091270D"/>
    <w:rsid w:val="00913750"/>
    <w:rsid w:val="00913F09"/>
    <w:rsid w:val="00915738"/>
    <w:rsid w:val="00915949"/>
    <w:rsid w:val="00917496"/>
    <w:rsid w:val="0092056E"/>
    <w:rsid w:val="009206F7"/>
    <w:rsid w:val="0092151E"/>
    <w:rsid w:val="00922F4D"/>
    <w:rsid w:val="009278E8"/>
    <w:rsid w:val="009345DB"/>
    <w:rsid w:val="0093630E"/>
    <w:rsid w:val="00936E99"/>
    <w:rsid w:val="00937417"/>
    <w:rsid w:val="00937E40"/>
    <w:rsid w:val="00941D73"/>
    <w:rsid w:val="009424DA"/>
    <w:rsid w:val="00943B42"/>
    <w:rsid w:val="00946454"/>
    <w:rsid w:val="0094684F"/>
    <w:rsid w:val="009471BB"/>
    <w:rsid w:val="00947443"/>
    <w:rsid w:val="00947EC9"/>
    <w:rsid w:val="00951A8D"/>
    <w:rsid w:val="009533CE"/>
    <w:rsid w:val="00954336"/>
    <w:rsid w:val="00954AD1"/>
    <w:rsid w:val="00955B43"/>
    <w:rsid w:val="0095612C"/>
    <w:rsid w:val="00962A82"/>
    <w:rsid w:val="009642D1"/>
    <w:rsid w:val="009662F0"/>
    <w:rsid w:val="00966DD6"/>
    <w:rsid w:val="00970084"/>
    <w:rsid w:val="00973491"/>
    <w:rsid w:val="00975903"/>
    <w:rsid w:val="00976A1B"/>
    <w:rsid w:val="00977322"/>
    <w:rsid w:val="00977FB6"/>
    <w:rsid w:val="009802F6"/>
    <w:rsid w:val="009809F0"/>
    <w:rsid w:val="00981D11"/>
    <w:rsid w:val="0098229E"/>
    <w:rsid w:val="009829B0"/>
    <w:rsid w:val="0098441C"/>
    <w:rsid w:val="00986BEB"/>
    <w:rsid w:val="00990618"/>
    <w:rsid w:val="009930CD"/>
    <w:rsid w:val="0099580D"/>
    <w:rsid w:val="0099688A"/>
    <w:rsid w:val="009A1F01"/>
    <w:rsid w:val="009A4641"/>
    <w:rsid w:val="009A64B1"/>
    <w:rsid w:val="009A70B1"/>
    <w:rsid w:val="009A7596"/>
    <w:rsid w:val="009A7EDD"/>
    <w:rsid w:val="009B2083"/>
    <w:rsid w:val="009B477B"/>
    <w:rsid w:val="009B7BA9"/>
    <w:rsid w:val="009B7F1A"/>
    <w:rsid w:val="009C12DC"/>
    <w:rsid w:val="009C3606"/>
    <w:rsid w:val="009C50C7"/>
    <w:rsid w:val="009C513D"/>
    <w:rsid w:val="009C69C7"/>
    <w:rsid w:val="009D0D40"/>
    <w:rsid w:val="009D17B7"/>
    <w:rsid w:val="009D187B"/>
    <w:rsid w:val="009D2385"/>
    <w:rsid w:val="009D27AB"/>
    <w:rsid w:val="009D2841"/>
    <w:rsid w:val="009D4154"/>
    <w:rsid w:val="009D49DE"/>
    <w:rsid w:val="009D5546"/>
    <w:rsid w:val="009D5C8E"/>
    <w:rsid w:val="009D7AA5"/>
    <w:rsid w:val="009E0499"/>
    <w:rsid w:val="009E2137"/>
    <w:rsid w:val="009E2558"/>
    <w:rsid w:val="009E36F3"/>
    <w:rsid w:val="009E3B6B"/>
    <w:rsid w:val="009E4458"/>
    <w:rsid w:val="009E44DC"/>
    <w:rsid w:val="009E61FF"/>
    <w:rsid w:val="009E7B48"/>
    <w:rsid w:val="009E7D35"/>
    <w:rsid w:val="009F2269"/>
    <w:rsid w:val="009F35E3"/>
    <w:rsid w:val="009F4065"/>
    <w:rsid w:val="009F598A"/>
    <w:rsid w:val="009F6B3B"/>
    <w:rsid w:val="00A002FE"/>
    <w:rsid w:val="00A02228"/>
    <w:rsid w:val="00A03C90"/>
    <w:rsid w:val="00A03EDD"/>
    <w:rsid w:val="00A10F26"/>
    <w:rsid w:val="00A11FFD"/>
    <w:rsid w:val="00A12C8D"/>
    <w:rsid w:val="00A16F4B"/>
    <w:rsid w:val="00A216D7"/>
    <w:rsid w:val="00A218BC"/>
    <w:rsid w:val="00A22516"/>
    <w:rsid w:val="00A24996"/>
    <w:rsid w:val="00A252F0"/>
    <w:rsid w:val="00A264A9"/>
    <w:rsid w:val="00A26C90"/>
    <w:rsid w:val="00A27283"/>
    <w:rsid w:val="00A315FE"/>
    <w:rsid w:val="00A3181B"/>
    <w:rsid w:val="00A32954"/>
    <w:rsid w:val="00A32D08"/>
    <w:rsid w:val="00A34D74"/>
    <w:rsid w:val="00A3544F"/>
    <w:rsid w:val="00A3561D"/>
    <w:rsid w:val="00A35BC5"/>
    <w:rsid w:val="00A37994"/>
    <w:rsid w:val="00A42C29"/>
    <w:rsid w:val="00A440E2"/>
    <w:rsid w:val="00A4454C"/>
    <w:rsid w:val="00A45673"/>
    <w:rsid w:val="00A45815"/>
    <w:rsid w:val="00A46158"/>
    <w:rsid w:val="00A5132F"/>
    <w:rsid w:val="00A5241A"/>
    <w:rsid w:val="00A529AD"/>
    <w:rsid w:val="00A52EE0"/>
    <w:rsid w:val="00A53C66"/>
    <w:rsid w:val="00A55840"/>
    <w:rsid w:val="00A55CB3"/>
    <w:rsid w:val="00A55D0D"/>
    <w:rsid w:val="00A55D17"/>
    <w:rsid w:val="00A55F31"/>
    <w:rsid w:val="00A57696"/>
    <w:rsid w:val="00A57C7B"/>
    <w:rsid w:val="00A60795"/>
    <w:rsid w:val="00A60AF2"/>
    <w:rsid w:val="00A62455"/>
    <w:rsid w:val="00A647BE"/>
    <w:rsid w:val="00A64F8F"/>
    <w:rsid w:val="00A711EB"/>
    <w:rsid w:val="00A72F9B"/>
    <w:rsid w:val="00A73327"/>
    <w:rsid w:val="00A74C1E"/>
    <w:rsid w:val="00A76D90"/>
    <w:rsid w:val="00A8009D"/>
    <w:rsid w:val="00A80AAB"/>
    <w:rsid w:val="00A90E13"/>
    <w:rsid w:val="00A92667"/>
    <w:rsid w:val="00A92A1A"/>
    <w:rsid w:val="00A936E7"/>
    <w:rsid w:val="00A93C69"/>
    <w:rsid w:val="00A93D36"/>
    <w:rsid w:val="00A9401F"/>
    <w:rsid w:val="00A947C9"/>
    <w:rsid w:val="00A97408"/>
    <w:rsid w:val="00A97C0D"/>
    <w:rsid w:val="00AA0FDA"/>
    <w:rsid w:val="00AA2CF3"/>
    <w:rsid w:val="00AA6B88"/>
    <w:rsid w:val="00AA772B"/>
    <w:rsid w:val="00AB040F"/>
    <w:rsid w:val="00AB0F96"/>
    <w:rsid w:val="00AB1AAB"/>
    <w:rsid w:val="00AB1AB2"/>
    <w:rsid w:val="00AB2022"/>
    <w:rsid w:val="00AB42C2"/>
    <w:rsid w:val="00AB472B"/>
    <w:rsid w:val="00AB5E93"/>
    <w:rsid w:val="00AB62B1"/>
    <w:rsid w:val="00AC0B2F"/>
    <w:rsid w:val="00AC27FA"/>
    <w:rsid w:val="00AC7829"/>
    <w:rsid w:val="00AC7CD8"/>
    <w:rsid w:val="00AD07A0"/>
    <w:rsid w:val="00AD10DC"/>
    <w:rsid w:val="00AD1E91"/>
    <w:rsid w:val="00AD5F55"/>
    <w:rsid w:val="00AE120D"/>
    <w:rsid w:val="00AE1773"/>
    <w:rsid w:val="00AE24C3"/>
    <w:rsid w:val="00AE2ECF"/>
    <w:rsid w:val="00AE470D"/>
    <w:rsid w:val="00AE5C1F"/>
    <w:rsid w:val="00AE6074"/>
    <w:rsid w:val="00AF06D9"/>
    <w:rsid w:val="00AF3EBF"/>
    <w:rsid w:val="00AF78C6"/>
    <w:rsid w:val="00B012DE"/>
    <w:rsid w:val="00B01DEB"/>
    <w:rsid w:val="00B05458"/>
    <w:rsid w:val="00B059C2"/>
    <w:rsid w:val="00B061F4"/>
    <w:rsid w:val="00B06D3D"/>
    <w:rsid w:val="00B10E45"/>
    <w:rsid w:val="00B1328E"/>
    <w:rsid w:val="00B13707"/>
    <w:rsid w:val="00B13C4C"/>
    <w:rsid w:val="00B13CD0"/>
    <w:rsid w:val="00B24EE6"/>
    <w:rsid w:val="00B25107"/>
    <w:rsid w:val="00B26CC4"/>
    <w:rsid w:val="00B30DDE"/>
    <w:rsid w:val="00B32357"/>
    <w:rsid w:val="00B32A76"/>
    <w:rsid w:val="00B32C88"/>
    <w:rsid w:val="00B352C5"/>
    <w:rsid w:val="00B37280"/>
    <w:rsid w:val="00B3739E"/>
    <w:rsid w:val="00B418C7"/>
    <w:rsid w:val="00B41FA7"/>
    <w:rsid w:val="00B4237D"/>
    <w:rsid w:val="00B42656"/>
    <w:rsid w:val="00B443B4"/>
    <w:rsid w:val="00B44E4F"/>
    <w:rsid w:val="00B45888"/>
    <w:rsid w:val="00B45B15"/>
    <w:rsid w:val="00B50250"/>
    <w:rsid w:val="00B5062A"/>
    <w:rsid w:val="00B51D96"/>
    <w:rsid w:val="00B53BD7"/>
    <w:rsid w:val="00B56096"/>
    <w:rsid w:val="00B60132"/>
    <w:rsid w:val="00B64764"/>
    <w:rsid w:val="00B6637D"/>
    <w:rsid w:val="00B666EF"/>
    <w:rsid w:val="00B671A0"/>
    <w:rsid w:val="00B672EC"/>
    <w:rsid w:val="00B67A27"/>
    <w:rsid w:val="00B728F9"/>
    <w:rsid w:val="00B72FC3"/>
    <w:rsid w:val="00B73291"/>
    <w:rsid w:val="00B802CB"/>
    <w:rsid w:val="00B8141F"/>
    <w:rsid w:val="00B81640"/>
    <w:rsid w:val="00B817DB"/>
    <w:rsid w:val="00B8253E"/>
    <w:rsid w:val="00B83655"/>
    <w:rsid w:val="00B84566"/>
    <w:rsid w:val="00B85D52"/>
    <w:rsid w:val="00B860D9"/>
    <w:rsid w:val="00B86890"/>
    <w:rsid w:val="00B94F1D"/>
    <w:rsid w:val="00BA2940"/>
    <w:rsid w:val="00BA33E7"/>
    <w:rsid w:val="00BA48C0"/>
    <w:rsid w:val="00BA4E83"/>
    <w:rsid w:val="00BA53AE"/>
    <w:rsid w:val="00BA5E64"/>
    <w:rsid w:val="00BB0DF7"/>
    <w:rsid w:val="00BB0EE7"/>
    <w:rsid w:val="00BB21E1"/>
    <w:rsid w:val="00BB392C"/>
    <w:rsid w:val="00BB44BE"/>
    <w:rsid w:val="00BC20A0"/>
    <w:rsid w:val="00BC3676"/>
    <w:rsid w:val="00BC5831"/>
    <w:rsid w:val="00BC668B"/>
    <w:rsid w:val="00BC6742"/>
    <w:rsid w:val="00BC74D7"/>
    <w:rsid w:val="00BD0EA1"/>
    <w:rsid w:val="00BD11D6"/>
    <w:rsid w:val="00BD751A"/>
    <w:rsid w:val="00BE41EA"/>
    <w:rsid w:val="00BE44D4"/>
    <w:rsid w:val="00BE4FFC"/>
    <w:rsid w:val="00BE5901"/>
    <w:rsid w:val="00BF0264"/>
    <w:rsid w:val="00BF24A6"/>
    <w:rsid w:val="00BF27F1"/>
    <w:rsid w:val="00BF3297"/>
    <w:rsid w:val="00BF3B2F"/>
    <w:rsid w:val="00BF3B42"/>
    <w:rsid w:val="00BF3B8F"/>
    <w:rsid w:val="00BF490B"/>
    <w:rsid w:val="00BF6F2B"/>
    <w:rsid w:val="00BF7162"/>
    <w:rsid w:val="00C00767"/>
    <w:rsid w:val="00C01F0B"/>
    <w:rsid w:val="00C02488"/>
    <w:rsid w:val="00C02E89"/>
    <w:rsid w:val="00C030CD"/>
    <w:rsid w:val="00C0504F"/>
    <w:rsid w:val="00C05514"/>
    <w:rsid w:val="00C0566C"/>
    <w:rsid w:val="00C058D5"/>
    <w:rsid w:val="00C0691A"/>
    <w:rsid w:val="00C0765F"/>
    <w:rsid w:val="00C07C56"/>
    <w:rsid w:val="00C1135F"/>
    <w:rsid w:val="00C125F1"/>
    <w:rsid w:val="00C137F2"/>
    <w:rsid w:val="00C14BA7"/>
    <w:rsid w:val="00C15194"/>
    <w:rsid w:val="00C154F7"/>
    <w:rsid w:val="00C23595"/>
    <w:rsid w:val="00C23D41"/>
    <w:rsid w:val="00C2416E"/>
    <w:rsid w:val="00C24668"/>
    <w:rsid w:val="00C258AC"/>
    <w:rsid w:val="00C26DA0"/>
    <w:rsid w:val="00C26DF4"/>
    <w:rsid w:val="00C3090C"/>
    <w:rsid w:val="00C3100E"/>
    <w:rsid w:val="00C31468"/>
    <w:rsid w:val="00C337B7"/>
    <w:rsid w:val="00C33855"/>
    <w:rsid w:val="00C33D90"/>
    <w:rsid w:val="00C36334"/>
    <w:rsid w:val="00C439C9"/>
    <w:rsid w:val="00C508C5"/>
    <w:rsid w:val="00C52558"/>
    <w:rsid w:val="00C53D13"/>
    <w:rsid w:val="00C54475"/>
    <w:rsid w:val="00C55371"/>
    <w:rsid w:val="00C553EC"/>
    <w:rsid w:val="00C555A4"/>
    <w:rsid w:val="00C55658"/>
    <w:rsid w:val="00C61137"/>
    <w:rsid w:val="00C627B1"/>
    <w:rsid w:val="00C62AE0"/>
    <w:rsid w:val="00C63975"/>
    <w:rsid w:val="00C66604"/>
    <w:rsid w:val="00C67013"/>
    <w:rsid w:val="00C677B6"/>
    <w:rsid w:val="00C70762"/>
    <w:rsid w:val="00C720A2"/>
    <w:rsid w:val="00C7230E"/>
    <w:rsid w:val="00C773B8"/>
    <w:rsid w:val="00C77406"/>
    <w:rsid w:val="00C81403"/>
    <w:rsid w:val="00C8474B"/>
    <w:rsid w:val="00C84FCA"/>
    <w:rsid w:val="00C93D7A"/>
    <w:rsid w:val="00C93EC7"/>
    <w:rsid w:val="00C94188"/>
    <w:rsid w:val="00C945F7"/>
    <w:rsid w:val="00C95226"/>
    <w:rsid w:val="00C953A0"/>
    <w:rsid w:val="00C956D5"/>
    <w:rsid w:val="00C96104"/>
    <w:rsid w:val="00C97BD4"/>
    <w:rsid w:val="00CA00D1"/>
    <w:rsid w:val="00CA0D71"/>
    <w:rsid w:val="00CA262C"/>
    <w:rsid w:val="00CA296F"/>
    <w:rsid w:val="00CA2C84"/>
    <w:rsid w:val="00CA7D3A"/>
    <w:rsid w:val="00CB1696"/>
    <w:rsid w:val="00CB2D4E"/>
    <w:rsid w:val="00CB58C4"/>
    <w:rsid w:val="00CB5B9E"/>
    <w:rsid w:val="00CB63A6"/>
    <w:rsid w:val="00CC17F6"/>
    <w:rsid w:val="00CC33FF"/>
    <w:rsid w:val="00CC37ED"/>
    <w:rsid w:val="00CC3889"/>
    <w:rsid w:val="00CC3D49"/>
    <w:rsid w:val="00CC7763"/>
    <w:rsid w:val="00CD11B0"/>
    <w:rsid w:val="00CD214D"/>
    <w:rsid w:val="00CD3A4E"/>
    <w:rsid w:val="00CD4977"/>
    <w:rsid w:val="00CE143E"/>
    <w:rsid w:val="00CE2CE8"/>
    <w:rsid w:val="00CE48BF"/>
    <w:rsid w:val="00CE552F"/>
    <w:rsid w:val="00CF1F26"/>
    <w:rsid w:val="00CF2C72"/>
    <w:rsid w:val="00CF31B8"/>
    <w:rsid w:val="00CF3D52"/>
    <w:rsid w:val="00CF4653"/>
    <w:rsid w:val="00CF6EAD"/>
    <w:rsid w:val="00D050C2"/>
    <w:rsid w:val="00D06931"/>
    <w:rsid w:val="00D12CAF"/>
    <w:rsid w:val="00D1312A"/>
    <w:rsid w:val="00D13280"/>
    <w:rsid w:val="00D1352A"/>
    <w:rsid w:val="00D14682"/>
    <w:rsid w:val="00D20414"/>
    <w:rsid w:val="00D2089B"/>
    <w:rsid w:val="00D2334F"/>
    <w:rsid w:val="00D260FE"/>
    <w:rsid w:val="00D26FB9"/>
    <w:rsid w:val="00D304AF"/>
    <w:rsid w:val="00D33D7E"/>
    <w:rsid w:val="00D407A5"/>
    <w:rsid w:val="00D432E2"/>
    <w:rsid w:val="00D43D4D"/>
    <w:rsid w:val="00D50BE7"/>
    <w:rsid w:val="00D53B0B"/>
    <w:rsid w:val="00D54743"/>
    <w:rsid w:val="00D55D73"/>
    <w:rsid w:val="00D57E7B"/>
    <w:rsid w:val="00D616C1"/>
    <w:rsid w:val="00D61F06"/>
    <w:rsid w:val="00D661AE"/>
    <w:rsid w:val="00D704D3"/>
    <w:rsid w:val="00D73247"/>
    <w:rsid w:val="00D76026"/>
    <w:rsid w:val="00D81B7B"/>
    <w:rsid w:val="00D8458A"/>
    <w:rsid w:val="00D85E94"/>
    <w:rsid w:val="00D8605B"/>
    <w:rsid w:val="00D86B2A"/>
    <w:rsid w:val="00D872E5"/>
    <w:rsid w:val="00D873AB"/>
    <w:rsid w:val="00D873D6"/>
    <w:rsid w:val="00D92C4E"/>
    <w:rsid w:val="00D93400"/>
    <w:rsid w:val="00D94293"/>
    <w:rsid w:val="00D94BC3"/>
    <w:rsid w:val="00D97622"/>
    <w:rsid w:val="00DA09E2"/>
    <w:rsid w:val="00DA0FEA"/>
    <w:rsid w:val="00DA14B4"/>
    <w:rsid w:val="00DA1C99"/>
    <w:rsid w:val="00DA30D4"/>
    <w:rsid w:val="00DA3B07"/>
    <w:rsid w:val="00DA40FD"/>
    <w:rsid w:val="00DA44A4"/>
    <w:rsid w:val="00DA4AE5"/>
    <w:rsid w:val="00DA5924"/>
    <w:rsid w:val="00DA5EA9"/>
    <w:rsid w:val="00DB2F47"/>
    <w:rsid w:val="00DB3474"/>
    <w:rsid w:val="00DB3C45"/>
    <w:rsid w:val="00DB682A"/>
    <w:rsid w:val="00DC1E27"/>
    <w:rsid w:val="00DC53EC"/>
    <w:rsid w:val="00DC54A5"/>
    <w:rsid w:val="00DC7775"/>
    <w:rsid w:val="00DC78BE"/>
    <w:rsid w:val="00DD1FB1"/>
    <w:rsid w:val="00DD2408"/>
    <w:rsid w:val="00DD4A57"/>
    <w:rsid w:val="00DD4D01"/>
    <w:rsid w:val="00DD708B"/>
    <w:rsid w:val="00DE236A"/>
    <w:rsid w:val="00DE5B26"/>
    <w:rsid w:val="00DE6526"/>
    <w:rsid w:val="00DE6B5F"/>
    <w:rsid w:val="00DE784C"/>
    <w:rsid w:val="00DE78D0"/>
    <w:rsid w:val="00DF12BE"/>
    <w:rsid w:val="00DF2800"/>
    <w:rsid w:val="00DF2A97"/>
    <w:rsid w:val="00DF54D9"/>
    <w:rsid w:val="00DF67A6"/>
    <w:rsid w:val="00E01FCC"/>
    <w:rsid w:val="00E0257D"/>
    <w:rsid w:val="00E03C08"/>
    <w:rsid w:val="00E03E6D"/>
    <w:rsid w:val="00E0438B"/>
    <w:rsid w:val="00E07B01"/>
    <w:rsid w:val="00E12E7B"/>
    <w:rsid w:val="00E15D14"/>
    <w:rsid w:val="00E16F91"/>
    <w:rsid w:val="00E20F2B"/>
    <w:rsid w:val="00E227FF"/>
    <w:rsid w:val="00E2627C"/>
    <w:rsid w:val="00E269BA"/>
    <w:rsid w:val="00E27188"/>
    <w:rsid w:val="00E27FBD"/>
    <w:rsid w:val="00E3578B"/>
    <w:rsid w:val="00E371D6"/>
    <w:rsid w:val="00E40D53"/>
    <w:rsid w:val="00E41D71"/>
    <w:rsid w:val="00E43E81"/>
    <w:rsid w:val="00E44827"/>
    <w:rsid w:val="00E46805"/>
    <w:rsid w:val="00E539AE"/>
    <w:rsid w:val="00E543AE"/>
    <w:rsid w:val="00E575B1"/>
    <w:rsid w:val="00E578C5"/>
    <w:rsid w:val="00E57987"/>
    <w:rsid w:val="00E60CAD"/>
    <w:rsid w:val="00E6440D"/>
    <w:rsid w:val="00E6617D"/>
    <w:rsid w:val="00E67265"/>
    <w:rsid w:val="00E67DD7"/>
    <w:rsid w:val="00E700DC"/>
    <w:rsid w:val="00E716E0"/>
    <w:rsid w:val="00E71BED"/>
    <w:rsid w:val="00E71CEC"/>
    <w:rsid w:val="00E73CCB"/>
    <w:rsid w:val="00E744F1"/>
    <w:rsid w:val="00E753DF"/>
    <w:rsid w:val="00E76448"/>
    <w:rsid w:val="00E76688"/>
    <w:rsid w:val="00E76A60"/>
    <w:rsid w:val="00E77325"/>
    <w:rsid w:val="00E81B33"/>
    <w:rsid w:val="00E81D71"/>
    <w:rsid w:val="00E839EF"/>
    <w:rsid w:val="00E8518C"/>
    <w:rsid w:val="00E866F0"/>
    <w:rsid w:val="00E902A9"/>
    <w:rsid w:val="00E91879"/>
    <w:rsid w:val="00E92A1C"/>
    <w:rsid w:val="00E92BE5"/>
    <w:rsid w:val="00E92C60"/>
    <w:rsid w:val="00E93C8A"/>
    <w:rsid w:val="00E94CD3"/>
    <w:rsid w:val="00E96559"/>
    <w:rsid w:val="00EA3BA2"/>
    <w:rsid w:val="00EA48B8"/>
    <w:rsid w:val="00EA57A0"/>
    <w:rsid w:val="00EA6EC8"/>
    <w:rsid w:val="00EB01B6"/>
    <w:rsid w:val="00EB1861"/>
    <w:rsid w:val="00EB1F35"/>
    <w:rsid w:val="00EB3896"/>
    <w:rsid w:val="00EB39C5"/>
    <w:rsid w:val="00EB3D19"/>
    <w:rsid w:val="00EB47D5"/>
    <w:rsid w:val="00EB6B24"/>
    <w:rsid w:val="00EB6C44"/>
    <w:rsid w:val="00EB7FF0"/>
    <w:rsid w:val="00EC07CF"/>
    <w:rsid w:val="00EC2827"/>
    <w:rsid w:val="00EC2FAA"/>
    <w:rsid w:val="00EC409B"/>
    <w:rsid w:val="00EC48EA"/>
    <w:rsid w:val="00EC73C4"/>
    <w:rsid w:val="00EC79B7"/>
    <w:rsid w:val="00ED080B"/>
    <w:rsid w:val="00ED0E03"/>
    <w:rsid w:val="00ED246B"/>
    <w:rsid w:val="00ED3065"/>
    <w:rsid w:val="00ED4B6D"/>
    <w:rsid w:val="00ED6893"/>
    <w:rsid w:val="00ED779D"/>
    <w:rsid w:val="00EE127E"/>
    <w:rsid w:val="00EE3424"/>
    <w:rsid w:val="00EE5398"/>
    <w:rsid w:val="00EE55C1"/>
    <w:rsid w:val="00EE639B"/>
    <w:rsid w:val="00EE63E5"/>
    <w:rsid w:val="00EE7C86"/>
    <w:rsid w:val="00EF0D03"/>
    <w:rsid w:val="00EF0E84"/>
    <w:rsid w:val="00EF18D1"/>
    <w:rsid w:val="00EF5154"/>
    <w:rsid w:val="00EF5351"/>
    <w:rsid w:val="00EF59DB"/>
    <w:rsid w:val="00EF6577"/>
    <w:rsid w:val="00EF67AD"/>
    <w:rsid w:val="00EF7338"/>
    <w:rsid w:val="00F0087B"/>
    <w:rsid w:val="00F041C4"/>
    <w:rsid w:val="00F04FF1"/>
    <w:rsid w:val="00F0691A"/>
    <w:rsid w:val="00F078C5"/>
    <w:rsid w:val="00F07A14"/>
    <w:rsid w:val="00F124F1"/>
    <w:rsid w:val="00F12641"/>
    <w:rsid w:val="00F22DCB"/>
    <w:rsid w:val="00F23707"/>
    <w:rsid w:val="00F238DF"/>
    <w:rsid w:val="00F242B9"/>
    <w:rsid w:val="00F24726"/>
    <w:rsid w:val="00F25935"/>
    <w:rsid w:val="00F276E2"/>
    <w:rsid w:val="00F27BD1"/>
    <w:rsid w:val="00F306C7"/>
    <w:rsid w:val="00F32F05"/>
    <w:rsid w:val="00F33DDF"/>
    <w:rsid w:val="00F34DD2"/>
    <w:rsid w:val="00F35550"/>
    <w:rsid w:val="00F40389"/>
    <w:rsid w:val="00F413CC"/>
    <w:rsid w:val="00F41B8B"/>
    <w:rsid w:val="00F43465"/>
    <w:rsid w:val="00F436AA"/>
    <w:rsid w:val="00F439F1"/>
    <w:rsid w:val="00F43FF6"/>
    <w:rsid w:val="00F45217"/>
    <w:rsid w:val="00F46CFD"/>
    <w:rsid w:val="00F476D3"/>
    <w:rsid w:val="00F47AC1"/>
    <w:rsid w:val="00F51AD2"/>
    <w:rsid w:val="00F567AC"/>
    <w:rsid w:val="00F57097"/>
    <w:rsid w:val="00F573FB"/>
    <w:rsid w:val="00F61247"/>
    <w:rsid w:val="00F61CAD"/>
    <w:rsid w:val="00F64D46"/>
    <w:rsid w:val="00F65B37"/>
    <w:rsid w:val="00F66DD2"/>
    <w:rsid w:val="00F67C9D"/>
    <w:rsid w:val="00F70820"/>
    <w:rsid w:val="00F72428"/>
    <w:rsid w:val="00F72C0B"/>
    <w:rsid w:val="00F73A21"/>
    <w:rsid w:val="00F752C7"/>
    <w:rsid w:val="00F831C2"/>
    <w:rsid w:val="00F86DB5"/>
    <w:rsid w:val="00F86E3C"/>
    <w:rsid w:val="00F86E7B"/>
    <w:rsid w:val="00F86FE9"/>
    <w:rsid w:val="00F86FFE"/>
    <w:rsid w:val="00F90C66"/>
    <w:rsid w:val="00F9117A"/>
    <w:rsid w:val="00F92891"/>
    <w:rsid w:val="00F942D6"/>
    <w:rsid w:val="00F9647C"/>
    <w:rsid w:val="00F97162"/>
    <w:rsid w:val="00FA16EF"/>
    <w:rsid w:val="00FA3B04"/>
    <w:rsid w:val="00FA475C"/>
    <w:rsid w:val="00FA4865"/>
    <w:rsid w:val="00FA54F1"/>
    <w:rsid w:val="00FB033F"/>
    <w:rsid w:val="00FB0A47"/>
    <w:rsid w:val="00FB128F"/>
    <w:rsid w:val="00FB3025"/>
    <w:rsid w:val="00FB35AD"/>
    <w:rsid w:val="00FB56AE"/>
    <w:rsid w:val="00FC1C61"/>
    <w:rsid w:val="00FC4DF5"/>
    <w:rsid w:val="00FC5205"/>
    <w:rsid w:val="00FC5394"/>
    <w:rsid w:val="00FC5B32"/>
    <w:rsid w:val="00FC6823"/>
    <w:rsid w:val="00FC7BCC"/>
    <w:rsid w:val="00FC7FDF"/>
    <w:rsid w:val="00FD2929"/>
    <w:rsid w:val="00FD3118"/>
    <w:rsid w:val="00FD4590"/>
    <w:rsid w:val="00FD4F70"/>
    <w:rsid w:val="00FD5633"/>
    <w:rsid w:val="00FE251C"/>
    <w:rsid w:val="00FE3329"/>
    <w:rsid w:val="00FE3763"/>
    <w:rsid w:val="00FE4578"/>
    <w:rsid w:val="00FE4A7F"/>
    <w:rsid w:val="00FE5538"/>
    <w:rsid w:val="00FF0FE5"/>
    <w:rsid w:val="00FF20E5"/>
    <w:rsid w:val="00FF28A2"/>
    <w:rsid w:val="00FF3D23"/>
    <w:rsid w:val="00FF5071"/>
    <w:rsid w:val="00FF5906"/>
    <w:rsid w:val="013B3019"/>
    <w:rsid w:val="02FA156C"/>
    <w:rsid w:val="0397607D"/>
    <w:rsid w:val="04DD6AE6"/>
    <w:rsid w:val="0623128D"/>
    <w:rsid w:val="064A73D7"/>
    <w:rsid w:val="06622973"/>
    <w:rsid w:val="0666262B"/>
    <w:rsid w:val="06EB05E9"/>
    <w:rsid w:val="06FD6EF9"/>
    <w:rsid w:val="090162D8"/>
    <w:rsid w:val="091931DC"/>
    <w:rsid w:val="091D0417"/>
    <w:rsid w:val="09D678FF"/>
    <w:rsid w:val="09FE4A30"/>
    <w:rsid w:val="0A045B33"/>
    <w:rsid w:val="0A55714E"/>
    <w:rsid w:val="0A6278BE"/>
    <w:rsid w:val="0A931B0A"/>
    <w:rsid w:val="0AE2106E"/>
    <w:rsid w:val="0AE27A8D"/>
    <w:rsid w:val="0B9D29FB"/>
    <w:rsid w:val="0BCB1B3F"/>
    <w:rsid w:val="0C343BA0"/>
    <w:rsid w:val="0C8F3D96"/>
    <w:rsid w:val="0D3F564B"/>
    <w:rsid w:val="0DF26CD2"/>
    <w:rsid w:val="0DFC2701"/>
    <w:rsid w:val="0E4A426C"/>
    <w:rsid w:val="0EFC3D5A"/>
    <w:rsid w:val="0F02144F"/>
    <w:rsid w:val="0F046E1B"/>
    <w:rsid w:val="0F5117D6"/>
    <w:rsid w:val="0F9B45D9"/>
    <w:rsid w:val="10336CF3"/>
    <w:rsid w:val="10E36DA6"/>
    <w:rsid w:val="10EF4AD4"/>
    <w:rsid w:val="115C6582"/>
    <w:rsid w:val="1172368A"/>
    <w:rsid w:val="12F64A22"/>
    <w:rsid w:val="13810D77"/>
    <w:rsid w:val="14143639"/>
    <w:rsid w:val="1422205A"/>
    <w:rsid w:val="14243455"/>
    <w:rsid w:val="143C21B5"/>
    <w:rsid w:val="15D23B9D"/>
    <w:rsid w:val="15D46CBD"/>
    <w:rsid w:val="15FC2FFC"/>
    <w:rsid w:val="16287735"/>
    <w:rsid w:val="16D62202"/>
    <w:rsid w:val="17306175"/>
    <w:rsid w:val="17CF6476"/>
    <w:rsid w:val="181F06C4"/>
    <w:rsid w:val="18AB7483"/>
    <w:rsid w:val="194A100A"/>
    <w:rsid w:val="19DA71C1"/>
    <w:rsid w:val="1AE5289B"/>
    <w:rsid w:val="1B882BA9"/>
    <w:rsid w:val="1C0E2307"/>
    <w:rsid w:val="1C547EC2"/>
    <w:rsid w:val="1C692FDE"/>
    <w:rsid w:val="1CF8444D"/>
    <w:rsid w:val="1CFC6E8A"/>
    <w:rsid w:val="1D853F87"/>
    <w:rsid w:val="1DCF4509"/>
    <w:rsid w:val="1E0D7210"/>
    <w:rsid w:val="1F2DC11B"/>
    <w:rsid w:val="1F9F0CE5"/>
    <w:rsid w:val="1FE57DD2"/>
    <w:rsid w:val="208178BC"/>
    <w:rsid w:val="20FD2193"/>
    <w:rsid w:val="2201314B"/>
    <w:rsid w:val="22AF5ED8"/>
    <w:rsid w:val="22CB51F1"/>
    <w:rsid w:val="23010802"/>
    <w:rsid w:val="23DE2304"/>
    <w:rsid w:val="23DF1A06"/>
    <w:rsid w:val="24286B52"/>
    <w:rsid w:val="24731075"/>
    <w:rsid w:val="24FE5B05"/>
    <w:rsid w:val="2505565A"/>
    <w:rsid w:val="258000FC"/>
    <w:rsid w:val="26922C44"/>
    <w:rsid w:val="27330963"/>
    <w:rsid w:val="27345B4C"/>
    <w:rsid w:val="27683224"/>
    <w:rsid w:val="279369D8"/>
    <w:rsid w:val="27D03B44"/>
    <w:rsid w:val="284E50C8"/>
    <w:rsid w:val="28642A15"/>
    <w:rsid w:val="28946BDB"/>
    <w:rsid w:val="294627F0"/>
    <w:rsid w:val="29A529F3"/>
    <w:rsid w:val="2A1C3D55"/>
    <w:rsid w:val="2D7B318C"/>
    <w:rsid w:val="2E255EB0"/>
    <w:rsid w:val="2E374561"/>
    <w:rsid w:val="2E3951FD"/>
    <w:rsid w:val="2E9157BD"/>
    <w:rsid w:val="2ED60DFF"/>
    <w:rsid w:val="2EF16D48"/>
    <w:rsid w:val="2F4F7A5A"/>
    <w:rsid w:val="2FA3379B"/>
    <w:rsid w:val="2FBFCBF6"/>
    <w:rsid w:val="305277B0"/>
    <w:rsid w:val="305D72D8"/>
    <w:rsid w:val="3066D5D2"/>
    <w:rsid w:val="3073237C"/>
    <w:rsid w:val="311C17EC"/>
    <w:rsid w:val="312F391B"/>
    <w:rsid w:val="318149C7"/>
    <w:rsid w:val="31EE4F6D"/>
    <w:rsid w:val="31EFCDD4"/>
    <w:rsid w:val="31F6777D"/>
    <w:rsid w:val="325E483A"/>
    <w:rsid w:val="32DA54BB"/>
    <w:rsid w:val="32F72511"/>
    <w:rsid w:val="333F03E4"/>
    <w:rsid w:val="337737F3"/>
    <w:rsid w:val="347A51A8"/>
    <w:rsid w:val="34842BF0"/>
    <w:rsid w:val="34E35AB8"/>
    <w:rsid w:val="354C3113"/>
    <w:rsid w:val="358945ED"/>
    <w:rsid w:val="374E00AC"/>
    <w:rsid w:val="377A483B"/>
    <w:rsid w:val="37AA4336"/>
    <w:rsid w:val="37E13E60"/>
    <w:rsid w:val="380104B4"/>
    <w:rsid w:val="3A295650"/>
    <w:rsid w:val="3B38613F"/>
    <w:rsid w:val="3B415D7A"/>
    <w:rsid w:val="3BF3556D"/>
    <w:rsid w:val="3BFF586E"/>
    <w:rsid w:val="3C2064F1"/>
    <w:rsid w:val="3C5A141B"/>
    <w:rsid w:val="3D7C040F"/>
    <w:rsid w:val="3DF510DA"/>
    <w:rsid w:val="3DF552CA"/>
    <w:rsid w:val="3E6B30D1"/>
    <w:rsid w:val="3EDD3614"/>
    <w:rsid w:val="3F684F56"/>
    <w:rsid w:val="3FB3E01E"/>
    <w:rsid w:val="3FE0432D"/>
    <w:rsid w:val="400C6648"/>
    <w:rsid w:val="40A3665E"/>
    <w:rsid w:val="41210759"/>
    <w:rsid w:val="414563A5"/>
    <w:rsid w:val="42390622"/>
    <w:rsid w:val="4267663F"/>
    <w:rsid w:val="42965FE2"/>
    <w:rsid w:val="42C13413"/>
    <w:rsid w:val="42E37D5F"/>
    <w:rsid w:val="432837C5"/>
    <w:rsid w:val="444B2CEC"/>
    <w:rsid w:val="445C6678"/>
    <w:rsid w:val="459A6F31"/>
    <w:rsid w:val="45D547D0"/>
    <w:rsid w:val="45E87EAA"/>
    <w:rsid w:val="46820AF5"/>
    <w:rsid w:val="49333416"/>
    <w:rsid w:val="49361832"/>
    <w:rsid w:val="496D0C3A"/>
    <w:rsid w:val="497114C0"/>
    <w:rsid w:val="498F608C"/>
    <w:rsid w:val="49CB0359"/>
    <w:rsid w:val="4A705D82"/>
    <w:rsid w:val="4A830FF8"/>
    <w:rsid w:val="4B144A99"/>
    <w:rsid w:val="4B816C3E"/>
    <w:rsid w:val="4B9F71DA"/>
    <w:rsid w:val="4C3D3183"/>
    <w:rsid w:val="4C6C13F1"/>
    <w:rsid w:val="4C6C5AEE"/>
    <w:rsid w:val="4CAB6172"/>
    <w:rsid w:val="4CCE13D7"/>
    <w:rsid w:val="4D4F6473"/>
    <w:rsid w:val="4D987FF5"/>
    <w:rsid w:val="4D990F3E"/>
    <w:rsid w:val="4DC1754C"/>
    <w:rsid w:val="4DD25661"/>
    <w:rsid w:val="4DD31003"/>
    <w:rsid w:val="4E090E56"/>
    <w:rsid w:val="4E160366"/>
    <w:rsid w:val="4F910230"/>
    <w:rsid w:val="50125713"/>
    <w:rsid w:val="506A0AD0"/>
    <w:rsid w:val="50865F09"/>
    <w:rsid w:val="50DE0415"/>
    <w:rsid w:val="510037EC"/>
    <w:rsid w:val="51CE2237"/>
    <w:rsid w:val="51D72A8F"/>
    <w:rsid w:val="51F6353C"/>
    <w:rsid w:val="5268443A"/>
    <w:rsid w:val="52862B12"/>
    <w:rsid w:val="52876FB1"/>
    <w:rsid w:val="537F5EDF"/>
    <w:rsid w:val="53AE6655"/>
    <w:rsid w:val="547D0B90"/>
    <w:rsid w:val="54857CFB"/>
    <w:rsid w:val="54A44BE1"/>
    <w:rsid w:val="54F8488B"/>
    <w:rsid w:val="55EE2EA8"/>
    <w:rsid w:val="56254529"/>
    <w:rsid w:val="56766629"/>
    <w:rsid w:val="56A71364"/>
    <w:rsid w:val="56F76392"/>
    <w:rsid w:val="576B3CC8"/>
    <w:rsid w:val="586B4E61"/>
    <w:rsid w:val="58700732"/>
    <w:rsid w:val="593034CA"/>
    <w:rsid w:val="59FC5792"/>
    <w:rsid w:val="5A322DFB"/>
    <w:rsid w:val="5AAF5F44"/>
    <w:rsid w:val="5ABD0C90"/>
    <w:rsid w:val="5AF1405C"/>
    <w:rsid w:val="5AFA22EF"/>
    <w:rsid w:val="5B2E36AD"/>
    <w:rsid w:val="5BC77E36"/>
    <w:rsid w:val="5BD67848"/>
    <w:rsid w:val="5BF7FF28"/>
    <w:rsid w:val="5C1318BA"/>
    <w:rsid w:val="5C640B21"/>
    <w:rsid w:val="5C806A70"/>
    <w:rsid w:val="5CB06E1A"/>
    <w:rsid w:val="5CE91EE0"/>
    <w:rsid w:val="5D0648F0"/>
    <w:rsid w:val="5DF62459"/>
    <w:rsid w:val="5E7CF85B"/>
    <w:rsid w:val="5E882C06"/>
    <w:rsid w:val="603B1A09"/>
    <w:rsid w:val="60617D03"/>
    <w:rsid w:val="60664D17"/>
    <w:rsid w:val="60EA363C"/>
    <w:rsid w:val="612400C6"/>
    <w:rsid w:val="61EC706F"/>
    <w:rsid w:val="62286C35"/>
    <w:rsid w:val="627F15F6"/>
    <w:rsid w:val="637C0459"/>
    <w:rsid w:val="63BF48B3"/>
    <w:rsid w:val="63C85A6A"/>
    <w:rsid w:val="63D617A4"/>
    <w:rsid w:val="63D9526F"/>
    <w:rsid w:val="64901266"/>
    <w:rsid w:val="649C34AD"/>
    <w:rsid w:val="64F62C19"/>
    <w:rsid w:val="656A4902"/>
    <w:rsid w:val="6595175A"/>
    <w:rsid w:val="666D5FD8"/>
    <w:rsid w:val="66F43704"/>
    <w:rsid w:val="66F75988"/>
    <w:rsid w:val="670D69F8"/>
    <w:rsid w:val="670E6F00"/>
    <w:rsid w:val="677D2E61"/>
    <w:rsid w:val="69241508"/>
    <w:rsid w:val="69342E70"/>
    <w:rsid w:val="699A6ECD"/>
    <w:rsid w:val="69E11753"/>
    <w:rsid w:val="6A713556"/>
    <w:rsid w:val="6AD79C9F"/>
    <w:rsid w:val="6B503D2E"/>
    <w:rsid w:val="6BA32E7E"/>
    <w:rsid w:val="6BE37468"/>
    <w:rsid w:val="6C007F97"/>
    <w:rsid w:val="6C8B0FF9"/>
    <w:rsid w:val="6E146E51"/>
    <w:rsid w:val="6E2C4426"/>
    <w:rsid w:val="6E433302"/>
    <w:rsid w:val="6F9342C3"/>
    <w:rsid w:val="6FDC657D"/>
    <w:rsid w:val="6FDF04B3"/>
    <w:rsid w:val="6FE72A19"/>
    <w:rsid w:val="703B3E4B"/>
    <w:rsid w:val="70D70B81"/>
    <w:rsid w:val="70E95317"/>
    <w:rsid w:val="70FD7413"/>
    <w:rsid w:val="71314E40"/>
    <w:rsid w:val="71420890"/>
    <w:rsid w:val="72654E43"/>
    <w:rsid w:val="72930C07"/>
    <w:rsid w:val="738E7097"/>
    <w:rsid w:val="73AB0BE4"/>
    <w:rsid w:val="74EC1BB4"/>
    <w:rsid w:val="75B841CC"/>
    <w:rsid w:val="75BFC3B2"/>
    <w:rsid w:val="76AF36C7"/>
    <w:rsid w:val="76B5658A"/>
    <w:rsid w:val="76F47374"/>
    <w:rsid w:val="77354683"/>
    <w:rsid w:val="77FD351B"/>
    <w:rsid w:val="77FF8B4B"/>
    <w:rsid w:val="781E4B53"/>
    <w:rsid w:val="79075D5C"/>
    <w:rsid w:val="79287F1B"/>
    <w:rsid w:val="79456B37"/>
    <w:rsid w:val="79892D64"/>
    <w:rsid w:val="799455C7"/>
    <w:rsid w:val="79A656C4"/>
    <w:rsid w:val="79AD75E2"/>
    <w:rsid w:val="79F72F45"/>
    <w:rsid w:val="7AC80413"/>
    <w:rsid w:val="7AD77382"/>
    <w:rsid w:val="7AEA11EE"/>
    <w:rsid w:val="7AF96618"/>
    <w:rsid w:val="7B191012"/>
    <w:rsid w:val="7B790225"/>
    <w:rsid w:val="7BA21EBB"/>
    <w:rsid w:val="7C261429"/>
    <w:rsid w:val="7C284805"/>
    <w:rsid w:val="7C711244"/>
    <w:rsid w:val="7C886353"/>
    <w:rsid w:val="7CED9C1B"/>
    <w:rsid w:val="7D2860A0"/>
    <w:rsid w:val="7D344866"/>
    <w:rsid w:val="7D6438CC"/>
    <w:rsid w:val="7DA3104B"/>
    <w:rsid w:val="7DFBB7B2"/>
    <w:rsid w:val="7DFFB4D2"/>
    <w:rsid w:val="7E9EE08D"/>
    <w:rsid w:val="7EB55B0E"/>
    <w:rsid w:val="7F7471C9"/>
    <w:rsid w:val="7FBB2F9B"/>
    <w:rsid w:val="7FFD3284"/>
    <w:rsid w:val="95F30605"/>
    <w:rsid w:val="97B498EF"/>
    <w:rsid w:val="A99F7ABD"/>
    <w:rsid w:val="B6FFC51D"/>
    <w:rsid w:val="B7F6A9C8"/>
    <w:rsid w:val="BC72D8A5"/>
    <w:rsid w:val="BD5BF9DA"/>
    <w:rsid w:val="BFFAF399"/>
    <w:rsid w:val="C577EAE8"/>
    <w:rsid w:val="CF377B22"/>
    <w:rsid w:val="D383DBDD"/>
    <w:rsid w:val="D94714FC"/>
    <w:rsid w:val="DAFC9A54"/>
    <w:rsid w:val="DD768A2F"/>
    <w:rsid w:val="DDEFAE18"/>
    <w:rsid w:val="DE6F9336"/>
    <w:rsid w:val="DF6E46A5"/>
    <w:rsid w:val="DFBF0201"/>
    <w:rsid w:val="DFF7D291"/>
    <w:rsid w:val="DFFBD881"/>
    <w:rsid w:val="E5FE867B"/>
    <w:rsid w:val="EF3FB1DD"/>
    <w:rsid w:val="EFD8CB69"/>
    <w:rsid w:val="EFFED1E3"/>
    <w:rsid w:val="F02A1120"/>
    <w:rsid w:val="F6A5153A"/>
    <w:rsid w:val="FBCBA116"/>
    <w:rsid w:val="FBE7A1FB"/>
    <w:rsid w:val="FBFA13E9"/>
    <w:rsid w:val="FCFE73B7"/>
    <w:rsid w:val="FD7E499C"/>
    <w:rsid w:val="FDFFCC85"/>
    <w:rsid w:val="FE378F6D"/>
    <w:rsid w:val="FE3F1530"/>
    <w:rsid w:val="FFEC9ED6"/>
    <w:rsid w:val="FFF53A3D"/>
    <w:rsid w:val="FFFF88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nhideWhenUsed="0" w:uiPriority="1"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6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6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2"/>
    <w:qFormat/>
    <w:uiPriority w:val="0"/>
    <w:pPr>
      <w:keepNext/>
      <w:keepLines/>
      <w:spacing w:before="260" w:after="260" w:line="416" w:lineRule="auto"/>
      <w:outlineLvl w:val="2"/>
    </w:pPr>
    <w:rPr>
      <w:b/>
      <w:bCs/>
      <w:sz w:val="32"/>
      <w:szCs w:val="32"/>
    </w:rPr>
  </w:style>
  <w:style w:type="paragraph" w:styleId="6">
    <w:name w:val="heading 6"/>
    <w:basedOn w:val="1"/>
    <w:next w:val="1"/>
    <w:qFormat/>
    <w:uiPriority w:val="1"/>
    <w:pPr>
      <w:ind w:left="1143"/>
      <w:outlineLvl w:val="6"/>
    </w:pPr>
    <w:rPr>
      <w:rFonts w:ascii="仿宋" w:hAnsi="仿宋" w:eastAsia="仿宋" w:cs="仿宋"/>
      <w:b/>
      <w:bCs/>
      <w:sz w:val="24"/>
      <w:szCs w:val="24"/>
      <w:lang w:val="zh-CN" w:eastAsia="zh-CN" w:bidi="zh-CN"/>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pPr>
    <w:rPr>
      <w:rFonts w:ascii="Calibri" w:hAnsi="Calibri"/>
      <w:szCs w:val="22"/>
      <w:lang w:val="zh-CN"/>
    </w:rPr>
  </w:style>
  <w:style w:type="paragraph" w:styleId="7">
    <w:name w:val="Normal Indent"/>
    <w:basedOn w:val="1"/>
    <w:next w:val="1"/>
    <w:qFormat/>
    <w:uiPriority w:val="0"/>
    <w:pPr>
      <w:ind w:firstLine="420"/>
    </w:pPr>
  </w:style>
  <w:style w:type="paragraph" w:styleId="8">
    <w:name w:val="annotation text"/>
    <w:basedOn w:val="1"/>
    <w:link w:val="58"/>
    <w:unhideWhenUsed/>
    <w:qFormat/>
    <w:uiPriority w:val="99"/>
    <w:pPr>
      <w:jc w:val="left"/>
    </w:pPr>
  </w:style>
  <w:style w:type="paragraph" w:styleId="9">
    <w:name w:val="Body Text"/>
    <w:basedOn w:val="1"/>
    <w:next w:val="1"/>
    <w:link w:val="79"/>
    <w:unhideWhenUsed/>
    <w:qFormat/>
    <w:uiPriority w:val="0"/>
    <w:pPr>
      <w:spacing w:after="120"/>
    </w:pPr>
  </w:style>
  <w:style w:type="paragraph" w:styleId="10">
    <w:name w:val="Body Text Indent"/>
    <w:basedOn w:val="1"/>
    <w:link w:val="35"/>
    <w:qFormat/>
    <w:uiPriority w:val="0"/>
    <w:pPr>
      <w:tabs>
        <w:tab w:val="left" w:pos="480"/>
      </w:tabs>
      <w:spacing w:line="560" w:lineRule="exact"/>
      <w:ind w:firstLine="480"/>
      <w:jc w:val="left"/>
    </w:pPr>
    <w:rPr>
      <w:rFonts w:ascii="宋体" w:hAnsi="宋体"/>
      <w:sz w:val="24"/>
    </w:rPr>
  </w:style>
  <w:style w:type="paragraph" w:styleId="11">
    <w:name w:val="Plain Text"/>
    <w:basedOn w:val="1"/>
    <w:link w:val="46"/>
    <w:qFormat/>
    <w:uiPriority w:val="0"/>
    <w:rPr>
      <w:rFonts w:ascii="宋体" w:hAnsi="Courier New"/>
    </w:rPr>
  </w:style>
  <w:style w:type="paragraph" w:styleId="12">
    <w:name w:val="Date"/>
    <w:basedOn w:val="1"/>
    <w:next w:val="1"/>
    <w:link w:val="39"/>
    <w:qFormat/>
    <w:uiPriority w:val="0"/>
    <w:pPr>
      <w:adjustRightInd w:val="0"/>
      <w:spacing w:line="360" w:lineRule="atLeast"/>
      <w:textAlignment w:val="baseline"/>
    </w:pPr>
    <w:rPr>
      <w:sz w:val="32"/>
    </w:rPr>
  </w:style>
  <w:style w:type="paragraph" w:styleId="13">
    <w:name w:val="Body Text Indent 2"/>
    <w:basedOn w:val="1"/>
    <w:link w:val="41"/>
    <w:unhideWhenUsed/>
    <w:qFormat/>
    <w:uiPriority w:val="99"/>
    <w:pPr>
      <w:spacing w:after="120" w:line="480" w:lineRule="auto"/>
      <w:ind w:left="420" w:leftChars="200"/>
    </w:pPr>
  </w:style>
  <w:style w:type="paragraph" w:styleId="14">
    <w:name w:val="Balloon Text"/>
    <w:basedOn w:val="1"/>
    <w:link w:val="52"/>
    <w:qFormat/>
    <w:uiPriority w:val="0"/>
    <w:rPr>
      <w:sz w:val="18"/>
      <w:szCs w:val="18"/>
    </w:rPr>
  </w:style>
  <w:style w:type="paragraph" w:styleId="15">
    <w:name w:val="footer"/>
    <w:basedOn w:val="1"/>
    <w:link w:val="38"/>
    <w:unhideWhenUsed/>
    <w:qFormat/>
    <w:uiPriority w:val="0"/>
    <w:pPr>
      <w:tabs>
        <w:tab w:val="center" w:pos="4153"/>
        <w:tab w:val="right" w:pos="8306"/>
      </w:tabs>
      <w:snapToGrid w:val="0"/>
      <w:jc w:val="left"/>
    </w:pPr>
    <w:rPr>
      <w:sz w:val="18"/>
      <w:szCs w:val="18"/>
    </w:rPr>
  </w:style>
  <w:style w:type="paragraph" w:styleId="16">
    <w:name w:val="header"/>
    <w:basedOn w:val="1"/>
    <w:link w:val="37"/>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line="360" w:lineRule="auto"/>
    </w:pPr>
    <w:rPr>
      <w:rFonts w:ascii="Calibri" w:hAnsi="Calibri"/>
      <w:sz w:val="28"/>
      <w:szCs w:val="22"/>
    </w:rPr>
  </w:style>
  <w:style w:type="paragraph" w:styleId="18">
    <w:name w:val="Subtitle"/>
    <w:basedOn w:val="1"/>
    <w:next w:val="1"/>
    <w:link w:val="36"/>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3"/>
    <w:basedOn w:val="1"/>
    <w:link w:val="47"/>
    <w:unhideWhenUsed/>
    <w:qFormat/>
    <w:uiPriority w:val="99"/>
    <w:pPr>
      <w:spacing w:after="120"/>
      <w:ind w:left="420" w:leftChars="200"/>
    </w:pPr>
    <w:rPr>
      <w:sz w:val="16"/>
      <w:szCs w:val="16"/>
    </w:rPr>
  </w:style>
  <w:style w:type="paragraph" w:styleId="20">
    <w:name w:val="Body Text 2"/>
    <w:basedOn w:val="1"/>
    <w:link w:val="43"/>
    <w:unhideWhenUsed/>
    <w:qFormat/>
    <w:uiPriority w:val="99"/>
    <w:pPr>
      <w:spacing w:after="120" w:line="480" w:lineRule="auto"/>
    </w:pPr>
  </w:style>
  <w:style w:type="paragraph" w:styleId="21">
    <w:name w:val="Normal (Web)"/>
    <w:basedOn w:val="1"/>
    <w:qFormat/>
    <w:uiPriority w:val="0"/>
    <w:pPr>
      <w:widowControl w:val="0"/>
      <w:spacing w:line="360" w:lineRule="auto"/>
      <w:ind w:firstLine="1648"/>
      <w:jc w:val="both"/>
    </w:pPr>
    <w:rPr>
      <w:rFonts w:ascii="Times New Roman" w:hAnsi="Times New Roman" w:eastAsia="Arial Unicode MS" w:cs="Arial Unicode MS"/>
      <w:color w:val="000000"/>
      <w:kern w:val="2"/>
      <w:sz w:val="24"/>
      <w:szCs w:val="24"/>
      <w:u w:color="000000"/>
      <w:lang w:val="en-US" w:eastAsia="zh-CN" w:bidi="ar-SA"/>
    </w:rPr>
  </w:style>
  <w:style w:type="paragraph" w:styleId="22">
    <w:name w:val="annotation subject"/>
    <w:basedOn w:val="8"/>
    <w:next w:val="8"/>
    <w:link w:val="59"/>
    <w:unhideWhenUsed/>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FollowedHyperlink"/>
    <w:qFormat/>
    <w:uiPriority w:val="0"/>
    <w:rPr>
      <w:color w:val="954F72"/>
      <w:u w:val="single"/>
    </w:rPr>
  </w:style>
  <w:style w:type="character" w:styleId="28">
    <w:name w:val="HTML Definition"/>
    <w:basedOn w:val="25"/>
    <w:semiHidden/>
    <w:unhideWhenUsed/>
    <w:qFormat/>
    <w:uiPriority w:val="99"/>
    <w:rPr>
      <w:i/>
      <w:iCs/>
    </w:rPr>
  </w:style>
  <w:style w:type="character" w:styleId="29">
    <w:name w:val="Hyperlink"/>
    <w:basedOn w:val="25"/>
    <w:unhideWhenUsed/>
    <w:qFormat/>
    <w:uiPriority w:val="0"/>
    <w:rPr>
      <w:color w:val="0000FF" w:themeColor="hyperlink"/>
      <w:u w:val="single"/>
      <w14:textFill>
        <w14:solidFill>
          <w14:schemeClr w14:val="hlink"/>
        </w14:solidFill>
      </w14:textFill>
    </w:rPr>
  </w:style>
  <w:style w:type="character" w:styleId="30">
    <w:name w:val="HTML Code"/>
    <w:basedOn w:val="25"/>
    <w:semiHidden/>
    <w:unhideWhenUsed/>
    <w:qFormat/>
    <w:uiPriority w:val="99"/>
    <w:rPr>
      <w:rFonts w:ascii="serif" w:hAnsi="serif" w:eastAsia="serif" w:cs="serif"/>
      <w:sz w:val="21"/>
      <w:szCs w:val="21"/>
    </w:rPr>
  </w:style>
  <w:style w:type="character" w:styleId="31">
    <w:name w:val="annotation reference"/>
    <w:basedOn w:val="25"/>
    <w:unhideWhenUsed/>
    <w:qFormat/>
    <w:uiPriority w:val="99"/>
    <w:rPr>
      <w:sz w:val="21"/>
      <w:szCs w:val="21"/>
    </w:rPr>
  </w:style>
  <w:style w:type="character" w:styleId="32">
    <w:name w:val="HTML Keyboard"/>
    <w:basedOn w:val="25"/>
    <w:semiHidden/>
    <w:unhideWhenUsed/>
    <w:qFormat/>
    <w:uiPriority w:val="99"/>
    <w:rPr>
      <w:rFonts w:hint="default" w:ascii="serif" w:hAnsi="serif" w:eastAsia="serif" w:cs="serif"/>
      <w:sz w:val="21"/>
      <w:szCs w:val="21"/>
    </w:rPr>
  </w:style>
  <w:style w:type="character" w:styleId="33">
    <w:name w:val="HTML Sample"/>
    <w:basedOn w:val="25"/>
    <w:semiHidden/>
    <w:unhideWhenUsed/>
    <w:qFormat/>
    <w:uiPriority w:val="99"/>
    <w:rPr>
      <w:rFonts w:hint="default" w:ascii="serif" w:hAnsi="serif" w:eastAsia="serif" w:cs="serif"/>
      <w:sz w:val="21"/>
      <w:szCs w:val="21"/>
    </w:rPr>
  </w:style>
  <w:style w:type="paragraph" w:customStyle="1" w:styleId="34">
    <w:name w:val="Default"/>
    <w:link w:val="68"/>
    <w:qFormat/>
    <w:uiPriority w:val="0"/>
    <w:pPr>
      <w:widowControl w:val="0"/>
      <w:autoSpaceDE w:val="0"/>
      <w:autoSpaceDN w:val="0"/>
      <w:adjustRightInd w:val="0"/>
    </w:pPr>
    <w:rPr>
      <w:rFonts w:ascii="......." w:hAnsi="Calibri" w:eastAsia="......." w:cs="......."/>
      <w:color w:val="000000"/>
      <w:sz w:val="24"/>
      <w:szCs w:val="24"/>
      <w:lang w:val="en-US" w:eastAsia="zh-CN" w:bidi="ar-SA"/>
    </w:rPr>
  </w:style>
  <w:style w:type="character" w:customStyle="1" w:styleId="35">
    <w:name w:val="正文文本缩进 Char"/>
    <w:basedOn w:val="25"/>
    <w:link w:val="10"/>
    <w:qFormat/>
    <w:uiPriority w:val="0"/>
    <w:rPr>
      <w:rFonts w:ascii="宋体" w:hAnsi="宋体" w:eastAsia="宋体" w:cs="Times New Roman"/>
      <w:sz w:val="24"/>
      <w:szCs w:val="20"/>
    </w:rPr>
  </w:style>
  <w:style w:type="character" w:customStyle="1" w:styleId="36">
    <w:name w:val="副标题 Char"/>
    <w:basedOn w:val="25"/>
    <w:link w:val="18"/>
    <w:qFormat/>
    <w:uiPriority w:val="0"/>
    <w:rPr>
      <w:rFonts w:ascii="Cambria" w:hAnsi="Cambria" w:eastAsia="宋体" w:cs="Times New Roman"/>
      <w:b/>
      <w:bCs/>
      <w:kern w:val="28"/>
      <w:sz w:val="32"/>
      <w:szCs w:val="32"/>
    </w:rPr>
  </w:style>
  <w:style w:type="character" w:customStyle="1" w:styleId="37">
    <w:name w:val="页眉 Char"/>
    <w:basedOn w:val="25"/>
    <w:link w:val="16"/>
    <w:qFormat/>
    <w:uiPriority w:val="0"/>
    <w:rPr>
      <w:rFonts w:ascii="Times New Roman" w:hAnsi="Times New Roman" w:eastAsia="宋体" w:cs="Times New Roman"/>
      <w:sz w:val="18"/>
      <w:szCs w:val="18"/>
    </w:rPr>
  </w:style>
  <w:style w:type="character" w:customStyle="1" w:styleId="38">
    <w:name w:val="页脚 Char"/>
    <w:basedOn w:val="25"/>
    <w:link w:val="15"/>
    <w:qFormat/>
    <w:uiPriority w:val="0"/>
    <w:rPr>
      <w:rFonts w:ascii="Times New Roman" w:hAnsi="Times New Roman" w:eastAsia="宋体" w:cs="Times New Roman"/>
      <w:sz w:val="18"/>
      <w:szCs w:val="18"/>
    </w:rPr>
  </w:style>
  <w:style w:type="character" w:customStyle="1" w:styleId="39">
    <w:name w:val="日期 Char"/>
    <w:basedOn w:val="25"/>
    <w:link w:val="12"/>
    <w:qFormat/>
    <w:uiPriority w:val="0"/>
    <w:rPr>
      <w:rFonts w:ascii="Times New Roman" w:hAnsi="Times New Roman" w:eastAsia="宋体" w:cs="Times New Roman"/>
      <w:sz w:val="32"/>
      <w:szCs w:val="20"/>
    </w:rPr>
  </w:style>
  <w:style w:type="paragraph" w:customStyle="1" w:styleId="40">
    <w:name w:val="列出段落1"/>
    <w:basedOn w:val="1"/>
    <w:qFormat/>
    <w:uiPriority w:val="34"/>
    <w:pPr>
      <w:ind w:firstLine="420" w:firstLineChars="200"/>
    </w:pPr>
  </w:style>
  <w:style w:type="character" w:customStyle="1" w:styleId="41">
    <w:name w:val="正文文本缩进 2 Char"/>
    <w:basedOn w:val="25"/>
    <w:link w:val="13"/>
    <w:semiHidden/>
    <w:qFormat/>
    <w:uiPriority w:val="99"/>
    <w:rPr>
      <w:rFonts w:ascii="Times New Roman" w:hAnsi="Times New Roman" w:eastAsia="宋体" w:cs="Times New Roman"/>
      <w:szCs w:val="20"/>
    </w:rPr>
  </w:style>
  <w:style w:type="character" w:customStyle="1" w:styleId="42">
    <w:name w:val="标题 3 Char"/>
    <w:basedOn w:val="25"/>
    <w:link w:val="5"/>
    <w:qFormat/>
    <w:uiPriority w:val="0"/>
    <w:rPr>
      <w:rFonts w:ascii="Times New Roman" w:hAnsi="Times New Roman" w:eastAsia="宋体" w:cs="Times New Roman"/>
      <w:b/>
      <w:bCs/>
      <w:sz w:val="32"/>
      <w:szCs w:val="32"/>
    </w:rPr>
  </w:style>
  <w:style w:type="character" w:customStyle="1" w:styleId="43">
    <w:name w:val="正文文本 2 Char"/>
    <w:basedOn w:val="25"/>
    <w:link w:val="20"/>
    <w:semiHidden/>
    <w:qFormat/>
    <w:uiPriority w:val="99"/>
    <w:rPr>
      <w:rFonts w:ascii="Times New Roman" w:hAnsi="Times New Roman" w:eastAsia="宋体" w:cs="Times New Roman"/>
      <w:szCs w:val="20"/>
    </w:rPr>
  </w:style>
  <w:style w:type="paragraph" w:customStyle="1" w:styleId="44">
    <w:name w:val="Char"/>
    <w:basedOn w:val="1"/>
    <w:qFormat/>
    <w:uiPriority w:val="0"/>
    <w:pPr>
      <w:tabs>
        <w:tab w:val="left" w:pos="360"/>
      </w:tabs>
    </w:pPr>
    <w:rPr>
      <w:sz w:val="24"/>
      <w:szCs w:val="24"/>
    </w:rPr>
  </w:style>
  <w:style w:type="character" w:customStyle="1" w:styleId="45">
    <w:name w:val="纯文本 Char"/>
    <w:basedOn w:val="25"/>
    <w:semiHidden/>
    <w:qFormat/>
    <w:uiPriority w:val="99"/>
    <w:rPr>
      <w:rFonts w:ascii="宋体" w:hAnsi="Courier New" w:eastAsia="宋体" w:cs="Courier New"/>
      <w:szCs w:val="21"/>
    </w:rPr>
  </w:style>
  <w:style w:type="character" w:customStyle="1" w:styleId="46">
    <w:name w:val="纯文本 Char1"/>
    <w:link w:val="11"/>
    <w:qFormat/>
    <w:locked/>
    <w:uiPriority w:val="0"/>
    <w:rPr>
      <w:rFonts w:ascii="宋体" w:hAnsi="Courier New" w:eastAsia="宋体" w:cs="Times New Roman"/>
      <w:szCs w:val="20"/>
    </w:rPr>
  </w:style>
  <w:style w:type="character" w:customStyle="1" w:styleId="47">
    <w:name w:val="正文文本缩进 3 Char"/>
    <w:basedOn w:val="25"/>
    <w:link w:val="19"/>
    <w:semiHidden/>
    <w:qFormat/>
    <w:uiPriority w:val="99"/>
    <w:rPr>
      <w:rFonts w:ascii="Times New Roman" w:hAnsi="Times New Roman" w:eastAsia="宋体" w:cs="Times New Roman"/>
      <w:sz w:val="16"/>
      <w:szCs w:val="16"/>
    </w:rPr>
  </w:style>
  <w:style w:type="paragraph" w:customStyle="1" w:styleId="4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2">
    <w:name w:val="批注框文本 Char"/>
    <w:basedOn w:val="25"/>
    <w:link w:val="14"/>
    <w:qFormat/>
    <w:uiPriority w:val="0"/>
    <w:rPr>
      <w:rFonts w:ascii="Times New Roman" w:hAnsi="Times New Roman" w:eastAsia="宋体" w:cs="Times New Roman"/>
      <w:sz w:val="18"/>
      <w:szCs w:val="18"/>
    </w:rPr>
  </w:style>
  <w:style w:type="character" w:customStyle="1" w:styleId="53">
    <w:name w:val="批注框文本 Char1"/>
    <w:basedOn w:val="25"/>
    <w:semiHidden/>
    <w:qFormat/>
    <w:uiPriority w:val="99"/>
    <w:rPr>
      <w:rFonts w:ascii="Times New Roman" w:hAnsi="Times New Roman" w:eastAsia="宋体" w:cs="Times New Roman"/>
      <w:sz w:val="18"/>
      <w:szCs w:val="18"/>
    </w:rPr>
  </w:style>
  <w:style w:type="character" w:customStyle="1" w:styleId="54">
    <w:name w:val="页眉 Char1"/>
    <w:basedOn w:val="25"/>
    <w:qFormat/>
    <w:uiPriority w:val="0"/>
    <w:rPr>
      <w:rFonts w:ascii="Times New Roman" w:hAnsi="Times New Roman" w:eastAsia="宋体" w:cs="Times New Roman"/>
      <w:sz w:val="18"/>
      <w:szCs w:val="18"/>
    </w:rPr>
  </w:style>
  <w:style w:type="character" w:customStyle="1" w:styleId="55">
    <w:name w:val="页脚 Char1"/>
    <w:basedOn w:val="25"/>
    <w:qFormat/>
    <w:uiPriority w:val="0"/>
    <w:rPr>
      <w:rFonts w:ascii="Times New Roman" w:hAnsi="Times New Roman" w:eastAsia="宋体" w:cs="Times New Roman"/>
      <w:sz w:val="18"/>
      <w:szCs w:val="18"/>
    </w:rPr>
  </w:style>
  <w:style w:type="character" w:customStyle="1" w:styleId="56">
    <w:name w:val="font31"/>
    <w:basedOn w:val="25"/>
    <w:qFormat/>
    <w:uiPriority w:val="0"/>
    <w:rPr>
      <w:rFonts w:hint="eastAsia" w:ascii="宋体" w:hAnsi="宋体" w:eastAsia="宋体" w:cs="宋体"/>
      <w:color w:val="000000"/>
      <w:sz w:val="22"/>
      <w:szCs w:val="22"/>
      <w:u w:val="none"/>
    </w:rPr>
  </w:style>
  <w:style w:type="character" w:customStyle="1" w:styleId="57">
    <w:name w:val="font71"/>
    <w:basedOn w:val="25"/>
    <w:qFormat/>
    <w:uiPriority w:val="0"/>
    <w:rPr>
      <w:rFonts w:hint="eastAsia" w:ascii="宋体" w:hAnsi="宋体" w:eastAsia="宋体" w:cs="宋体"/>
      <w:b/>
      <w:color w:val="000000"/>
      <w:sz w:val="16"/>
      <w:szCs w:val="16"/>
      <w:u w:val="none"/>
    </w:rPr>
  </w:style>
  <w:style w:type="character" w:customStyle="1" w:styleId="58">
    <w:name w:val="批注文字 Char"/>
    <w:basedOn w:val="25"/>
    <w:link w:val="8"/>
    <w:qFormat/>
    <w:uiPriority w:val="99"/>
    <w:rPr>
      <w:rFonts w:ascii="Times New Roman" w:hAnsi="Times New Roman" w:eastAsia="宋体" w:cs="Times New Roman"/>
      <w:szCs w:val="20"/>
    </w:rPr>
  </w:style>
  <w:style w:type="character" w:customStyle="1" w:styleId="59">
    <w:name w:val="批注主题 Char"/>
    <w:basedOn w:val="58"/>
    <w:link w:val="22"/>
    <w:semiHidden/>
    <w:qFormat/>
    <w:uiPriority w:val="99"/>
    <w:rPr>
      <w:rFonts w:ascii="Times New Roman" w:hAnsi="Times New Roman" w:eastAsia="宋体" w:cs="Times New Roman"/>
      <w:b/>
      <w:bCs/>
      <w:szCs w:val="20"/>
    </w:rPr>
  </w:style>
  <w:style w:type="paragraph" w:customStyle="1" w:styleId="60">
    <w:name w:val="列出段落11"/>
    <w:basedOn w:val="1"/>
    <w:qFormat/>
    <w:uiPriority w:val="0"/>
    <w:pPr>
      <w:ind w:firstLine="420" w:firstLineChars="200"/>
    </w:pPr>
    <w:rPr>
      <w:rFonts w:ascii="Calibri" w:hAnsi="Calibri"/>
      <w:szCs w:val="22"/>
    </w:rPr>
  </w:style>
  <w:style w:type="character" w:customStyle="1" w:styleId="61">
    <w:name w:val="标题 2 Char"/>
    <w:basedOn w:val="25"/>
    <w:link w:val="4"/>
    <w:semiHidden/>
    <w:qFormat/>
    <w:uiPriority w:val="9"/>
    <w:rPr>
      <w:rFonts w:asciiTheme="majorHAnsi" w:hAnsiTheme="majorHAnsi" w:eastAsiaTheme="majorEastAsia" w:cstheme="majorBidi"/>
      <w:b/>
      <w:bCs/>
      <w:sz w:val="32"/>
      <w:szCs w:val="32"/>
    </w:rPr>
  </w:style>
  <w:style w:type="character" w:customStyle="1" w:styleId="62">
    <w:name w:val="标题 1 Char"/>
    <w:basedOn w:val="25"/>
    <w:link w:val="3"/>
    <w:qFormat/>
    <w:uiPriority w:val="0"/>
    <w:rPr>
      <w:rFonts w:ascii="Times New Roman" w:hAnsi="Times New Roman" w:eastAsia="宋体" w:cs="Times New Roman"/>
      <w:b/>
      <w:bCs/>
      <w:kern w:val="44"/>
      <w:sz w:val="44"/>
      <w:szCs w:val="44"/>
    </w:rPr>
  </w:style>
  <w:style w:type="paragraph" w:customStyle="1" w:styleId="63">
    <w:name w:val="样式1"/>
    <w:basedOn w:val="5"/>
    <w:qFormat/>
    <w:uiPriority w:val="0"/>
    <w:pPr>
      <w:tabs>
        <w:tab w:val="left" w:pos="1861"/>
      </w:tabs>
      <w:ind w:left="1861" w:hanging="420"/>
    </w:pPr>
    <w:rPr>
      <w:rFonts w:ascii="宋体"/>
      <w:bCs w:val="0"/>
      <w:sz w:val="24"/>
      <w:szCs w:val="20"/>
    </w:rPr>
  </w:style>
  <w:style w:type="paragraph" w:styleId="64">
    <w:name w:val="List Paragraph"/>
    <w:basedOn w:val="1"/>
    <w:link w:val="80"/>
    <w:unhideWhenUsed/>
    <w:qFormat/>
    <w:uiPriority w:val="34"/>
    <w:pPr>
      <w:ind w:firstLine="420" w:firstLineChars="200"/>
    </w:pPr>
  </w:style>
  <w:style w:type="paragraph" w:customStyle="1" w:styleId="65">
    <w:name w:val="正文 A"/>
    <w:qFormat/>
    <w:uiPriority w:val="0"/>
    <w:pPr>
      <w:widowControl w:val="0"/>
      <w:spacing w:line="360" w:lineRule="auto"/>
      <w:ind w:firstLine="1648"/>
      <w:jc w:val="both"/>
    </w:pPr>
    <w:rPr>
      <w:rFonts w:ascii="Times New Roman" w:hAnsi="Times New Roman" w:eastAsia="Times New Roman" w:cs="Times New Roman"/>
      <w:color w:val="000000"/>
      <w:kern w:val="2"/>
      <w:sz w:val="24"/>
      <w:szCs w:val="24"/>
      <w:u w:color="000000"/>
      <w:lang w:val="en-US" w:eastAsia="zh-CN" w:bidi="ar-SA"/>
    </w:rPr>
  </w:style>
  <w:style w:type="character" w:customStyle="1" w:styleId="66">
    <w:name w:val="Hyperlink.0"/>
    <w:basedOn w:val="67"/>
    <w:qFormat/>
    <w:uiPriority w:val="99"/>
    <w:rPr>
      <w:rFonts w:ascii="宋体" w:hAnsi="宋体" w:eastAsia="宋体" w:cs="宋体"/>
      <w:color w:val="000000"/>
      <w:u w:color="000000"/>
      <w:lang w:val="en-US"/>
    </w:rPr>
  </w:style>
  <w:style w:type="character" w:customStyle="1" w:styleId="67">
    <w:name w:val="无"/>
    <w:qFormat/>
    <w:uiPriority w:val="99"/>
  </w:style>
  <w:style w:type="character" w:customStyle="1" w:styleId="68">
    <w:name w:val="Default Char"/>
    <w:link w:val="34"/>
    <w:qFormat/>
    <w:locked/>
    <w:uiPriority w:val="0"/>
    <w:rPr>
      <w:rFonts w:ascii="......." w:hAnsi="Calibri" w:eastAsia="......." w:cs="......."/>
      <w:color w:val="000000"/>
      <w:sz w:val="24"/>
      <w:szCs w:val="24"/>
    </w:rPr>
  </w:style>
  <w:style w:type="character" w:customStyle="1" w:styleId="69">
    <w:name w:val="批注主题 字符"/>
    <w:qFormat/>
    <w:uiPriority w:val="0"/>
    <w:rPr>
      <w:b/>
      <w:bCs/>
      <w:kern w:val="2"/>
      <w:sz w:val="21"/>
      <w:szCs w:val="22"/>
    </w:rPr>
  </w:style>
  <w:style w:type="character" w:customStyle="1" w:styleId="70">
    <w:name w:val="标准文本 Char"/>
    <w:link w:val="71"/>
    <w:qFormat/>
    <w:locked/>
    <w:uiPriority w:val="0"/>
    <w:rPr>
      <w:sz w:val="24"/>
    </w:rPr>
  </w:style>
  <w:style w:type="paragraph" w:customStyle="1" w:styleId="71">
    <w:name w:val="标准文本"/>
    <w:basedOn w:val="1"/>
    <w:link w:val="70"/>
    <w:qFormat/>
    <w:uiPriority w:val="0"/>
    <w:pPr>
      <w:spacing w:line="360" w:lineRule="auto"/>
      <w:ind w:firstLine="480" w:firstLineChars="200"/>
    </w:pPr>
    <w:rPr>
      <w:rFonts w:asciiTheme="minorHAnsi" w:hAnsiTheme="minorHAnsi" w:eastAsiaTheme="minorEastAsia" w:cstheme="minorBidi"/>
      <w:kern w:val="0"/>
      <w:sz w:val="24"/>
    </w:rPr>
  </w:style>
  <w:style w:type="character" w:customStyle="1" w:styleId="72">
    <w:name w:val="01-正文 Char"/>
    <w:link w:val="73"/>
    <w:qFormat/>
    <w:locked/>
    <w:uiPriority w:val="0"/>
    <w:rPr>
      <w:rFonts w:ascii="宋体" w:hAnsi="宋体"/>
      <w:sz w:val="24"/>
      <w:szCs w:val="24"/>
      <w:lang w:val="zh-CN" w:eastAsia="ar-SA"/>
    </w:rPr>
  </w:style>
  <w:style w:type="paragraph" w:customStyle="1" w:styleId="73">
    <w:name w:val="01-正文"/>
    <w:basedOn w:val="1"/>
    <w:link w:val="72"/>
    <w:qFormat/>
    <w:uiPriority w:val="0"/>
    <w:pPr>
      <w:suppressAutoHyphens/>
      <w:spacing w:line="360" w:lineRule="auto"/>
      <w:ind w:firstLine="480" w:firstLineChars="200"/>
    </w:pPr>
    <w:rPr>
      <w:rFonts w:ascii="宋体" w:hAnsi="宋体" w:eastAsiaTheme="minorEastAsia" w:cstheme="minorBidi"/>
      <w:kern w:val="0"/>
      <w:sz w:val="24"/>
      <w:szCs w:val="24"/>
      <w:lang w:val="zh-CN" w:eastAsia="ar-SA"/>
    </w:rPr>
  </w:style>
  <w:style w:type="character" w:customStyle="1" w:styleId="74">
    <w:name w:val="页脚 字符"/>
    <w:qFormat/>
    <w:uiPriority w:val="99"/>
  </w:style>
  <w:style w:type="paragraph" w:customStyle="1" w:styleId="75">
    <w:name w:val="two"/>
    <w:basedOn w:val="1"/>
    <w:qFormat/>
    <w:uiPriority w:val="0"/>
    <w:pPr>
      <w:autoSpaceDE w:val="0"/>
      <w:autoSpaceDN w:val="0"/>
      <w:adjustRightInd w:val="0"/>
      <w:spacing w:line="360" w:lineRule="auto"/>
    </w:pPr>
    <w:rPr>
      <w:rFonts w:ascii="Arial" w:hAnsi="Arial" w:cs="Arial"/>
      <w:b/>
      <w:bCs/>
      <w:kern w:val="0"/>
      <w:sz w:val="24"/>
      <w:szCs w:val="24"/>
    </w:rPr>
  </w:style>
  <w:style w:type="paragraph" w:customStyle="1" w:styleId="76">
    <w:name w:val="正文1"/>
    <w:qFormat/>
    <w:uiPriority w:val="0"/>
    <w:pPr>
      <w:jc w:val="both"/>
    </w:pPr>
    <w:rPr>
      <w:rFonts w:ascii="等线" w:hAnsi="等线" w:eastAsia="宋体" w:cs="宋体"/>
      <w:kern w:val="2"/>
      <w:sz w:val="21"/>
      <w:szCs w:val="21"/>
      <w:lang w:val="en-US" w:eastAsia="zh-CN" w:bidi="ar-SA"/>
    </w:rPr>
  </w:style>
  <w:style w:type="paragraph" w:customStyle="1" w:styleId="77">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character" w:customStyle="1" w:styleId="78">
    <w:name w:val="15"/>
    <w:qFormat/>
    <w:uiPriority w:val="0"/>
    <w:rPr>
      <w:rFonts w:ascii="Arial" w:hAnsi="Arial" w:cs="Arial"/>
      <w:sz w:val="24"/>
      <w:szCs w:val="24"/>
    </w:rPr>
  </w:style>
  <w:style w:type="character" w:customStyle="1" w:styleId="79">
    <w:name w:val="正文文本 Char"/>
    <w:basedOn w:val="25"/>
    <w:link w:val="9"/>
    <w:qFormat/>
    <w:uiPriority w:val="0"/>
    <w:rPr>
      <w:rFonts w:ascii="Times New Roman" w:hAnsi="Times New Roman" w:eastAsia="宋体" w:cs="Times New Roman"/>
      <w:kern w:val="2"/>
      <w:sz w:val="21"/>
    </w:rPr>
  </w:style>
  <w:style w:type="character" w:customStyle="1" w:styleId="80">
    <w:name w:val="列出段落 Char"/>
    <w:link w:val="64"/>
    <w:qFormat/>
    <w:locked/>
    <w:uiPriority w:val="34"/>
    <w:rPr>
      <w:kern w:val="2"/>
      <w:sz w:val="21"/>
    </w:rPr>
  </w:style>
  <w:style w:type="paragraph" w:customStyle="1" w:styleId="81">
    <w:name w:val="WPSOffice手动目录 1"/>
    <w:qFormat/>
    <w:uiPriority w:val="0"/>
    <w:pPr>
      <w:ind w:leftChars="0"/>
    </w:pPr>
    <w:rPr>
      <w:rFonts w:ascii="Times New Roman" w:hAnsi="Times New Roman" w:eastAsia="宋体" w:cs="Times New Roman"/>
      <w:sz w:val="20"/>
      <w:szCs w:val="20"/>
    </w:rPr>
  </w:style>
  <w:style w:type="paragraph" w:customStyle="1" w:styleId="82">
    <w:name w:val="Table Paragraph"/>
    <w:basedOn w:val="1"/>
    <w:qFormat/>
    <w:uiPriority w:val="1"/>
    <w:rPr>
      <w:rFonts w:ascii="仿宋" w:hAnsi="仿宋" w:eastAsia="仿宋" w:cs="仿宋"/>
      <w:lang w:val="zh-CN" w:eastAsia="zh-CN" w:bidi="zh-CN"/>
    </w:rPr>
  </w:style>
  <w:style w:type="character" w:customStyle="1" w:styleId="83">
    <w:name w:val="first-child"/>
    <w:basedOn w:val="25"/>
    <w:qFormat/>
    <w:uiPriority w:val="0"/>
  </w:style>
  <w:style w:type="character" w:customStyle="1" w:styleId="84">
    <w:name w:val="required"/>
    <w:basedOn w:val="25"/>
    <w:qFormat/>
    <w:uiPriority w:val="0"/>
    <w:rPr>
      <w:color w:val="FF0000"/>
    </w:rPr>
  </w:style>
  <w:style w:type="character" w:customStyle="1" w:styleId="85">
    <w:name w:val="first-child1"/>
    <w:basedOn w:val="25"/>
    <w:qFormat/>
    <w:uiPriority w:val="0"/>
  </w:style>
  <w:style w:type="character" w:customStyle="1" w:styleId="86">
    <w:name w:val="underline"/>
    <w:basedOn w:val="25"/>
    <w:qFormat/>
    <w:uiPriority w:val="0"/>
    <w:rPr>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65</Pages>
  <Words>29592</Words>
  <Characters>31186</Characters>
  <Lines>220</Lines>
  <Paragraphs>62</Paragraphs>
  <TotalTime>37</TotalTime>
  <ScaleCrop>false</ScaleCrop>
  <LinksUpToDate>false</LinksUpToDate>
  <CharactersWithSpaces>33302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2021-06-03T15:33:00Z</dcterms:created>
  <dc:creator>王永锋</dc:creator>
  <cp:lastModifiedBy>LISA</cp:lastModifiedBy>
  <cp:lastPrinted>2021-10-18T07:12:00Z</cp:lastPrinted>
  <dcterms:modified xsi:type="dcterms:W3CDTF">2023-03-15T08:58:30Z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6CF621AB3033410ABDA00062FD378222</vt:lpwstr>
  </property>
</Properties>
</file>