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Pr>
    </w:p>
    <w:p>
      <w:pPr>
        <w:pStyle w:val="31"/>
      </w:pP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天津市东丽区市场监管局2023年物业管理服务项目</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333375</wp:posOffset>
                </wp:positionV>
                <wp:extent cx="2314575" cy="0"/>
                <wp:effectExtent l="0" t="95250" r="9525"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6.25pt;height:0pt;width:182.25pt;z-index:251659264;mso-width-relative:page;mso-height-relative:page;" filled="f" stroked="t" coordsize="21600,21600" o:gfxdata="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rjzh&#10;1gAAAAgBAAAPAAAAAAAAAAEAIAAAACIAAABkcnMvZG93bnJldi54bWxQSwECFAAUAAAACACHTuJA&#10;CKw1FuoBAACsAwAADgAAAAAAAAABACAAAAAlAQAAZHJzL2Uyb0RvYy54bWxQSwUGAAAAAAYABgBZ&#10;AQAAgQU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TJDL-2023-D-0002</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522" w:firstLineChars="1300"/>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1006475</wp:posOffset>
            </wp:positionH>
            <wp:positionV relativeFrom="paragraph">
              <wp:posOffset>5715</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w:t>
      </w:r>
      <w:r>
        <w:rPr>
          <w:rFonts w:hint="eastAsia" w:eastAsia="黑体"/>
          <w:spacing w:val="20"/>
          <w:w w:val="66"/>
          <w:sz w:val="44"/>
          <w:szCs w:val="44"/>
        </w:rPr>
        <w:t>东丽区</w:t>
      </w:r>
      <w:r>
        <w:rPr>
          <w:rFonts w:eastAsia="黑体"/>
          <w:spacing w:val="20"/>
          <w:w w:val="66"/>
          <w:sz w:val="44"/>
          <w:szCs w:val="44"/>
        </w:rPr>
        <w:t>政府采购中心</w:t>
      </w:r>
    </w:p>
    <w:p>
      <w:pPr>
        <w:tabs>
          <w:tab w:val="left" w:pos="3281"/>
          <w:tab w:val="center" w:pos="4711"/>
        </w:tabs>
        <w:jc w:val="center"/>
        <w:rPr>
          <w:rFonts w:eastAsia="仿宋_GB2312"/>
          <w:b/>
          <w:bCs/>
          <w:spacing w:val="20"/>
          <w:w w:val="66"/>
          <w:sz w:val="44"/>
          <w:szCs w:val="44"/>
        </w:rPr>
      </w:pPr>
      <w:r>
        <w:rPr>
          <w:rFonts w:eastAsia="仿宋_GB2312"/>
          <w:b/>
          <w:bCs/>
          <w:kern w:val="0"/>
          <w:sz w:val="44"/>
          <w:szCs w:val="44"/>
        </w:rPr>
        <w:t>2023.4</w:t>
      </w:r>
      <w:r>
        <w:rPr>
          <w:rFonts w:hint="eastAsia" w:eastAsia="仿宋_GB2312"/>
          <w:b/>
          <w:bCs/>
          <w:kern w:val="0"/>
          <w:sz w:val="44"/>
          <w:szCs w:val="44"/>
        </w:rPr>
        <w:t xml:space="preserve"> </w:t>
      </w:r>
    </w:p>
    <w:p>
      <w:pPr>
        <w:tabs>
          <w:tab w:val="left" w:pos="3281"/>
          <w:tab w:val="center" w:pos="4711"/>
        </w:tabs>
        <w:jc w:val="center"/>
        <w:rPr>
          <w:rFonts w:eastAsia="仿宋_GB2312"/>
          <w:b/>
          <w:bCs/>
          <w:kern w:val="0"/>
          <w:sz w:val="44"/>
          <w:szCs w:val="44"/>
        </w:rPr>
      </w:pPr>
    </w:p>
    <w:p>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spacing w:val="20"/>
          <w:w w:val="66"/>
          <w:sz w:val="36"/>
          <w:szCs w:val="32"/>
        </w:rPr>
      </w:pPr>
      <w:r>
        <w:rPr>
          <w:b/>
          <w:bCs/>
          <w:spacing w:val="20"/>
          <w:w w:val="66"/>
          <w:sz w:val="36"/>
          <w:szCs w:val="32"/>
        </w:rPr>
        <w:t>目  录</w:t>
      </w:r>
    </w:p>
    <w:p>
      <w:pPr>
        <w:tabs>
          <w:tab w:val="left" w:pos="3281"/>
          <w:tab w:val="center" w:pos="4711"/>
        </w:tabs>
        <w:spacing w:line="360" w:lineRule="auto"/>
        <w:jc w:val="center"/>
        <w:rPr>
          <w:rFonts w:eastAsia="仿宋_GB2312"/>
          <w:b/>
          <w:bCs/>
          <w:spacing w:val="20"/>
          <w:w w:val="66"/>
          <w:sz w:val="28"/>
          <w:szCs w:val="28"/>
        </w:rPr>
      </w:pPr>
    </w:p>
    <w:p>
      <w:pPr>
        <w:pStyle w:val="13"/>
        <w:rPr>
          <w:sz w:val="28"/>
          <w:szCs w:val="28"/>
        </w:rPr>
      </w:pPr>
      <w:r>
        <w:rPr>
          <w:rFonts w:hint="eastAsia"/>
          <w:sz w:val="28"/>
          <w:szCs w:val="28"/>
        </w:rPr>
        <w:t>第一部分  磋商邀请函</w:t>
      </w:r>
    </w:p>
    <w:p/>
    <w:p>
      <w:pPr>
        <w:pStyle w:val="13"/>
        <w:rPr>
          <w:sz w:val="28"/>
          <w:szCs w:val="28"/>
        </w:rPr>
      </w:pPr>
      <w:r>
        <w:rPr>
          <w:rFonts w:hint="eastAsia"/>
          <w:sz w:val="28"/>
          <w:szCs w:val="28"/>
        </w:rPr>
        <w:t>第二部分  磋商项目要求</w:t>
      </w:r>
    </w:p>
    <w:p/>
    <w:p>
      <w:pPr>
        <w:pStyle w:val="13"/>
        <w:rPr>
          <w:sz w:val="28"/>
          <w:szCs w:val="28"/>
        </w:rPr>
      </w:pPr>
      <w:r>
        <w:rPr>
          <w:rFonts w:hint="eastAsia"/>
          <w:sz w:val="28"/>
          <w:szCs w:val="28"/>
        </w:rPr>
        <w:t>第三部分  供应商须知</w:t>
      </w:r>
    </w:p>
    <w:p/>
    <w:p>
      <w:pPr>
        <w:pStyle w:val="13"/>
        <w:rPr>
          <w:sz w:val="28"/>
          <w:szCs w:val="28"/>
        </w:rPr>
      </w:pPr>
      <w:r>
        <w:rPr>
          <w:rFonts w:hint="eastAsia"/>
          <w:sz w:val="28"/>
          <w:szCs w:val="28"/>
        </w:rPr>
        <w:t>第四部分  合同草案</w:t>
      </w:r>
    </w:p>
    <w:p/>
    <w:p>
      <w:pPr>
        <w:pStyle w:val="13"/>
        <w:rPr>
          <w:sz w:val="28"/>
          <w:szCs w:val="28"/>
        </w:rPr>
      </w:pPr>
      <w:r>
        <w:rPr>
          <w:rFonts w:hint="eastAsia"/>
          <w:sz w:val="28"/>
          <w:szCs w:val="28"/>
        </w:rPr>
        <w:t>第五部分  响应文件格式</w:t>
      </w:r>
    </w:p>
    <w:p>
      <w:pPr>
        <w:tabs>
          <w:tab w:val="left" w:pos="3281"/>
          <w:tab w:val="center" w:pos="4711"/>
        </w:tabs>
        <w:spacing w:line="360" w:lineRule="auto"/>
        <w:jc w:val="center"/>
        <w:rPr>
          <w:rFonts w:eastAsia="仿宋_GB2312"/>
          <w:b/>
          <w:bCs/>
          <w:spacing w:val="20"/>
          <w:w w:val="66"/>
          <w:sz w:val="28"/>
          <w:szCs w:val="28"/>
        </w:rPr>
      </w:pPr>
    </w:p>
    <w:p>
      <w:pPr>
        <w:tabs>
          <w:tab w:val="left" w:pos="3281"/>
          <w:tab w:val="center" w:pos="4711"/>
        </w:tabs>
        <w:jc w:val="center"/>
        <w:rPr>
          <w:rFonts w:eastAsia="仿宋_GB2312"/>
          <w:b/>
          <w:bCs/>
          <w:spacing w:val="20"/>
          <w:w w:val="66"/>
          <w:sz w:val="44"/>
          <w:szCs w:val="44"/>
        </w:rPr>
      </w:pPr>
    </w:p>
    <w:p>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pPr>
        <w:pStyle w:val="14"/>
        <w:rPr>
          <w:rFonts w:ascii="Times New Roman" w:hAnsi="Times New Roman"/>
        </w:rPr>
      </w:pPr>
      <w:bookmarkStart w:id="0" w:name="_Toc411426748"/>
      <w:bookmarkStart w:id="1" w:name="_Toc411426750"/>
      <w:r>
        <w:rPr>
          <w:rFonts w:ascii="Times New Roman" w:hAnsi="Times New Roman"/>
        </w:rPr>
        <w:t>第一部分  磋商邀请函</w:t>
      </w:r>
      <w:bookmarkEnd w:id="0"/>
    </w:p>
    <w:p>
      <w:pPr>
        <w:pStyle w:val="31"/>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天津市东丽区市场监督管理局</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天津市东丽区政府采购中心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天津市东丽区市场监管局2023年物业管理服务项目</w:t>
      </w:r>
      <w:r>
        <w:rPr>
          <w:rFonts w:ascii="Times New Roman" w:hAnsi="Times New Roman" w:eastAsia="宋体" w:cs="Times New Roman"/>
          <w:color w:val="auto"/>
          <w:kern w:val="2"/>
        </w:rPr>
        <w:t>实施政府采购。现欢迎合格的供应商参加磋商。</w:t>
      </w:r>
    </w:p>
    <w:p>
      <w:pPr>
        <w:pStyle w:val="31"/>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PDF格式电子响应文件（以通过电子签章客户端软件winaip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电子签章客户端软件winaip正确读取签章信息为准）。</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天津市东丽区市场监管局2023年物业管理服务项目</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 xml:space="preserve">TJDL-2023-D-0002 </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物业服务项目，合同履行期限2023年5月至12月31日。</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1100725.6元。</w:t>
      </w:r>
    </w:p>
    <w:p>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pPr>
        <w:pStyle w:val="31"/>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31"/>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A.经第三方会计师事务所审计的2021年度或2022年度财务报告扫描件。</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hint="eastAsia" w:ascii="宋体" w:hAnsi="宋体" w:eastAsia="宋体" w:cs="宋体"/>
          <w:color w:val="auto"/>
        </w:rPr>
        <w:t>本项目专门面向小微企业采购，提供《中小企业声明函》。</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bookmarkEnd w:id="3"/>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落实政府采购政策需满足的资格要求：</w:t>
      </w:r>
    </w:p>
    <w:p>
      <w:pPr>
        <w:pStyle w:val="31"/>
        <w:numPr>
          <w:ilvl w:val="0"/>
          <w:numId w:val="1"/>
        </w:numPr>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本项目专门面向</w:t>
      </w:r>
      <w:r>
        <w:rPr>
          <w:rFonts w:hint="eastAsia" w:ascii="宋体" w:hAnsi="宋体" w:eastAsia="宋体" w:cs="宋体"/>
          <w:color w:val="auto"/>
        </w:rPr>
        <w:t>小微</w:t>
      </w:r>
      <w:r>
        <w:rPr>
          <w:rFonts w:hint="eastAsia" w:ascii="Times New Roman" w:hAnsi="Times New Roman" w:eastAsia="宋体" w:cs="Times New Roman"/>
          <w:color w:val="auto"/>
        </w:rPr>
        <w:t xml:space="preserve">企业采购。 </w:t>
      </w:r>
    </w:p>
    <w:p>
      <w:pPr>
        <w:pStyle w:val="31"/>
        <w:numPr>
          <w:ilvl w:val="0"/>
          <w:numId w:val="1"/>
        </w:numPr>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根据财政部发布的《关于政府采购支持监狱企业发展有关问题的通知》规定，监狱企业视同小微企业。 </w:t>
      </w:r>
    </w:p>
    <w:p>
      <w:pPr>
        <w:pStyle w:val="31"/>
        <w:numPr>
          <w:ilvl w:val="0"/>
          <w:numId w:val="1"/>
        </w:numPr>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根据财政部、民政部、中国残疾人联合会发布的《关于促进残疾人就业政府采购政策的通知》规定，残疾人福利性单位视同小微企业。 </w:t>
      </w:r>
    </w:p>
    <w:p>
      <w:pPr>
        <w:pStyle w:val="31"/>
        <w:numPr>
          <w:ilvl w:val="0"/>
          <w:numId w:val="1"/>
        </w:numPr>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31"/>
        <w:numPr>
          <w:ilvl w:val="0"/>
          <w:numId w:val="1"/>
        </w:numPr>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2023年4月</w:t>
      </w:r>
      <w:r>
        <w:rPr>
          <w:rFonts w:hint="eastAsia" w:ascii="Times New Roman" w:hAnsi="Times New Roman" w:eastAsia="宋体"/>
          <w:color w:val="auto"/>
        </w:rPr>
        <w:t>2</w:t>
      </w:r>
      <w:r>
        <w:rPr>
          <w:rFonts w:hint="eastAsia" w:ascii="Times New Roman" w:hAnsi="Times New Roman" w:eastAsia="宋体"/>
          <w:color w:val="auto"/>
          <w:lang w:val="en-US" w:eastAsia="zh-CN"/>
        </w:rPr>
        <w:t>5</w:t>
      </w:r>
      <w:r>
        <w:rPr>
          <w:rFonts w:ascii="Times New Roman" w:hAnsi="Times New Roman" w:eastAsia="宋体"/>
          <w:color w:val="auto"/>
        </w:rPr>
        <w:t>日至2023年</w:t>
      </w:r>
      <w:r>
        <w:rPr>
          <w:rFonts w:hint="eastAsia" w:ascii="Times New Roman" w:hAnsi="Times New Roman" w:eastAsia="宋体"/>
          <w:color w:val="auto"/>
          <w:lang w:val="en-US" w:eastAsia="zh-CN"/>
        </w:rPr>
        <w:t>5</w:t>
      </w:r>
      <w:r>
        <w:rPr>
          <w:rFonts w:ascii="Times New Roman" w:hAnsi="Times New Roman" w:eastAsia="宋体"/>
          <w:color w:val="auto"/>
        </w:rPr>
        <w:t>月</w:t>
      </w:r>
      <w:r>
        <w:rPr>
          <w:rFonts w:hint="eastAsia" w:ascii="Times New Roman" w:hAnsi="Times New Roman" w:eastAsia="宋体"/>
          <w:color w:val="auto"/>
          <w:lang w:val="en-US" w:eastAsia="zh-CN"/>
        </w:rPr>
        <w:t>5</w:t>
      </w:r>
      <w:r>
        <w:rPr>
          <w:rFonts w:ascii="Times New Roman" w:hAnsi="Times New Roman" w:eastAsia="宋体"/>
          <w:color w:val="auto"/>
        </w:rPr>
        <w:t>日，每</w:t>
      </w:r>
      <w:r>
        <w:rPr>
          <w:rFonts w:ascii="Times New Roman" w:hAnsi="Times New Roman" w:eastAsia="宋体" w:cs="Times New Roman"/>
          <w:color w:val="auto"/>
        </w:rPr>
        <w:t>日9:00至17:00（北京时间，法定节假日除外）。</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获取竞争性磋商文件网址：使用天津市中环认证服务有限公司发出的CA数字证书（原天津市电子认证中心发出尚在有效期内的CA数字证书仍可使用）登录天津市政府采购中心网（网址：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http://tjgpc.zwfwb.tj.gov.cn）-”网上招投标”-“供应商登录”-“市级集采机构入口”</w:t>
      </w:r>
      <w:r>
        <w:rPr>
          <w:rFonts w:ascii="Times New Roman" w:hAnsi="Times New Roman" w:eastAsia="宋体" w:cs="Times New Roman"/>
          <w:color w:val="auto"/>
        </w:rPr>
        <w:t>下载竞争性磋商文件。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pPr>
        <w:pStyle w:val="31"/>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三）下载竞争性磋商文件后如放弃投标，请于网上应答截止时间之前取消参与磋商。在本项目磋商时间段内，参与项目磋商的供应商应随时关注网上系统提示，及时解答磋商小组提出的质询和进行第二阶段解密等工作，如供应商未在要求的时间段内完成，则视为供应商自动放弃。</w:t>
      </w:r>
    </w:p>
    <w:p>
      <w:pPr>
        <w:pStyle w:val="31"/>
        <w:spacing w:line="360" w:lineRule="auto"/>
        <w:jc w:val="both"/>
        <w:rPr>
          <w:rFonts w:ascii="宋体" w:hAnsi="宋体" w:eastAsia="宋体" w:cs="Times New Roman"/>
          <w:color w:val="auto"/>
        </w:rPr>
      </w:pPr>
      <w:r>
        <w:rPr>
          <w:rFonts w:hint="eastAsia" w:ascii="宋体" w:hAnsi="宋体" w:eastAsia="宋体" w:cs="Times New Roman"/>
          <w:color w:val="auto"/>
        </w:rPr>
        <w:t xml:space="preserve">    </w:t>
      </w:r>
      <w:r>
        <w:rPr>
          <w:rFonts w:hint="eastAsia" w:ascii="宋体" w:hAnsi="宋体" w:eastAsia="宋体" w:cs="Times New Roman"/>
          <w:b/>
          <w:bCs/>
          <w:color w:val="auto"/>
        </w:rPr>
        <w:t>（四）成交供应商应在领取成交通知书时提交与电子响应文件内容完全一致的纸质响应文件并在封面及骑缝加盖供应商公章，该纸质响应文件须提供正本、副本各一套。</w:t>
      </w:r>
    </w:p>
    <w:p>
      <w:pPr>
        <w:pStyle w:val="31"/>
        <w:spacing w:line="360" w:lineRule="auto"/>
        <w:ind w:firstLine="480" w:firstLineChars="200"/>
        <w:jc w:val="both"/>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w:t>
      </w:r>
      <w:r>
        <w:rPr>
          <w:rFonts w:hint="eastAsia" w:ascii="宋体" w:hAnsi="宋体" w:eastAsia="宋体" w:cs="Times New Roman"/>
          <w:color w:val="auto"/>
        </w:rPr>
        <w:t>本项目不组织</w:t>
      </w:r>
      <w:r>
        <w:rPr>
          <w:rFonts w:ascii="宋体" w:hAnsi="宋体" w:eastAsia="宋体" w:cs="Times New Roman"/>
          <w:color w:val="auto"/>
        </w:rPr>
        <w:t>踏勘现场。</w:t>
      </w:r>
    </w:p>
    <w:p>
      <w:pPr>
        <w:pStyle w:val="31"/>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（五）本项目不组织标前答疑会</w:t>
      </w:r>
      <w:r>
        <w:rPr>
          <w:rFonts w:ascii="宋体" w:hAnsi="宋体" w:eastAsia="宋体" w:cs="Times New Roman"/>
          <w:color w:val="auto"/>
        </w:rPr>
        <w:t>。</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2023年4月2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日9:00至2023年5月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30，使用天津市中环认证服务有限公司发出的CA数字证书（原天津市电子认证中心发出尚在有效期内的CA数字证书仍可使用）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（一）提交电子响应文件截止时间：2023年5月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:30。提交电子响应文件截止时间前提交网上应答并分别上传加盖电子签章的第一、第二阶段电子响应文件（以通过电子签章客户端软件winaip正确读取签章信息为准）方为有效响应。</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（二）提交电子响应文件方式：本项目采用网上电子投标方式，投标人须于上述规定的时间使用天津市中环认证服务有限公司发出的CA数字证书（原天津市电子认证中心发出尚在有效期内的CA数字证书仍可使用）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电子签章客户端软件winaip正确读取签章信息为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（一）第一阶段解密时间：2023年5月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日8:30至9:30完成第一阶段解密的方为有效响应。</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完成解密。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（四）磋商地点：天津市东丽区先锋路9号副楼208会议室，供应商可不到磋商现场，磋商结束前保持通讯畅通能够随时在网上进行质询应答即可。</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w:t>
      </w:r>
      <w:r>
        <w:rPr>
          <w:rFonts w:hint="eastAsia" w:ascii="Times New Roman" w:hAnsi="Times New Roman" w:eastAsia="宋体" w:cs="Times New Roman"/>
          <w:color w:val="auto"/>
        </w:rPr>
        <w:t>东丽区</w:t>
      </w:r>
      <w:r>
        <w:rPr>
          <w:rFonts w:ascii="Times New Roman" w:hAnsi="Times New Roman" w:eastAsia="宋体" w:cs="Times New Roman"/>
          <w:color w:val="auto"/>
        </w:rPr>
        <w:t>政府采购中心</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先锋路9号</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rPr>
        <w:t>张晓娇</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w:t>
      </w:r>
      <w:r>
        <w:rPr>
          <w:rFonts w:hint="eastAsia" w:ascii="Times New Roman" w:hAnsi="Times New Roman" w:eastAsia="宋体" w:cs="Times New Roman"/>
          <w:color w:val="auto"/>
        </w:rPr>
        <w:t>84375906</w:t>
      </w:r>
    </w:p>
    <w:p>
      <w:pPr>
        <w:pStyle w:val="31"/>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w:t>
      </w:r>
      <w:r>
        <w:rPr>
          <w:rFonts w:hint="eastAsia" w:ascii="Times New Roman" w:hAnsi="Times New Roman" w:eastAsia="宋体" w:cs="Times New Roman"/>
          <w:color w:val="auto"/>
          <w:lang w:val="en-US" w:eastAsia="zh-CN"/>
        </w:rPr>
        <w:t>24538309</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天津市东丽区市场监督管理局</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天津市东丽区先锋路14号</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刘喜全</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022-84375926</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联系部门：天津市东丽区市场监督管理局</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联系地址：天津市东丽区先锋路14号</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联 系 人：刘喜全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联系方式：022-84375926</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31"/>
        <w:spacing w:line="360" w:lineRule="auto"/>
        <w:ind w:firstLine="720" w:firstLineChars="300"/>
        <w:jc w:val="both"/>
        <w:rPr>
          <w:rFonts w:ascii="Times New Roman" w:hAnsi="Times New Roman" w:eastAsia="宋体" w:cs="Times New Roman"/>
          <w:color w:val="auto"/>
        </w:rPr>
      </w:pPr>
    </w:p>
    <w:p>
      <w:pPr>
        <w:pStyle w:val="31"/>
        <w:spacing w:line="360" w:lineRule="auto"/>
        <w:ind w:firstLine="6000" w:firstLineChars="2500"/>
        <w:jc w:val="both"/>
        <w:rPr>
          <w:rFonts w:asciiTheme="minorEastAsia" w:hAnsiTheme="minorEastAsia" w:eastAsiaTheme="minorEastAsia"/>
          <w:b/>
          <w:bCs/>
        </w:rPr>
      </w:pPr>
      <w:r>
        <w:rPr>
          <w:rFonts w:ascii="Times New Roman" w:hAnsi="Times New Roman" w:eastAsia="宋体" w:cs="Times New Roman"/>
          <w:color w:val="auto"/>
          <w:kern w:val="2"/>
        </w:rPr>
        <w:t>2023年</w:t>
      </w:r>
      <w:r>
        <w:rPr>
          <w:rFonts w:hint="eastAsia" w:ascii="Times New Roman" w:hAnsi="Times New Roman" w:eastAsia="宋体" w:cs="Times New Roman"/>
          <w:color w:val="auto"/>
          <w:kern w:val="2"/>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rPr>
        <w:t>2</w:t>
      </w:r>
      <w:r>
        <w:rPr>
          <w:rFonts w:hint="eastAsia" w:ascii="Times New Roman" w:hAnsi="Times New Roman" w:eastAsia="宋体" w:cs="Times New Roman"/>
          <w:color w:val="auto"/>
          <w:kern w:val="2"/>
          <w:lang w:val="en-US" w:eastAsia="zh-CN"/>
        </w:rPr>
        <w:t>5</w:t>
      </w:r>
      <w:bookmarkStart w:id="13" w:name="_GoBack"/>
      <w:bookmarkEnd w:id="13"/>
      <w:r>
        <w:rPr>
          <w:rFonts w:ascii="Times New Roman" w:hAnsi="Times New Roman" w:eastAsia="宋体" w:cs="Times New Roman"/>
          <w:color w:val="auto"/>
          <w:kern w:val="2"/>
        </w:rPr>
        <w:t>日</w:t>
      </w:r>
      <w:r>
        <w:br w:type="page"/>
      </w:r>
    </w:p>
    <w:p>
      <w:pPr>
        <w:pStyle w:val="31"/>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pPr>
        <w:pStyle w:val="14"/>
        <w:rPr>
          <w:rFonts w:ascii="Times New Roman" w:hAnsi="Times New Roman"/>
        </w:rPr>
      </w:pPr>
      <w:r>
        <w:rPr>
          <w:rFonts w:ascii="Times New Roman" w:hAnsi="Times New Roman"/>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pPr>
        <w:tabs>
          <w:tab w:val="left" w:pos="210"/>
        </w:tabs>
        <w:autoSpaceDE w:val="0"/>
        <w:autoSpaceDN w:val="0"/>
        <w:adjustRightInd w:val="0"/>
        <w:spacing w:line="360" w:lineRule="auto"/>
        <w:ind w:firstLine="480" w:firstLineChars="200"/>
        <w:outlineLvl w:val="0"/>
        <w:rPr>
          <w:sz w:val="24"/>
          <w:szCs w:val="24"/>
        </w:rPr>
      </w:pPr>
      <w:r>
        <w:rPr>
          <w:rFonts w:hint="eastAsia"/>
          <w:sz w:val="24"/>
          <w:szCs w:val="24"/>
        </w:rPr>
        <w:t>（一）报价要求</w:t>
      </w:r>
    </w:p>
    <w:p>
      <w:pPr>
        <w:tabs>
          <w:tab w:val="left" w:pos="210"/>
        </w:tabs>
        <w:autoSpaceDE w:val="0"/>
        <w:autoSpaceDN w:val="0"/>
        <w:adjustRightInd w:val="0"/>
        <w:spacing w:line="360" w:lineRule="auto"/>
        <w:ind w:firstLine="480" w:firstLineChars="200"/>
        <w:outlineLvl w:val="0"/>
        <w:rPr>
          <w:sz w:val="24"/>
          <w:szCs w:val="24"/>
        </w:rPr>
      </w:pPr>
      <w:r>
        <w:rPr>
          <w:sz w:val="24"/>
          <w:szCs w:val="24"/>
        </w:rPr>
        <w:t>1. 投标报价以人民币填列。</w:t>
      </w:r>
    </w:p>
    <w:p>
      <w:pPr>
        <w:tabs>
          <w:tab w:val="left" w:pos="210"/>
        </w:tabs>
        <w:autoSpaceDE w:val="0"/>
        <w:autoSpaceDN w:val="0"/>
        <w:adjustRightInd w:val="0"/>
        <w:spacing w:line="360" w:lineRule="auto"/>
        <w:ind w:firstLine="480" w:firstLineChars="200"/>
        <w:outlineLvl w:val="0"/>
        <w:rPr>
          <w:sz w:val="24"/>
        </w:rPr>
      </w:pPr>
      <w:r>
        <w:rPr>
          <w:sz w:val="24"/>
          <w:szCs w:val="24"/>
        </w:rPr>
        <w:t>2. 投标人的报价应包括：人员工资、福利、社险</w:t>
      </w:r>
      <w:r>
        <w:rPr>
          <w:rFonts w:hint="eastAsia"/>
          <w:sz w:val="24"/>
          <w:szCs w:val="24"/>
        </w:rPr>
        <w:t>、住房公积金</w:t>
      </w:r>
      <w:r>
        <w:rPr>
          <w:sz w:val="24"/>
          <w:szCs w:val="24"/>
        </w:rPr>
        <w:t>等人工费用、服装费、</w:t>
      </w:r>
      <w:r>
        <w:rPr>
          <w:rFonts w:hint="eastAsia"/>
          <w:sz w:val="24"/>
          <w:szCs w:val="24"/>
        </w:rPr>
        <w:t>工具耗材费用、</w:t>
      </w:r>
      <w:r>
        <w:rPr>
          <w:sz w:val="24"/>
          <w:szCs w:val="24"/>
        </w:rPr>
        <w:t>办公费、企业利润及税金等</w:t>
      </w:r>
      <w:r>
        <w:rPr>
          <w:rFonts w:hint="eastAsia"/>
          <w:sz w:val="24"/>
          <w:szCs w:val="24"/>
        </w:rPr>
        <w:t>为完成磋商文件规定的一切</w:t>
      </w:r>
      <w:r>
        <w:rPr>
          <w:rFonts w:hint="eastAsia"/>
          <w:sz w:val="24"/>
        </w:rPr>
        <w:t>工作所需的全部费用</w:t>
      </w:r>
      <w:r>
        <w:rPr>
          <w:sz w:val="24"/>
        </w:rPr>
        <w:t>。</w:t>
      </w:r>
    </w:p>
    <w:p>
      <w:pPr>
        <w:spacing w:line="360" w:lineRule="auto"/>
        <w:ind w:firstLine="480" w:firstLineChars="200"/>
        <w:rPr>
          <w:kern w:val="0"/>
          <w:sz w:val="24"/>
          <w:szCs w:val="24"/>
        </w:rPr>
      </w:pPr>
      <w:r>
        <w:rPr>
          <w:rFonts w:hint="eastAsia"/>
          <w:sz w:val="24"/>
        </w:rPr>
        <w:t>3. 投标报价在不超采购预算的前提下，其合理性由磋商小组在评分中予以</w:t>
      </w:r>
      <w:r>
        <w:rPr>
          <w:rFonts w:hint="eastAsia"/>
          <w:kern w:val="0"/>
          <w:sz w:val="24"/>
          <w:szCs w:val="24"/>
        </w:rPr>
        <w:t>考虑。</w:t>
      </w:r>
    </w:p>
    <w:p>
      <w:pPr>
        <w:spacing w:line="360" w:lineRule="auto"/>
        <w:ind w:firstLine="480" w:firstLineChars="200"/>
        <w:rPr>
          <w:kern w:val="0"/>
          <w:sz w:val="24"/>
          <w:szCs w:val="24"/>
        </w:rPr>
      </w:pPr>
      <w:r>
        <w:rPr>
          <w:rFonts w:hint="eastAsia"/>
          <w:kern w:val="0"/>
          <w:sz w:val="24"/>
          <w:szCs w:val="24"/>
        </w:rPr>
        <w:t xml:space="preserve">4. </w:t>
      </w:r>
      <w:r>
        <w:rPr>
          <w:sz w:val="24"/>
        </w:rPr>
        <w:t>验收相关费用由投标人负责。</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（二）时间、地点要求：</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1. 服务期：</w:t>
      </w:r>
      <w:r>
        <w:rPr>
          <w:rFonts w:hint="eastAsia" w:ascii="Times New Roman" w:hAnsi="Times New Roman" w:eastAsia="宋体" w:cs="Times New Roman"/>
          <w:kern w:val="2"/>
        </w:rPr>
        <w:t>合同履行期限2023年5月至12月31日</w:t>
      </w:r>
      <w:r>
        <w:rPr>
          <w:rFonts w:ascii="Times New Roman" w:hAnsi="Times New Roman" w:eastAsia="宋体" w:cs="Times New Roman"/>
          <w:kern w:val="2"/>
        </w:rPr>
        <w:t>（特殊情况以合同为准）。</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 xml:space="preserve">2. </w:t>
      </w:r>
      <w:r>
        <w:rPr>
          <w:rFonts w:hint="eastAsia" w:ascii="Times New Roman" w:hAnsi="Times New Roman" w:eastAsia="宋体" w:cs="Times New Roman"/>
          <w:kern w:val="2"/>
        </w:rPr>
        <w:t>服务</w:t>
      </w:r>
      <w:r>
        <w:rPr>
          <w:rFonts w:ascii="Times New Roman" w:hAnsi="Times New Roman" w:eastAsia="宋体" w:cs="Times New Roman"/>
          <w:kern w:val="2"/>
        </w:rPr>
        <w:t>地点：</w:t>
      </w:r>
      <w:r>
        <w:rPr>
          <w:rFonts w:hint="eastAsia" w:ascii="Times New Roman" w:hAnsi="Times New Roman" w:eastAsia="宋体" w:cs="Times New Roman"/>
          <w:kern w:val="2"/>
        </w:rPr>
        <w:t>详见项目需求书</w:t>
      </w:r>
      <w:r>
        <w:rPr>
          <w:rFonts w:ascii="Times New Roman" w:hAnsi="Times New Roman" w:eastAsia="宋体" w:cs="Times New Roman"/>
          <w:kern w:val="2"/>
        </w:rPr>
        <w:t>（特殊情况以合同为准）。</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（三）供应商须整包进行磋商，不得拆包分项磋商。</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（四）磋商有效期：本项目磋商有效期为60天。</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（五）付款方式</w:t>
      </w:r>
    </w:p>
    <w:p>
      <w:pPr>
        <w:pStyle w:val="31"/>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按月付款，每月15日前支付上一月服务费（特殊情况以合同为准）。</w:t>
      </w:r>
    </w:p>
    <w:p>
      <w:pPr>
        <w:pStyle w:val="31"/>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pPr>
        <w:pStyle w:val="31"/>
        <w:spacing w:line="360" w:lineRule="auto"/>
        <w:ind w:firstLine="480" w:firstLineChars="200"/>
        <w:jc w:val="both"/>
        <w:rPr>
          <w:rFonts w:ascii="Times New Roman" w:hAnsi="Times New Roman" w:eastAsia="宋体" w:cs="Times New Roman"/>
          <w:kern w:val="2"/>
        </w:rPr>
      </w:pPr>
      <w:r>
        <w:rPr>
          <w:rFonts w:hint="eastAsia" w:ascii="Times New Roman" w:hAnsi="Times New Roman" w:eastAsia="宋体" w:cs="Times New Roman"/>
          <w:kern w:val="2"/>
        </w:rPr>
        <w:t>二</w:t>
      </w:r>
      <w:r>
        <w:rPr>
          <w:rFonts w:ascii="Times New Roman" w:hAnsi="Times New Roman" w:eastAsia="宋体" w:cs="Times New Roman"/>
          <w:kern w:val="2"/>
        </w:rPr>
        <w:t>、技术要求</w:t>
      </w:r>
    </w:p>
    <w:p>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pStyle w:val="8"/>
        <w:rPr>
          <w:color w:val="000000"/>
          <w:sz w:val="24"/>
        </w:rPr>
      </w:pPr>
    </w:p>
    <w:p/>
    <w:p>
      <w:pPr>
        <w:numPr>
          <w:ilvl w:val="0"/>
          <w:numId w:val="2"/>
        </w:numPr>
        <w:autoSpaceDE w:val="0"/>
        <w:autoSpaceDN w:val="0"/>
        <w:adjustRightInd w:val="0"/>
        <w:spacing w:line="360" w:lineRule="auto"/>
        <w:ind w:firstLine="480" w:firstLineChars="200"/>
        <w:rPr>
          <w:bCs/>
          <w:sz w:val="24"/>
        </w:rPr>
      </w:pPr>
      <w:r>
        <w:rPr>
          <w:rFonts w:hint="eastAsia"/>
          <w:bCs/>
          <w:sz w:val="24"/>
        </w:rPr>
        <w:t>评审因素及评标标准</w:t>
      </w:r>
    </w:p>
    <w:tbl>
      <w:tblPr>
        <w:tblStyle w:val="19"/>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第一部分 价格（10分）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价格</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（1）磋商报价超过采购预算的，投标无效，未超过采购预算的投标报价按以下公式进行计算。</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（2）磋商报价得分=（磋商基准价/最后磋商报价）×10。（注：满足磋商文件要求且最后报价最低的供应商的价格为磋商基准价。）</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kern w:val="0"/>
                <w:sz w:val="24"/>
                <w:szCs w:val="24"/>
              </w:rPr>
              <w:t>第二部分 客观分（50分）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投标人业绩</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提供投标人自2019年1月1日至今已完成的或正在实施的与本项目相类似的服务案例。每提供一项案例2分，最高得10分。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类似项目业绩须提供有效的相关证明资料，具体要求如下：</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A合同原件扫描件。包括合同金额、双方名称及盖章、服务内容；</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B用户出具成功履行合同的相关证明材料或截至目前合同履行良好的证明材料，证明材料均须加盖用户单位公章；</w:t>
            </w:r>
          </w:p>
          <w:p>
            <w:pPr>
              <w:widowControl/>
              <w:adjustRightInd w:val="0"/>
              <w:snapToGrid w:val="0"/>
              <w:spacing w:line="360" w:lineRule="auto"/>
              <w:rPr>
                <w:rFonts w:ascii="宋体" w:hAnsi="宋体" w:cs="宋体"/>
                <w:color w:val="FF0000"/>
                <w:kern w:val="0"/>
                <w:sz w:val="24"/>
                <w:szCs w:val="24"/>
              </w:rPr>
            </w:pPr>
            <w:r>
              <w:rPr>
                <w:rFonts w:hint="eastAsia" w:ascii="宋体" w:hAnsi="宋体" w:cs="宋体"/>
                <w:kern w:val="0"/>
                <w:sz w:val="24"/>
                <w:szCs w:val="24"/>
              </w:rPr>
              <w:t>注：提供的证明材料均不得遮挡涂黑，否则不予认定加分。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投标人相关证书评价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投标人具备在有效期内的质量管理体系认证、环境管理体系认证、职业健康安全管理体系认证，提供证书扫描件，具备1个证书得2分，最高6分。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拟派驻项目对接人评价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投入本项目的项目对接人为投标单位正式员工，提供项目对接人姓名、项目对接人开标日前三个月中连续两个月的由投标单位或其分公司为该项目对接人缴纳社会保险证明扫描件（单位职工缴费信息），否则不予认定加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（1）提供项目对接人毕业证书扫描件，该项目经理具有大专及以上学历的：2分，其他0分；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（2）提供项目对接人用户服务证明扫描件（加盖用户单位公章），用户服务证明能表明该项目经理具备五年（含五年）以上非住宅物业项目管理经验的：2分，其他：0分；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（3）提供项目对接人身份证扫描件，该项目经理年龄在45周岁或以下的：1分，其他0分；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（4）提供项目对接人卫生防疫部门或医疗机构颁发的健康证扫描件：1分，其他：0分；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419" w:type="dxa"/>
            <w:shd w:val="clear" w:color="auto" w:fill="auto"/>
            <w:vAlign w:val="center"/>
          </w:tcPr>
          <w:p>
            <w:pPr>
              <w:spacing w:line="360" w:lineRule="auto"/>
              <w:ind w:firstLine="12" w:firstLineChars="5"/>
              <w:jc w:val="center"/>
              <w:rPr>
                <w:rFonts w:asciiTheme="minorEastAsia" w:hAnsiTheme="minorEastAsia" w:eastAsiaTheme="minorEastAsia" w:cstheme="minorEastAsia"/>
                <w:bCs/>
                <w:sz w:val="24"/>
                <w:szCs w:val="24"/>
              </w:rPr>
            </w:pPr>
            <w:r>
              <w:rPr>
                <w:rFonts w:ascii="宋体" w:hAnsi="宋体"/>
                <w:bCs/>
                <w:sz w:val="24"/>
                <w:szCs w:val="24"/>
              </w:rPr>
              <w:t>派驻服务人员评价</w:t>
            </w:r>
          </w:p>
        </w:tc>
        <w:tc>
          <w:tcPr>
            <w:tcW w:w="7311" w:type="dxa"/>
            <w:shd w:val="clear" w:color="auto" w:fill="auto"/>
            <w:vAlign w:val="center"/>
          </w:tcPr>
          <w:p>
            <w:pPr>
              <w:pStyle w:val="2"/>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（1）保洁员：拟投入本项目的保洁员中至少2人具备天津市爱国卫生运动委员会颁发的天津市病媒生物防制培训证书，提供上述人员上述证书扫描件，每个满足以上要求的人员得2分，最多4分；</w:t>
            </w:r>
          </w:p>
          <w:p>
            <w:pPr>
              <w:pStyle w:val="2"/>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2）保洁员：拟投入本项目的保洁员中至少2人具备《特种作业操作证（高处作业）》及天津市爱国卫生运动委员会颁发的天津市病媒生物防制培训证书，提供上述人员上述证书扫描件，与第（1）项不为同一人，每个满足以上要求的人员得2分，最多4分；</w:t>
            </w:r>
          </w:p>
          <w:p>
            <w:pPr>
              <w:pStyle w:val="2"/>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szCs w:val="24"/>
              </w:rPr>
              <w:t>秩序维护人员：</w:t>
            </w:r>
            <w:r>
              <w:rPr>
                <w:rFonts w:hint="eastAsia" w:asciiTheme="minorEastAsia" w:hAnsiTheme="minorEastAsia" w:eastAsiaTheme="minorEastAsia" w:cstheme="minorEastAsia"/>
                <w:szCs w:val="24"/>
              </w:rPr>
              <w:t>拟投入本项目的</w:t>
            </w:r>
            <w:r>
              <w:rPr>
                <w:rFonts w:hint="eastAsia" w:asciiTheme="minorEastAsia" w:hAnsiTheme="minorEastAsia" w:eastAsiaTheme="minorEastAsia" w:cstheme="minorEastAsia"/>
                <w:bCs/>
                <w:szCs w:val="24"/>
              </w:rPr>
              <w:t>秩序维护</w:t>
            </w:r>
            <w:r>
              <w:rPr>
                <w:rFonts w:hint="eastAsia" w:asciiTheme="minorEastAsia" w:hAnsiTheme="minorEastAsia" w:eastAsiaTheme="minorEastAsia" w:cstheme="minorEastAsia"/>
                <w:szCs w:val="24"/>
              </w:rPr>
              <w:t>人员均具备公安机关颁发的《保安员证》，提供上述人员上述证书扫描件，每个满足以上要求的人员得2分，最多8分；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厨师长：</w:t>
            </w:r>
            <w:r>
              <w:rPr>
                <w:rFonts w:hint="eastAsia" w:asciiTheme="minorEastAsia" w:hAnsiTheme="minorEastAsia" w:eastAsiaTheme="minorEastAsia" w:cstheme="minorEastAsia"/>
                <w:sz w:val="24"/>
                <w:szCs w:val="24"/>
              </w:rPr>
              <w:t>拟投入本项目的</w:t>
            </w:r>
            <w:r>
              <w:rPr>
                <w:rFonts w:hint="eastAsia" w:asciiTheme="minorEastAsia" w:hAnsiTheme="minorEastAsia" w:eastAsiaTheme="minorEastAsia" w:cstheme="minorEastAsia"/>
                <w:bCs/>
                <w:sz w:val="24"/>
                <w:szCs w:val="24"/>
              </w:rPr>
              <w:t>厨师长</w:t>
            </w:r>
            <w:r>
              <w:rPr>
                <w:rFonts w:hint="eastAsia" w:asciiTheme="minorEastAsia" w:hAnsiTheme="minorEastAsia" w:eastAsiaTheme="minorEastAsia" w:cstheme="minorEastAsia"/>
                <w:sz w:val="24"/>
                <w:szCs w:val="24"/>
              </w:rPr>
              <w:t>具备大专或以上学历，提供厨师长毕业证书扫描件，满足以上要求的人员得2分，其他0分；</w:t>
            </w:r>
          </w:p>
          <w:p>
            <w:pPr>
              <w:pStyle w:val="2"/>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rPr>
              <w:t>（5）</w:t>
            </w:r>
            <w:r>
              <w:rPr>
                <w:rFonts w:hint="eastAsia" w:asciiTheme="minorEastAsia" w:hAnsiTheme="minorEastAsia" w:eastAsiaTheme="minorEastAsia" w:cstheme="minorEastAsia"/>
                <w:bCs/>
                <w:szCs w:val="24"/>
              </w:rPr>
              <w:t>厨师长：</w:t>
            </w:r>
            <w:r>
              <w:rPr>
                <w:rFonts w:hint="eastAsia" w:asciiTheme="minorEastAsia" w:hAnsiTheme="minorEastAsia" w:eastAsiaTheme="minorEastAsia" w:cstheme="minorEastAsia"/>
                <w:szCs w:val="24"/>
              </w:rPr>
              <w:t>提供厨师长卫生防疫部门或医疗机构颁发的健康证扫描件：1分，其他：0分；</w:t>
            </w:r>
          </w:p>
          <w:p>
            <w:pPr>
              <w:pStyle w:val="2"/>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6</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szCs w:val="24"/>
              </w:rPr>
              <w:t>厨师长：</w:t>
            </w:r>
            <w:r>
              <w:rPr>
                <w:rFonts w:hint="eastAsia" w:asciiTheme="minorEastAsia" w:hAnsiTheme="minorEastAsia" w:eastAsiaTheme="minorEastAsia" w:cstheme="minorEastAsia"/>
                <w:szCs w:val="24"/>
              </w:rPr>
              <w:t>提供上述人员（已提供上述合格证书扫描件的）开标日前三个月中连续两个月的由投标单位或其分公司缴纳社会保险证明扫描件，合格者得1分，其他0分；</w:t>
            </w:r>
          </w:p>
          <w:p>
            <w:pPr>
              <w:pStyle w:val="2"/>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7</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szCs w:val="24"/>
              </w:rPr>
              <w:t>食堂服务人员：</w:t>
            </w:r>
            <w:r>
              <w:rPr>
                <w:rFonts w:hint="eastAsia" w:asciiTheme="minorEastAsia" w:hAnsiTheme="minorEastAsia" w:eastAsiaTheme="minorEastAsia" w:cstheme="minorEastAsia"/>
                <w:szCs w:val="24"/>
              </w:rPr>
              <w:t>拟投入本项目的</w:t>
            </w:r>
            <w:r>
              <w:rPr>
                <w:rFonts w:hint="eastAsia" w:asciiTheme="minorEastAsia" w:hAnsiTheme="minorEastAsia" w:eastAsiaTheme="minorEastAsia" w:cstheme="minorEastAsia"/>
                <w:bCs/>
                <w:szCs w:val="24"/>
              </w:rPr>
              <w:t>食堂服务人员</w:t>
            </w:r>
            <w:r>
              <w:rPr>
                <w:rFonts w:hint="eastAsia" w:asciiTheme="minorEastAsia" w:hAnsiTheme="minorEastAsia" w:eastAsiaTheme="minorEastAsia" w:cstheme="minorEastAsia"/>
                <w:szCs w:val="24"/>
              </w:rPr>
              <w:t>具备卫生防疫部门或医疗机构颁发的健康证，提供上述人员上述证书扫描件，每个满足以上要求的人员得2分，最多8分；</w:t>
            </w:r>
          </w:p>
        </w:tc>
        <w:tc>
          <w:tcPr>
            <w:tcW w:w="1143" w:type="dxa"/>
            <w:shd w:val="clear" w:color="auto" w:fill="auto"/>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第三部分 主观分（40分）</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人员、岗位配置方案评价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至少包含各岗位投入人员数量、各岗位内部人员安排配置方案</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至少包含针对本项目的保洁、秩序维护、食堂服务方案</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至少包含针对本项目重点和难点的理解以及针对重点难点的应对解决方案</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重点难点理解或应对解决方案内容存在1处瑕疵：4分；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重点难点理解或应对解决方案内容存在2处瑕疵：2分；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未提供重点难点理解或应对解决方案或不满足项目需求书要求或内容存在3处及以上瑕疵：0分；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进驻和接管方案评价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至少包含中标后如何</w:t>
            </w:r>
            <w:r>
              <w:rPr>
                <w:rFonts w:hint="eastAsia" w:ascii="宋体" w:hAnsi="宋体" w:cs="宋体"/>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pPr>
              <w:widowControl/>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应急预案评价</w:t>
            </w:r>
          </w:p>
        </w:tc>
        <w:tc>
          <w:tcPr>
            <w:tcW w:w="7311" w:type="dxa"/>
            <w:shd w:val="clear" w:color="auto" w:fill="auto"/>
            <w:vAlign w:val="center"/>
          </w:tcPr>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满足项目需求书要求，无瑕疵：6分；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至少包含服务期内保证人员更换率不得超过项目需求书要求的措施，保证更换人员不得低于采购需求，且应经采购人同意的措施</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满足项目需求书要求，无瑕疵：4分；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方案内容存在1处瑕疵：2分；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方案内容存在2处瑕疵：1分；</w:t>
            </w:r>
          </w:p>
          <w:p>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未提供方案或不满足项目需求书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1143" w:type="dxa"/>
            <w:shd w:val="clear" w:color="auto" w:fill="auto"/>
            <w:vAlign w:val="center"/>
          </w:tcPr>
          <w:p>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100</w:t>
            </w:r>
          </w:p>
        </w:tc>
      </w:tr>
    </w:tbl>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pStyle w:val="2"/>
        <w:ind w:firstLine="482"/>
        <w:rPr>
          <w:rFonts w:asciiTheme="minorEastAsia" w:hAnsiTheme="minorEastAsia" w:eastAsiaTheme="minorEastAsia" w:cstheme="minorEastAsia"/>
          <w:b/>
          <w:szCs w:val="24"/>
        </w:rPr>
      </w:pPr>
    </w:p>
    <w:p>
      <w:pPr>
        <w:pStyle w:val="2"/>
        <w:ind w:firstLine="482"/>
        <w:rPr>
          <w:rFonts w:asciiTheme="minorEastAsia" w:hAnsiTheme="minorEastAsia" w:eastAsiaTheme="minorEastAsia" w:cstheme="minorEastAsia"/>
          <w:b/>
          <w:szCs w:val="24"/>
        </w:rPr>
      </w:pPr>
    </w:p>
    <w:p>
      <w:pPr>
        <w:pStyle w:val="2"/>
        <w:ind w:firstLine="482"/>
        <w:rPr>
          <w:rFonts w:asciiTheme="minorEastAsia" w:hAnsiTheme="minorEastAsia" w:eastAsiaTheme="minorEastAsia" w:cstheme="minorEastAsia"/>
          <w:b/>
          <w:szCs w:val="24"/>
        </w:rPr>
      </w:pPr>
    </w:p>
    <w:p>
      <w:pPr>
        <w:pStyle w:val="2"/>
        <w:ind w:firstLine="482"/>
        <w:rPr>
          <w:rFonts w:asciiTheme="minorEastAsia" w:hAnsiTheme="minorEastAsia" w:eastAsiaTheme="minorEastAsia" w:cstheme="minorEastAsia"/>
          <w:b/>
          <w:szCs w:val="24"/>
        </w:rPr>
      </w:pPr>
    </w:p>
    <w:p>
      <w:pPr>
        <w:pStyle w:val="2"/>
        <w:ind w:firstLine="482"/>
        <w:rPr>
          <w:rFonts w:asciiTheme="minorEastAsia" w:hAnsiTheme="minorEastAsia" w:eastAsiaTheme="minorEastAsia" w:cstheme="minorEastAsia"/>
          <w:b/>
          <w:szCs w:val="24"/>
        </w:rPr>
      </w:pPr>
    </w:p>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项目需求书</w:t>
      </w:r>
    </w:p>
    <w:p>
      <w:pPr>
        <w:pStyle w:val="4"/>
        <w:spacing w:before="0" w:after="0" w:line="360" w:lineRule="exact"/>
        <w:rPr>
          <w:rFonts w:asciiTheme="minorEastAsia" w:hAnsiTheme="minorEastAsia" w:eastAsiaTheme="minorEastAsia" w:cstheme="minorEastAsia"/>
          <w:b w:val="0"/>
          <w:bCs w:val="0"/>
          <w:sz w:val="24"/>
          <w:szCs w:val="24"/>
        </w:rPr>
      </w:pPr>
      <w:bookmarkStart w:id="4" w:name="_Toc26320"/>
      <w:r>
        <w:rPr>
          <w:rFonts w:hint="eastAsia" w:asciiTheme="minorEastAsia" w:hAnsiTheme="minorEastAsia" w:eastAsiaTheme="minorEastAsia" w:cstheme="minorEastAsia"/>
          <w:sz w:val="24"/>
          <w:szCs w:val="24"/>
        </w:rPr>
        <w:t>一、项目背景</w:t>
      </w:r>
      <w:bookmarkEnd w:id="4"/>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天津市东丽区市场监督管理局坐落在东丽区先锋路14号，总占地面积2400平方米，建筑面积3600平方米，主楼为地上三层建筑，分前后两个院，停车位30个，主楼三层均为办公区域，独立行政调解大厅，一楼有值班室。副楼一楼为食堂、仓库等，二楼为大会议室和办公室。需提供保洁服务，秩序维护服务，食堂服务（一日三餐含节假日）等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2、市场监督管理局下设11个市场监管所和1个执法支队，2个事业单位，下属部门分别是：</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（1）新立街市场监管所，坐落在东丽区丽新路，建筑面积1200平方米，需提供食堂服务、保洁服务、秩序服务。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（2）万新街市场监管所，坐落在程林道与程发路交口，建筑面积1500平方米，需提供食堂服务、保洁服务、秩序服务。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（3）金钟街市场监管所和金钟农贸批发市场监管所，坐落在东丽区金钟街新市镇内，建筑面积2600平方米，需提供食堂服务、保洁服务、秩序服务。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（4）军粮城街市场监管所，坐落在军粮城民生街与塘洼道交叉口，建筑面积300平方米左右，需提供食堂服务、保洁服务。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（5）华明街市场监管所，坐落在明湖苑31号楼15-16门，建筑面积420平方米，需提供食堂服务、保洁服务、秩序服务。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（6）张贵庄所坐落在利津路17号，人防办二楼和四楼，建筑面积400平方米，需提供食堂服务、保洁服务。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（7）原质监局办公楼坐落在先锋路3号，建筑面积2000平方米左右，需提供食堂服务、保洁服务、秩序维护服务。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（8）丰年所坐落在万科民和巷花园3号楼201室，建筑面积400平米，需提供食堂服务、保洁服务、秩序服务。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（9）无瑕所坐落在钢花路滨源服务中心三楼，建筑面积300平米，需提供食堂服务、保洁服务。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（10）金桥所坐落在机场货运路平盈路8号，建筑面积800平米，需提供保洁服务、秩序维护服务。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（11）东丽湖所坐落在天安智慧港产业楼4号102，建筑面积600平米，需提供保洁服务。</w:t>
      </w:r>
    </w:p>
    <w:p>
      <w:pPr>
        <w:spacing w:line="3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（12）执法支队坐落在东丽公路养护所对过，建筑面积1800平米，需提供保洁服务，门卫服务，食堂服务（一日两餐）。</w:t>
      </w:r>
    </w:p>
    <w:p>
      <w:pPr>
        <w:spacing w:line="3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（13）质检所、计量所坐落在先锋路99号，建筑面积2400平方米，需提供保洁服务，门卫服务，食堂服务（一日两餐）。</w:t>
      </w:r>
    </w:p>
    <w:p>
      <w:pPr>
        <w:pStyle w:val="2"/>
        <w:rPr>
          <w:color w:val="000000" w:themeColor="text1"/>
          <w:lang w:val="en-US"/>
          <w14:textFill>
            <w14:solidFill>
              <w14:schemeClr w14:val="tx1"/>
            </w14:solidFill>
          </w14:textFill>
        </w:rPr>
      </w:pPr>
    </w:p>
    <w:p>
      <w:pPr>
        <w:pStyle w:val="4"/>
        <w:spacing w:before="0" w:after="0" w:line="360" w:lineRule="exact"/>
        <w:rPr>
          <w:rFonts w:asciiTheme="minorEastAsia" w:hAnsiTheme="minorEastAsia" w:eastAsiaTheme="minorEastAsia" w:cstheme="minorEastAsia"/>
          <w:sz w:val="24"/>
          <w:szCs w:val="24"/>
        </w:rPr>
      </w:pPr>
      <w:bookmarkStart w:id="5" w:name="_Toc1489"/>
      <w:bookmarkStart w:id="6" w:name="_Toc13518"/>
      <w:r>
        <w:rPr>
          <w:rFonts w:hint="eastAsia" w:asciiTheme="minorEastAsia" w:hAnsiTheme="minorEastAsia" w:eastAsiaTheme="minorEastAsia" w:cstheme="minorEastAsia"/>
          <w:sz w:val="24"/>
          <w:szCs w:val="24"/>
        </w:rPr>
        <w:t>二、物业投入人员岗位及每个岗位的需要人数</w:t>
      </w:r>
      <w:bookmarkEnd w:id="5"/>
    </w:p>
    <w:p>
      <w:pPr>
        <w:pStyle w:val="5"/>
        <w:spacing w:before="0" w:after="0" w:line="36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（一）人员总体配置要求</w:t>
      </w:r>
    </w:p>
    <w:tbl>
      <w:tblPr>
        <w:tblStyle w:val="1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3318"/>
        <w:gridCol w:w="634"/>
        <w:gridCol w:w="2659"/>
        <w:gridCol w:w="98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0" w:type="auto"/>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岗位名称</w:t>
            </w:r>
          </w:p>
        </w:tc>
        <w:tc>
          <w:tcPr>
            <w:tcW w:w="668" w:type="dxa"/>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人数</w:t>
            </w:r>
          </w:p>
        </w:tc>
        <w:tc>
          <w:tcPr>
            <w:tcW w:w="2992" w:type="dxa"/>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基本要求</w:t>
            </w:r>
          </w:p>
        </w:tc>
        <w:tc>
          <w:tcPr>
            <w:tcW w:w="1046" w:type="dxa"/>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是否接受退休人员</w:t>
            </w:r>
          </w:p>
        </w:tc>
        <w:tc>
          <w:tcPr>
            <w:tcW w:w="1409" w:type="dxa"/>
            <w:vAlign w:val="center"/>
          </w:tcPr>
          <w:p>
            <w:pPr>
              <w:spacing w:line="360" w:lineRule="exact"/>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0" w:type="auto"/>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保洁员</w:t>
            </w:r>
          </w:p>
        </w:tc>
        <w:tc>
          <w:tcPr>
            <w:tcW w:w="668"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2992" w:type="dxa"/>
            <w:vAlign w:val="center"/>
          </w:tcPr>
          <w:p>
            <w:pPr>
              <w:pStyle w:val="2"/>
              <w:spacing w:line="280" w:lineRule="exact"/>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1、男女不限，60周岁或以下，身体健康，无不良嗜好。</w:t>
            </w:r>
          </w:p>
          <w:p>
            <w:pPr>
              <w:pStyle w:val="2"/>
              <w:spacing w:line="280" w:lineRule="exact"/>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2、其中至少2人具备《特种作业操作证（高处作业）》及天津市病媒生物防制培训证书；至少2人具备天津市病媒生物防制培训证书，持证人员不接受退休人员。</w:t>
            </w:r>
          </w:p>
          <w:p>
            <w:pPr>
              <w:pStyle w:val="2"/>
              <w:spacing w:line="280" w:lineRule="exact"/>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3、具备相关工作经验。</w:t>
            </w:r>
          </w:p>
        </w:tc>
        <w:tc>
          <w:tcPr>
            <w:tcW w:w="1046" w:type="dxa"/>
            <w:vAlign w:val="center"/>
          </w:tcPr>
          <w:p>
            <w:pPr>
              <w:spacing w:line="28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是（最多接受9个退休人员）</w:t>
            </w:r>
          </w:p>
        </w:tc>
        <w:tc>
          <w:tcPr>
            <w:tcW w:w="1409"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每周5日，每日7小时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794"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秩序维护员</w:t>
            </w:r>
          </w:p>
        </w:tc>
        <w:tc>
          <w:tcPr>
            <w:tcW w:w="668"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2992" w:type="dxa"/>
            <w:vAlign w:val="center"/>
          </w:tcPr>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1、男性，60周岁或以下，身体健康，无不良嗜好。</w:t>
            </w:r>
          </w:p>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2、持公安机关颁发的《保安员证》上岗。</w:t>
            </w:r>
          </w:p>
          <w:p>
            <w:pPr>
              <w:pStyle w:val="2"/>
              <w:spacing w:line="280" w:lineRule="exact"/>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3、具备相关工作经验。</w:t>
            </w:r>
          </w:p>
        </w:tc>
        <w:tc>
          <w:tcPr>
            <w:tcW w:w="1046" w:type="dxa"/>
            <w:vAlign w:val="center"/>
          </w:tcPr>
          <w:p>
            <w:pPr>
              <w:spacing w:line="28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是（最多接受4个退休人员）</w:t>
            </w:r>
          </w:p>
        </w:tc>
        <w:tc>
          <w:tcPr>
            <w:tcW w:w="1409"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局里：24小时值守；其他单位：</w:t>
            </w:r>
            <w:r>
              <w:rPr>
                <w:rFonts w:hint="eastAsia" w:asciiTheme="minorEastAsia" w:hAnsiTheme="minorEastAsia" w:eastAsiaTheme="minorEastAsia" w:cstheme="minorEastAsia"/>
                <w:bCs/>
                <w:sz w:val="24"/>
                <w:szCs w:val="24"/>
              </w:rPr>
              <w:t>每周5日，每日8小时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w:t>
            </w:r>
          </w:p>
        </w:tc>
        <w:tc>
          <w:tcPr>
            <w:tcW w:w="0" w:type="auto"/>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食堂服务（厨师长、面点、帮厨等）</w:t>
            </w:r>
          </w:p>
        </w:tc>
        <w:tc>
          <w:tcPr>
            <w:tcW w:w="668"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2992" w:type="dxa"/>
            <w:vAlign w:val="center"/>
          </w:tcPr>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1、形象良好，身体健康，均持有卫生防疫部门或医疗机构颁发的《健康证》上岗。</w:t>
            </w:r>
          </w:p>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2、厨师长：男女不限，具备大专以上学历。</w:t>
            </w:r>
          </w:p>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3、面点（4名）：男女不限，60周岁或以下。</w:t>
            </w:r>
          </w:p>
          <w:p>
            <w:pPr>
              <w:spacing w:line="28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4、帮厨（12名）：男女不限，60周岁或以下。</w:t>
            </w:r>
          </w:p>
          <w:p>
            <w:pPr>
              <w:pStyle w:val="2"/>
              <w:spacing w:line="280" w:lineRule="exact"/>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5、具备</w:t>
            </w:r>
            <w:r>
              <w:rPr>
                <w:rFonts w:hint="eastAsia" w:asciiTheme="minorEastAsia" w:hAnsiTheme="minorEastAsia" w:eastAsiaTheme="minorEastAsia" w:cstheme="minorEastAsia"/>
                <w:color w:val="000000"/>
                <w:szCs w:val="24"/>
              </w:rPr>
              <w:t>相关</w:t>
            </w:r>
            <w:r>
              <w:rPr>
                <w:rFonts w:hint="eastAsia" w:asciiTheme="minorEastAsia" w:hAnsiTheme="minorEastAsia" w:eastAsiaTheme="minorEastAsia" w:cstheme="minorEastAsia"/>
                <w:szCs w:val="24"/>
                <w:lang w:val="en-US"/>
              </w:rPr>
              <w:t>工作经验。</w:t>
            </w:r>
          </w:p>
        </w:tc>
        <w:tc>
          <w:tcPr>
            <w:tcW w:w="1046" w:type="dxa"/>
            <w:vAlign w:val="center"/>
          </w:tcPr>
          <w:p>
            <w:pPr>
              <w:spacing w:line="28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是（面点及帮厨岗位最多接受12个退休人员）</w:t>
            </w:r>
          </w:p>
        </w:tc>
        <w:tc>
          <w:tcPr>
            <w:tcW w:w="1409"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每周5日，每日8小时；</w:t>
            </w:r>
          </w:p>
          <w:p>
            <w:pPr>
              <w:pStyle w:val="2"/>
              <w:ind w:firstLine="0" w:firstLineChars="0"/>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color w:val="000000"/>
                <w:szCs w:val="24"/>
                <w:lang w:val="en-US"/>
              </w:rPr>
              <w:t>局机关六、日、节假日需要供餐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pPr>
              <w:spacing w:line="36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合计人数</w:t>
            </w:r>
          </w:p>
        </w:tc>
        <w:tc>
          <w:tcPr>
            <w:tcW w:w="6115" w:type="dxa"/>
            <w:gridSpan w:val="4"/>
            <w:vAlign w:val="center"/>
          </w:tcPr>
          <w:p>
            <w:pPr>
              <w:spacing w:line="36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46人</w:t>
            </w:r>
          </w:p>
        </w:tc>
      </w:tr>
    </w:tbl>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在项目的日常管理中需要物业公司指定一名正式员工作为项目对接人负责与甲方进行项目日常各种事务的沟通管理工作，该对接人为物业公司免费提供。</w:t>
      </w:r>
    </w:p>
    <w:p>
      <w:pPr>
        <w:pStyle w:val="5"/>
        <w:spacing w:before="0" w:after="0" w:line="36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（二）局机关及下属各所、队人员具体配置要求</w:t>
      </w:r>
    </w:p>
    <w:tbl>
      <w:tblPr>
        <w:tblStyle w:val="19"/>
        <w:tblW w:w="9355" w:type="dxa"/>
        <w:jc w:val="center"/>
        <w:tblLayout w:type="fixed"/>
        <w:tblCellMar>
          <w:top w:w="0" w:type="dxa"/>
          <w:left w:w="108" w:type="dxa"/>
          <w:bottom w:w="0" w:type="dxa"/>
          <w:right w:w="108" w:type="dxa"/>
        </w:tblCellMar>
      </w:tblPr>
      <w:tblGrid>
        <w:gridCol w:w="722"/>
        <w:gridCol w:w="2830"/>
        <w:gridCol w:w="931"/>
        <w:gridCol w:w="1262"/>
        <w:gridCol w:w="1135"/>
        <w:gridCol w:w="722"/>
        <w:gridCol w:w="722"/>
        <w:gridCol w:w="1031"/>
      </w:tblGrid>
      <w:tr>
        <w:tblPrEx>
          <w:tblCellMar>
            <w:top w:w="0" w:type="dxa"/>
            <w:left w:w="108" w:type="dxa"/>
            <w:bottom w:w="0" w:type="dxa"/>
            <w:right w:w="108" w:type="dxa"/>
          </w:tblCellMar>
        </w:tblPrEx>
        <w:trPr>
          <w:trHeight w:val="719" w:hRule="atLeast"/>
          <w:jc w:val="center"/>
        </w:trPr>
        <w:tc>
          <w:tcPr>
            <w:tcW w:w="7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2830"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点 位</w:t>
            </w:r>
          </w:p>
        </w:tc>
        <w:tc>
          <w:tcPr>
            <w:tcW w:w="93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保洁员</w:t>
            </w:r>
          </w:p>
        </w:tc>
        <w:tc>
          <w:tcPr>
            <w:tcW w:w="126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秩序维护员</w:t>
            </w:r>
          </w:p>
        </w:tc>
        <w:tc>
          <w:tcPr>
            <w:tcW w:w="1135"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厨师</w:t>
            </w:r>
          </w:p>
        </w:tc>
        <w:tc>
          <w:tcPr>
            <w:tcW w:w="72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面点</w:t>
            </w:r>
          </w:p>
        </w:tc>
        <w:tc>
          <w:tcPr>
            <w:tcW w:w="72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帮厨</w:t>
            </w:r>
          </w:p>
        </w:tc>
        <w:tc>
          <w:tcPr>
            <w:tcW w:w="103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合计</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局机关（先锋路14号）</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局机关（先锋路3号）</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3</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质检所、计量所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r>
      <w:tr>
        <w:tblPrEx>
          <w:tblCellMar>
            <w:top w:w="0" w:type="dxa"/>
            <w:left w:w="108" w:type="dxa"/>
            <w:bottom w:w="0" w:type="dxa"/>
            <w:right w:w="108" w:type="dxa"/>
          </w:tblCellMar>
        </w:tblPrEx>
        <w:trPr>
          <w:trHeight w:val="416"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w:t>
            </w:r>
          </w:p>
        </w:tc>
        <w:tc>
          <w:tcPr>
            <w:tcW w:w="283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综合行政执法支队</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5</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新立街市场监督管理所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6</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万新街市场监督管理所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648"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华明街市场监督管理所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华新街市场监管所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8</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东丽湖街市场监督管理所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135"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color w:val="000000"/>
                <w:kern w:val="0"/>
                <w:sz w:val="24"/>
                <w:szCs w:val="24"/>
              </w:rPr>
            </w:pPr>
          </w:p>
        </w:tc>
        <w:tc>
          <w:tcPr>
            <w:tcW w:w="1031"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无瑕街市场监督管理所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135"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10</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军粮城街市场监督管理所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135"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金桥街市场监督管理所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12</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张贵庄街市场监督管理所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color w:val="000000"/>
                <w:kern w:val="0"/>
                <w:sz w:val="24"/>
                <w:szCs w:val="24"/>
              </w:rPr>
            </w:pPr>
          </w:p>
        </w:tc>
        <w:tc>
          <w:tcPr>
            <w:tcW w:w="1135"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tblPrEx>
          <w:tblCellMar>
            <w:top w:w="0" w:type="dxa"/>
            <w:left w:w="108" w:type="dxa"/>
            <w:bottom w:w="0" w:type="dxa"/>
            <w:right w:w="108" w:type="dxa"/>
          </w:tblCellMar>
        </w:tblPrEx>
        <w:trPr>
          <w:trHeight w:val="38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13</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丰年街市场监督管理所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648"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14</w:t>
            </w:r>
          </w:p>
        </w:tc>
        <w:tc>
          <w:tcPr>
            <w:tcW w:w="2830"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金钟街市场监督管理所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金钟农贸批发市场监督管理所</w:t>
            </w:r>
          </w:p>
        </w:tc>
        <w:tc>
          <w:tcPr>
            <w:tcW w:w="9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432" w:hRule="atLeast"/>
          <w:jc w:val="center"/>
        </w:trPr>
        <w:tc>
          <w:tcPr>
            <w:tcW w:w="35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各岗位人数合计</w:t>
            </w:r>
          </w:p>
        </w:tc>
        <w:tc>
          <w:tcPr>
            <w:tcW w:w="931" w:type="dxa"/>
            <w:tcBorders>
              <w:top w:val="nil"/>
              <w:left w:val="nil"/>
              <w:bottom w:val="single" w:color="auto" w:sz="4" w:space="0"/>
              <w:right w:val="single" w:color="auto" w:sz="4" w:space="0"/>
            </w:tcBorders>
            <w:noWrap/>
            <w:vAlign w:val="center"/>
          </w:tcPr>
          <w:p>
            <w:pPr>
              <w:widowControl/>
              <w:spacing w:line="360" w:lineRule="exact"/>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126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1135"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22"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1031"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46</w:t>
            </w:r>
          </w:p>
        </w:tc>
      </w:tr>
    </w:tbl>
    <w:p>
      <w:pPr>
        <w:spacing w:line="3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注：按劳动法和国务院关于职工工作时间的规定，正常情况下，上述人员每周工作不超过40小时。需安排加班的，中标供应商应配合并向劳动者支付加班费。</w:t>
      </w:r>
    </w:p>
    <w:bookmarkEnd w:id="6"/>
    <w:p>
      <w:pPr>
        <w:pStyle w:val="4"/>
        <w:spacing w:before="0" w:after="0" w:line="360" w:lineRule="exact"/>
        <w:rPr>
          <w:rFonts w:asciiTheme="minorEastAsia" w:hAnsiTheme="minorEastAsia" w:eastAsiaTheme="minorEastAsia" w:cstheme="minorEastAsia"/>
          <w:sz w:val="24"/>
          <w:szCs w:val="24"/>
        </w:rPr>
      </w:pPr>
      <w:bookmarkStart w:id="7" w:name="_Toc5642"/>
      <w:r>
        <w:rPr>
          <w:rFonts w:hint="eastAsia" w:asciiTheme="minorEastAsia" w:hAnsiTheme="minorEastAsia" w:eastAsiaTheme="minorEastAsia" w:cstheme="minorEastAsia"/>
          <w:sz w:val="24"/>
          <w:szCs w:val="24"/>
        </w:rPr>
        <w:t>三、各岗位工作内容、职责及服务标准</w:t>
      </w:r>
      <w:bookmarkEnd w:id="7"/>
    </w:p>
    <w:p>
      <w:pPr>
        <w:pStyle w:val="5"/>
        <w:spacing w:before="0" w:after="0" w:line="36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（一）服务总体要求</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1、秩序维护人员负责各楼层及院内的巡视检查；车辆出入和车辆停放秩序。</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2、门卫室，秩序维护巡视检查工作实行24小时值班（包括节假日）。</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3、各区域公共环境维护。</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4、监控系统设备的运行服务。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5、熟悉并了解整个楼宇及配套细节，特别是消防设施、监控设备，以便遇到特别特殊紧急事件时能立即找到关键部位，采取应急措施，维护公共安全。</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6、做好夏天的防汛工作。</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7、院内绿篱、花坛的养护管理及鲜花的摆放工作。</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8、警卫室的报纸、快递、包裹、信件的收发管理、服务。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9、配合局机关各科室的搬运工作。</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10、查询档案资料简单告知工作。</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11、各市场监管所及下属机构的食堂、门卫、保洁的服务。</w:t>
      </w:r>
    </w:p>
    <w:p>
      <w:pPr>
        <w:pStyle w:val="5"/>
        <w:spacing w:before="0" w:after="0" w:line="36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（二）各岗位的具体要求</w:t>
      </w:r>
    </w:p>
    <w:p>
      <w:pPr>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1、保洁员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1、楼内区域卫生：</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（1）地面、墙面、踢脚线、消防排烟口、安全指示灯、各种标牌、玻璃窗、楼梯及扶手栏杆、天花板及门明净、光洁、无尘土、废杂物、烟头纸屑和油痕污迹；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（2）台球室：室内空气清新、地面及桌椅干净、无灰尘、污迹，各种健身器材外表洁净、房顶无尘土；</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卫生间：无异味，天花板、地面及墙壁光亮、无尘土污迹，镜面、台面、洗手盆光亮干净，便池（冲水设备）畅通无异物，不得有便迹、水锈和异味，厕所纸篓废物不得超过2/3，随时更换垃圾袋；洗手液、手纸按要求配备；</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（4）浴室：保持浴室内的环境卫生整洁，地面无积水、无尘土污迹及废弃物、无异味，通风状况保持良好，无污迹；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（5）会议室：各层大小会议室地面及桌椅干净、无尘土污迹，地毯、门、天花板、电梯牌外表干净，无油痕、污迹、灰尘、杂物等；会议室灯光设备、音响设备等设施、干净，无污迹、无坏损。</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如遇上级领导视察或有重大活动等应彻底清扫干净；</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2、楼外区域卫生：</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（1）所管区域地面和道路：路面整齐，干净，无垃圾，沙土，纸屑、油痕，无积水、无随意堆放杂物和占用等；</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（2）绿化带、花草盆：无垃圾、脏杂物，花草叶无枯萎和明显积尘、花草盆无积水和异味，花草树木摆放美观；</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（3）定期清洗所有公共区域的设施及装置；</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（4）对院内积水、积雪、垃圾及时清扫；院内环境干净整洁；</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（5）适时喷洒消毒药水，投放消毒药物，有效控制蚊蝇等滋生；</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（6）如遇上级领导视察或有重大活动等应彻底清扫干净；</w:t>
      </w:r>
    </w:p>
    <w:p>
      <w:pPr>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2、秩序维护员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（1）做好出入登记，对外来车辆进行控制管理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（2）做好安全、消防巡视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（3）引导车辆有序停放</w:t>
      </w:r>
    </w:p>
    <w:p>
      <w:pPr>
        <w:pStyle w:val="2"/>
        <w:spacing w:line="3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4</w:t>
      </w:r>
      <w:r>
        <w:rPr>
          <w:rFonts w:hint="eastAsia" w:asciiTheme="minorEastAsia" w:hAnsiTheme="minorEastAsia" w:eastAsiaTheme="minorEastAsia" w:cstheme="minorEastAsia"/>
          <w:szCs w:val="24"/>
        </w:rPr>
        <w:t>）按照要求，做好进入人员、快递等物件登记工作</w:t>
      </w:r>
    </w:p>
    <w:p>
      <w:pPr>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3、机关厨师、面点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做好局机关（先锋路14号）早、午、晚三餐（含双休日、节假日）的供应工作及清洁卫生。如遇采购人要求做好客饭保障工作。</w:t>
      </w:r>
    </w:p>
    <w:p>
      <w:pPr>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4、帮厨</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配合机关厨师做好（早、午、晚）三餐的供应工作及清洁卫生，如遇采购人要求做好客饭保障工作。</w:t>
      </w:r>
    </w:p>
    <w:p>
      <w:pPr>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5、各所厨师及帮厨</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做好所里的两餐（早、午）的供应（特殊情况需节假日供餐）工作及清洁卫生。</w:t>
      </w:r>
    </w:p>
    <w:p>
      <w:pPr>
        <w:pStyle w:val="4"/>
        <w:spacing w:before="0" w:after="0" w:line="360" w:lineRule="exact"/>
        <w:ind w:firstLine="482" w:firstLineChars="200"/>
        <w:rPr>
          <w:rFonts w:asciiTheme="minorEastAsia" w:hAnsiTheme="minorEastAsia" w:eastAsiaTheme="minorEastAsia" w:cstheme="minorEastAsia"/>
          <w:b w:val="0"/>
          <w:sz w:val="24"/>
          <w:szCs w:val="24"/>
        </w:rPr>
      </w:pPr>
      <w:bookmarkStart w:id="8" w:name="_Toc12588"/>
      <w:r>
        <w:rPr>
          <w:rFonts w:hint="eastAsia" w:asciiTheme="minorEastAsia" w:hAnsiTheme="minorEastAsia" w:eastAsiaTheme="minorEastAsia" w:cstheme="minorEastAsia"/>
          <w:bCs w:val="0"/>
          <w:sz w:val="24"/>
          <w:szCs w:val="24"/>
        </w:rPr>
        <w:t>四、服装、工具及耗材</w:t>
      </w:r>
      <w:bookmarkEnd w:id="8"/>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1、秩序维护人员通讯器材、保洁人员清洁工具、耗材、洗手间内洗手液、垃圾袋等相关物品由采购人提供。</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2、物业人员的统一服装由中标供应商负责。</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3、绿化工具、药剂费用由采购人承担。</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4、食堂服务所需的设备、工具、食材、水、电、燃气费均由采购人负责。</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5、安保、消防等疫情防控等物资由采购人负责。</w:t>
      </w:r>
    </w:p>
    <w:p>
      <w:pPr>
        <w:pStyle w:val="2"/>
        <w:rPr>
          <w:rFonts w:ascii="Times New Roman" w:hAnsi="Times New Roman"/>
        </w:rPr>
      </w:pPr>
      <w:r>
        <w:rPr>
          <w:rFonts w:hint="eastAsia" w:asciiTheme="minorEastAsia" w:hAnsiTheme="minorEastAsia" w:eastAsiaTheme="minorEastAsia" w:cstheme="minorEastAsia"/>
          <w:szCs w:val="24"/>
          <w:lang w:val="en-US"/>
        </w:rPr>
        <w:t>6、物业人员就餐由采购人与中标供应商协商确定。</w:t>
      </w:r>
      <w:r>
        <w:br w:type="page"/>
      </w:r>
    </w:p>
    <w:p>
      <w:pPr>
        <w:pStyle w:val="14"/>
        <w:rPr>
          <w:rFonts w:ascii="Times New Roman" w:hAnsi="Times New Roman"/>
        </w:rPr>
      </w:pPr>
      <w:r>
        <w:rPr>
          <w:rFonts w:ascii="Times New Roman" w:hAnsi="Times New Roman"/>
        </w:rPr>
        <w:t>第三部分  供应商须知</w:t>
      </w:r>
      <w:bookmarkEnd w:id="1"/>
    </w:p>
    <w:p>
      <w:pPr>
        <w:pStyle w:val="31"/>
        <w:spacing w:line="360" w:lineRule="auto"/>
        <w:jc w:val="center"/>
        <w:rPr>
          <w:rFonts w:ascii="Times New Roman" w:hAnsi="Times New Roman" w:eastAsia="宋体" w:cs="Times New Roman"/>
          <w:color w:val="auto"/>
        </w:rPr>
      </w:pPr>
      <w:bookmarkStart w:id="9" w:name="_Toc411426751"/>
    </w:p>
    <w:p>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“采购人”系指本次磋商活动的采购单位。“采购代理机构”系指组织本次磋商活动的机构，即“天津市东丽区政府采购中心”。</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1"/>
        <w:spacing w:line="360" w:lineRule="auto"/>
        <w:ind w:firstLine="480" w:firstLineChars="200"/>
        <w:rPr>
          <w:rFonts w:ascii="宋体" w:hAnsi="宋体" w:eastAsia="宋体" w:cs="宋体"/>
          <w:color w:val="auto"/>
        </w:rPr>
      </w:pPr>
      <w:r>
        <w:rPr>
          <w:rFonts w:hint="eastAsia" w:ascii="宋体" w:hAnsi="宋体" w:eastAsia="宋体" w:cs="宋体"/>
        </w:rPr>
        <w:t>（7）联合体中任意一方为中小企业的，该方应提供《中小企业声明函》。</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0" w:name="OLE_LINK6"/>
      <w:bookmarkStart w:id="11" w:name="OLE_LINK5"/>
      <w:r>
        <w:rPr>
          <w:rFonts w:hint="eastAsia" w:ascii="Times New Roman" w:hAnsi="Times New Roman" w:eastAsia="宋体" w:cs="Times New Roman"/>
          <w:color w:val="auto"/>
        </w:rPr>
        <w:t>物业管理条例</w:t>
      </w:r>
      <w:bookmarkEnd w:id="10"/>
      <w:bookmarkEnd w:id="11"/>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1"/>
        <w:spacing w:line="360" w:lineRule="auto"/>
        <w:ind w:firstLine="48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根据《财政部 民政部 中国残疾人联合会关于促进残疾人就业政府采购政策的通知》（财库〔2017〕141号）的规定，残疾人福利性单位视同为小型、微型企业。</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东丽区政府采购中心提出。</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东丽区政府采购中心有权将质疑函转发质疑事项各关联方，请其作出解释说明。对捏造事实、滥用维权扰乱采购秩序的恶意质疑者，将上报天津市东丽区财政局政府采购处依法处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pPr>
        <w:pStyle w:val="31"/>
        <w:spacing w:line="360" w:lineRule="auto"/>
        <w:ind w:firstLine="480" w:firstLineChars="200"/>
        <w:jc w:val="both"/>
        <w:rPr>
          <w:rFonts w:ascii="Times New Roman" w:hAnsi="Times New Roman" w:eastAsia="宋体" w:cs="Times New Roman"/>
          <w:color w:val="auto"/>
        </w:rPr>
      </w:pPr>
    </w:p>
    <w:p>
      <w:pPr>
        <w:pStyle w:val="31"/>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31"/>
        <w:spacing w:line="360" w:lineRule="auto"/>
        <w:ind w:firstLine="480" w:firstLineChars="200"/>
        <w:jc w:val="both"/>
        <w:rPr>
          <w:rFonts w:ascii="Times New Roman" w:hAnsi="Times New Roman" w:eastAsia="宋体" w:cs="Times New Roman"/>
          <w:color w:val="auto"/>
        </w:rPr>
      </w:pPr>
    </w:p>
    <w:p>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pPr>
        <w:pStyle w:val="31"/>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17.1 报价书、报价分项一览表等各表中的报价，若无特殊说明应采用人民币填报。</w:t>
      </w:r>
    </w:p>
    <w:p>
      <w:pPr>
        <w:pStyle w:val="31"/>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17.2 报价是为完成竞争性磋商文件规定的一切工作所需的全部费用的最终优惠价格。</w:t>
      </w:r>
    </w:p>
    <w:p>
      <w:pPr>
        <w:pStyle w:val="31"/>
        <w:spacing w:line="360" w:lineRule="auto"/>
        <w:ind w:firstLine="480" w:firstLineChars="200"/>
        <w:jc w:val="both"/>
        <w:rPr>
          <w:rFonts w:ascii="Times New Roman" w:hAnsi="Times New Roman" w:eastAsia="宋体" w:cs="Times New Roman"/>
          <w:color w:val="auto"/>
        </w:rPr>
      </w:pPr>
      <w:r>
        <w:rPr>
          <w:rFonts w:hint="eastAsia" w:ascii="宋体" w:hAnsi="宋体" w:eastAsia="宋体" w:cs="宋体"/>
          <w:color w:val="auto"/>
        </w:rPr>
        <w:t>17.3 除《磋商项目需求》中说明并允许外，投标的每一个货</w:t>
      </w:r>
      <w:r>
        <w:rPr>
          <w:rFonts w:hint="eastAsia" w:ascii="Times New Roman" w:hAnsi="Times New Roman" w:eastAsia="宋体" w:cs="Times New Roman"/>
          <w:color w:val="auto"/>
        </w:rPr>
        <w:t>物、服务的单项报价以及采购项目的投标总价均只允许有一个报价，任何有选择的报价，采购人、采购代理机构均将予以拒绝。</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（以通过电子签章客户端软件winaip正确读取签章信息为准）。加盖电子签章的电子响应文件应与网上应答填报内容一致。当出现网上应答报价与电子响应文件报价不一致时，以网上应答为准。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pPr>
        <w:pStyle w:val="31"/>
        <w:spacing w:line="360" w:lineRule="auto"/>
        <w:jc w:val="center"/>
        <w:rPr>
          <w:rFonts w:ascii="Times New Roman" w:hAnsi="Times New Roman" w:eastAsia="宋体" w:cs="Times New Roman"/>
          <w:color w:val="auto"/>
        </w:rPr>
      </w:pPr>
    </w:p>
    <w:p>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投标人须于《磋商邀请函》规定的投标截止时间前提交网上应答并上传加盖电子签章的电子响应文件（以通过电子签章客户端软件winaip正确读取签章信息为准）。具体方式：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电子签章客户端软件winaip正确读取签章信息为准）。如有需要，投标人可于工作时间且在竞争性磋商文件规定的截止时间前到天津市河东区红星路79号天津市政府采购中心窗口完成应答上传提交。</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投标人须下载天津市政府采购中心网-下载中心-《远程招投标电子签章客户端用户使用说明及安装程序》。</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电子签章客户端软件winaip正确读取签章信息为准），并于投标截止时间前上传至天津市政府采购中心招投标系统。</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未按竞争性磋商文件的规定提交网上应答和上传加盖投标人电子签章的PDF格式电子响应文件（以通过电子签章客户端软件winaip正确读取签章信息为准）的投标将被拒绝。</w:t>
      </w:r>
    </w:p>
    <w:p>
      <w:pPr>
        <w:pStyle w:val="31"/>
        <w:spacing w:line="360" w:lineRule="auto"/>
        <w:ind w:firstLine="480" w:firstLineChars="200"/>
        <w:jc w:val="both"/>
        <w:rPr>
          <w:rFonts w:ascii="Times New Roman" w:hAnsi="Times New Roman" w:eastAsia="宋体" w:cs="Times New Roman"/>
          <w:color w:val="auto"/>
        </w:rPr>
      </w:pPr>
    </w:p>
    <w:p>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供应商应当按照磋商文件的变动情况和磋商小组的要求重新提交响应文件，应为</w:t>
      </w:r>
      <w:r>
        <w:rPr>
          <w:rFonts w:ascii="Times New Roman" w:hAnsi="Times New Roman" w:eastAsia="宋体" w:cs="Times New Roman"/>
          <w:color w:val="auto"/>
          <w:kern w:val="2"/>
        </w:rPr>
        <w:t>PDF</w:t>
      </w:r>
      <w:r>
        <w:rPr>
          <w:rFonts w:hint="eastAsia" w:ascii="Times New Roman" w:hAnsi="Times New Roman" w:eastAsia="宋体" w:cs="Times New Roman"/>
          <w:color w:val="auto"/>
          <w:kern w:val="2"/>
        </w:rPr>
        <w:t>格式且加盖电子签章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（8）单位负责人或法定代表人为同一人，或者存在控股、管理关系的不同供应商，参加同一包或者未划分包的同一项目的，相关响应均无效；</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pPr>
        <w:pStyle w:val="31"/>
        <w:spacing w:line="360" w:lineRule="auto"/>
        <w:ind w:firstLine="480" w:firstLineChars="200"/>
        <w:jc w:val="both"/>
        <w:rPr>
          <w:rFonts w:ascii="Times New Roman" w:hAnsi="Times New Roman" w:eastAsia="宋体" w:cs="Times New Roman"/>
          <w:color w:val="auto"/>
        </w:rPr>
      </w:pPr>
    </w:p>
    <w:p>
      <w:pPr>
        <w:pStyle w:val="31"/>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pPr>
        <w:pStyle w:val="31"/>
        <w:spacing w:line="360" w:lineRule="auto"/>
        <w:ind w:firstLine="480" w:firstLineChars="200"/>
        <w:jc w:val="both"/>
        <w:rPr>
          <w:rFonts w:ascii="Times New Roman" w:hAnsi="Times New Roman" w:eastAsia="宋体" w:cs="Times New Roman"/>
          <w:color w:val="auto"/>
        </w:rPr>
      </w:pPr>
    </w:p>
    <w:p>
      <w:pPr>
        <w:pStyle w:val="31"/>
        <w:snapToGrid w:val="0"/>
        <w:spacing w:line="360" w:lineRule="auto"/>
        <w:ind w:firstLine="480" w:firstLineChars="200"/>
        <w:jc w:val="both"/>
        <w:rPr>
          <w:rFonts w:ascii="Times New Roman" w:hAnsi="Times New Roman" w:eastAsia="宋体" w:cs="Times New Roman"/>
          <w:color w:val="auto"/>
        </w:rPr>
      </w:pPr>
    </w:p>
    <w:p>
      <w:pPr>
        <w:pStyle w:val="31"/>
        <w:snapToGrid w:val="0"/>
        <w:spacing w:line="360" w:lineRule="auto"/>
        <w:ind w:firstLine="480" w:firstLineChars="200"/>
        <w:jc w:val="both"/>
        <w:rPr>
          <w:rFonts w:ascii="Times New Roman" w:hAnsi="Times New Roman" w:eastAsia="宋体" w:cs="Times New Roman"/>
          <w:color w:val="auto"/>
        </w:rPr>
        <w:sectPr>
          <w:headerReference r:id="rId6" w:type="default"/>
          <w:pgSz w:w="11906" w:h="16838"/>
          <w:pgMar w:top="1440" w:right="1800" w:bottom="1440" w:left="1800" w:header="851" w:footer="992" w:gutter="0"/>
          <w:cols w:space="720" w:num="1"/>
          <w:docGrid w:type="lines" w:linePitch="312" w:charSpace="0"/>
        </w:sectPr>
      </w:pPr>
    </w:p>
    <w:p>
      <w:pPr>
        <w:pStyle w:val="14"/>
        <w:rPr>
          <w:rFonts w:ascii="Times New Roman" w:hAnsi="Times New Roman"/>
        </w:rPr>
      </w:pPr>
      <w:r>
        <w:rPr>
          <w:rFonts w:ascii="Times New Roman" w:hAnsi="Times New Roman"/>
        </w:rPr>
        <w:t>第四部分  合同草案</w:t>
      </w:r>
      <w:bookmarkEnd w:id="9"/>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82" w:firstLineChars="200"/>
        <w:rPr>
          <w:b/>
          <w:bCs/>
          <w:sz w:val="24"/>
          <w:szCs w:val="24"/>
        </w:rPr>
      </w:pPr>
    </w:p>
    <w:p>
      <w:pPr>
        <w:snapToGrid w:val="0"/>
        <w:spacing w:line="360" w:lineRule="auto"/>
        <w:ind w:firstLine="482" w:firstLineChars="200"/>
        <w:rPr>
          <w:sz w:val="24"/>
          <w:szCs w:val="24"/>
        </w:rPr>
      </w:pPr>
      <w:r>
        <w:rPr>
          <w:b/>
          <w:bCs/>
          <w:sz w:val="24"/>
          <w:szCs w:val="24"/>
        </w:rPr>
        <w:t>采购人（甲方）：</w:t>
      </w:r>
    </w:p>
    <w:p>
      <w:pPr>
        <w:snapToGrid w:val="0"/>
        <w:spacing w:line="360" w:lineRule="auto"/>
        <w:ind w:firstLine="482" w:firstLineChars="200"/>
        <w:rPr>
          <w:sz w:val="24"/>
          <w:szCs w:val="24"/>
        </w:rPr>
      </w:pPr>
      <w:r>
        <w:rPr>
          <w:b/>
          <w:bCs/>
          <w:sz w:val="24"/>
          <w:szCs w:val="24"/>
        </w:rPr>
        <w:t>供应商（乙方）：</w:t>
      </w:r>
    </w:p>
    <w:p>
      <w:pPr>
        <w:spacing w:line="480" w:lineRule="exact"/>
        <w:ind w:firstLine="480" w:firstLineChars="200"/>
        <w:rPr>
          <w:sz w:val="24"/>
          <w:szCs w:val="24"/>
        </w:rPr>
      </w:pPr>
      <w:r>
        <w:rPr>
          <w:sz w:val="24"/>
          <w:szCs w:val="24"/>
        </w:rPr>
        <w:t>甲、乙双方根据项目（项目编号：T</w:t>
      </w:r>
      <w:r>
        <w:rPr>
          <w:rFonts w:hint="eastAsia"/>
          <w:sz w:val="24"/>
          <w:szCs w:val="24"/>
        </w:rPr>
        <w:t>JDL</w:t>
      </w:r>
      <w:r>
        <w:rPr>
          <w:sz w:val="24"/>
          <w:szCs w:val="24"/>
        </w:rPr>
        <w:t>-20</w:t>
      </w:r>
      <w:r>
        <w:rPr>
          <w:rFonts w:hint="eastAsia"/>
          <w:sz w:val="24"/>
          <w:szCs w:val="24"/>
        </w:rPr>
        <w:t>23</w:t>
      </w:r>
      <w:r>
        <w:rPr>
          <w:sz w:val="24"/>
          <w:szCs w:val="24"/>
        </w:rPr>
        <w:t>-）的政府采购结果和磋商文件（或采购文件）的要求，并经双方协商一致，达成本合同：</w:t>
      </w:r>
    </w:p>
    <w:p>
      <w:pPr>
        <w:pStyle w:val="39"/>
        <w:numPr>
          <w:ilvl w:val="0"/>
          <w:numId w:val="3"/>
        </w:numPr>
        <w:spacing w:line="480" w:lineRule="exact"/>
        <w:ind w:firstLineChars="0"/>
        <w:rPr>
          <w:sz w:val="24"/>
        </w:rPr>
      </w:pPr>
      <w:r>
        <w:rPr>
          <w:rFonts w:hint="eastAsia"/>
          <w:sz w:val="24"/>
        </w:rPr>
        <w:t>本合同为中小企业预留合同</w:t>
      </w:r>
    </w:p>
    <w:p>
      <w:pPr>
        <w:pStyle w:val="39"/>
        <w:numPr>
          <w:ilvl w:val="0"/>
          <w:numId w:val="3"/>
        </w:numPr>
        <w:spacing w:line="480" w:lineRule="exact"/>
        <w:ind w:firstLineChars="0"/>
        <w:rPr>
          <w:sz w:val="24"/>
        </w:rPr>
      </w:pPr>
      <w:r>
        <w:rPr>
          <w:rFonts w:hint="eastAsia"/>
          <w:sz w:val="24"/>
        </w:rPr>
        <w:t>本合同非中小企业预留合同</w:t>
      </w:r>
    </w:p>
    <w:p>
      <w:pPr>
        <w:spacing w:line="480" w:lineRule="exact"/>
        <w:ind w:firstLine="480" w:firstLineChars="200"/>
        <w:rPr>
          <w:sz w:val="24"/>
          <w:szCs w:val="24"/>
        </w:rPr>
      </w:pPr>
      <w:r>
        <w:rPr>
          <w:sz w:val="24"/>
          <w:szCs w:val="24"/>
        </w:rPr>
        <w:t>第一条委托物业的基本情况</w:t>
      </w:r>
    </w:p>
    <w:p>
      <w:pPr>
        <w:spacing w:line="360" w:lineRule="auto"/>
        <w:ind w:firstLine="484" w:firstLineChars="202"/>
        <w:rPr>
          <w:sz w:val="24"/>
          <w:szCs w:val="24"/>
        </w:rPr>
      </w:pPr>
      <w:r>
        <w:rPr>
          <w:sz w:val="24"/>
          <w:szCs w:val="24"/>
        </w:rPr>
        <w:t>物业名称：</w:t>
      </w:r>
    </w:p>
    <w:p>
      <w:pPr>
        <w:spacing w:line="360" w:lineRule="auto"/>
        <w:ind w:firstLine="484" w:firstLineChars="202"/>
        <w:rPr>
          <w:sz w:val="24"/>
          <w:szCs w:val="24"/>
        </w:rPr>
      </w:pPr>
      <w:r>
        <w:rPr>
          <w:sz w:val="24"/>
          <w:szCs w:val="24"/>
        </w:rPr>
        <w:t>物业类型：</w:t>
      </w:r>
    </w:p>
    <w:p>
      <w:pPr>
        <w:spacing w:line="360" w:lineRule="auto"/>
        <w:ind w:firstLine="484" w:firstLineChars="202"/>
        <w:rPr>
          <w:sz w:val="24"/>
          <w:szCs w:val="24"/>
        </w:rPr>
      </w:pPr>
      <w:r>
        <w:rPr>
          <w:sz w:val="24"/>
          <w:szCs w:val="24"/>
        </w:rPr>
        <w:t>座落位置：</w:t>
      </w:r>
    </w:p>
    <w:p>
      <w:pPr>
        <w:spacing w:line="360" w:lineRule="auto"/>
        <w:ind w:firstLine="484" w:firstLineChars="202"/>
        <w:rPr>
          <w:sz w:val="24"/>
          <w:szCs w:val="24"/>
        </w:rPr>
      </w:pPr>
      <w:r>
        <w:rPr>
          <w:sz w:val="24"/>
          <w:szCs w:val="24"/>
        </w:rPr>
        <w:t>物业管理区域四至：</w:t>
      </w:r>
    </w:p>
    <w:p>
      <w:pPr>
        <w:spacing w:line="360" w:lineRule="auto"/>
        <w:ind w:firstLine="484" w:firstLineChars="202"/>
        <w:rPr>
          <w:sz w:val="24"/>
          <w:szCs w:val="24"/>
        </w:rPr>
      </w:pPr>
      <w:r>
        <w:rPr>
          <w:sz w:val="24"/>
          <w:szCs w:val="24"/>
        </w:rPr>
        <w:t>东至：南至：</w:t>
      </w:r>
    </w:p>
    <w:p>
      <w:pPr>
        <w:spacing w:line="360" w:lineRule="auto"/>
        <w:ind w:firstLine="484" w:firstLineChars="202"/>
        <w:rPr>
          <w:sz w:val="24"/>
          <w:szCs w:val="24"/>
        </w:rPr>
      </w:pPr>
      <w:r>
        <w:rPr>
          <w:sz w:val="24"/>
          <w:szCs w:val="24"/>
        </w:rPr>
        <w:t>西至：北至：</w:t>
      </w:r>
    </w:p>
    <w:p>
      <w:pPr>
        <w:spacing w:line="360" w:lineRule="auto"/>
        <w:ind w:firstLine="484" w:firstLineChars="202"/>
        <w:rPr>
          <w:sz w:val="24"/>
          <w:szCs w:val="24"/>
        </w:rPr>
      </w:pPr>
      <w:r>
        <w:rPr>
          <w:sz w:val="24"/>
          <w:szCs w:val="24"/>
        </w:rPr>
        <w:t>占地面积：大楼总建筑面积：</w:t>
      </w:r>
    </w:p>
    <w:p>
      <w:pPr>
        <w:spacing w:line="360" w:lineRule="auto"/>
        <w:ind w:firstLine="484" w:firstLineChars="202"/>
        <w:rPr>
          <w:sz w:val="24"/>
          <w:szCs w:val="24"/>
        </w:rPr>
      </w:pPr>
      <w:r>
        <w:rPr>
          <w:sz w:val="24"/>
          <w:szCs w:val="24"/>
        </w:rPr>
        <w:t>其中：地上面积：平方米</w:t>
      </w:r>
    </w:p>
    <w:p>
      <w:pPr>
        <w:spacing w:line="360" w:lineRule="auto"/>
        <w:ind w:firstLine="484" w:firstLineChars="202"/>
        <w:rPr>
          <w:sz w:val="24"/>
          <w:szCs w:val="24"/>
        </w:rPr>
      </w:pPr>
      <w:r>
        <w:rPr>
          <w:sz w:val="24"/>
          <w:szCs w:val="24"/>
        </w:rPr>
        <w:t>地下面积：平方米</w:t>
      </w:r>
    </w:p>
    <w:p>
      <w:pPr>
        <w:spacing w:line="360" w:lineRule="auto"/>
        <w:ind w:firstLine="484" w:firstLineChars="202"/>
        <w:rPr>
          <w:sz w:val="24"/>
          <w:szCs w:val="24"/>
        </w:rPr>
      </w:pPr>
      <w:r>
        <w:rPr>
          <w:sz w:val="24"/>
          <w:szCs w:val="24"/>
        </w:rPr>
        <w:t>标准层面积：平方米</w:t>
      </w:r>
    </w:p>
    <w:p>
      <w:pPr>
        <w:spacing w:line="360" w:lineRule="auto"/>
        <w:ind w:firstLine="484" w:firstLineChars="202"/>
        <w:rPr>
          <w:sz w:val="24"/>
          <w:szCs w:val="24"/>
        </w:rPr>
      </w:pPr>
      <w:r>
        <w:rPr>
          <w:sz w:val="24"/>
          <w:szCs w:val="24"/>
        </w:rPr>
        <w:t>人防建筑面积：平方米</w:t>
      </w:r>
    </w:p>
    <w:p>
      <w:pPr>
        <w:spacing w:line="360" w:lineRule="auto"/>
        <w:ind w:firstLine="484" w:firstLineChars="202"/>
        <w:rPr>
          <w:sz w:val="24"/>
          <w:szCs w:val="24"/>
        </w:rPr>
      </w:pPr>
      <w:r>
        <w:rPr>
          <w:sz w:val="24"/>
          <w:szCs w:val="24"/>
        </w:rPr>
        <w:t>建筑层数：地上层，地下层</w:t>
      </w:r>
    </w:p>
    <w:p>
      <w:pPr>
        <w:spacing w:line="360" w:lineRule="auto"/>
        <w:ind w:firstLine="484" w:firstLineChars="202"/>
        <w:rPr>
          <w:sz w:val="24"/>
          <w:szCs w:val="24"/>
        </w:rPr>
      </w:pPr>
      <w:r>
        <w:rPr>
          <w:sz w:val="24"/>
          <w:szCs w:val="24"/>
        </w:rPr>
        <w:t>建筑尺寸：长：米，宽：米，高：米</w:t>
      </w:r>
    </w:p>
    <w:p>
      <w:pPr>
        <w:spacing w:line="360" w:lineRule="auto"/>
        <w:ind w:firstLine="484" w:firstLineChars="202"/>
        <w:rPr>
          <w:sz w:val="24"/>
          <w:szCs w:val="24"/>
        </w:rPr>
      </w:pPr>
      <w:r>
        <w:rPr>
          <w:sz w:val="24"/>
          <w:szCs w:val="24"/>
        </w:rPr>
        <w:t>建筑层高：</w:t>
      </w:r>
    </w:p>
    <w:p>
      <w:pPr>
        <w:spacing w:line="360" w:lineRule="auto"/>
        <w:ind w:firstLine="484" w:firstLineChars="202"/>
        <w:rPr>
          <w:sz w:val="24"/>
          <w:szCs w:val="24"/>
        </w:rPr>
      </w:pPr>
      <w:r>
        <w:rPr>
          <w:sz w:val="24"/>
          <w:szCs w:val="24"/>
        </w:rPr>
        <w:t>建筑结构：</w:t>
      </w:r>
    </w:p>
    <w:p>
      <w:pPr>
        <w:spacing w:line="480" w:lineRule="exact"/>
        <w:ind w:firstLine="480" w:firstLineChars="200"/>
        <w:rPr>
          <w:sz w:val="24"/>
          <w:szCs w:val="24"/>
        </w:rPr>
      </w:pPr>
      <w:r>
        <w:rPr>
          <w:sz w:val="24"/>
          <w:szCs w:val="24"/>
        </w:rPr>
        <w:t>第二条物业服务内容及标准</w:t>
      </w:r>
    </w:p>
    <w:p>
      <w:pPr>
        <w:spacing w:line="480" w:lineRule="exact"/>
        <w:ind w:firstLine="480" w:firstLineChars="200"/>
        <w:rPr>
          <w:spacing w:val="-20"/>
          <w:sz w:val="24"/>
          <w:szCs w:val="24"/>
          <w:bdr w:val="single" w:color="auto" w:sz="4" w:space="0"/>
        </w:rPr>
      </w:pPr>
      <w:r>
        <w:rPr>
          <w:sz w:val="24"/>
          <w:szCs w:val="24"/>
        </w:rPr>
        <w:t>（一）房屋本体和共用部位的维修、养护和管理：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（二）共用设施设备运行、维修、养护：</w:t>
      </w:r>
    </w:p>
    <w:p>
      <w:pPr>
        <w:spacing w:line="480" w:lineRule="exact"/>
        <w:ind w:firstLine="480" w:firstLineChars="200"/>
        <w:rPr>
          <w:sz w:val="24"/>
          <w:szCs w:val="24"/>
        </w:rPr>
      </w:pPr>
      <w:r>
        <w:rPr>
          <w:sz w:val="24"/>
          <w:szCs w:val="24"/>
        </w:rPr>
        <w:t>1.供、配电设施设备: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2.给、排水设施设备: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3.升降系统: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4.消防系统: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5.空气调节系统: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6.智能化系统: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7.楼宇自动化系统（通讯系统等）:</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8.停车场管理系统: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9.其他: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（三）共用部位和共用场地的环境保洁和绿化养护：</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（四）物业装饰装修的管理：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（五）车辆行驶和停放秩序的服务、管理：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（六）物业管理区域内公共秩序的维护和消防管理：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（七）物业档案的建立、保管和使用：</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（八）其他委托事项：</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rPr>
      </w:pPr>
      <w:r>
        <w:rPr>
          <w:sz w:val="24"/>
          <w:szCs w:val="24"/>
        </w:rPr>
        <w:t>2、</w:t>
      </w:r>
    </w:p>
    <w:p>
      <w:pPr>
        <w:spacing w:line="480" w:lineRule="exact"/>
        <w:ind w:firstLine="480" w:firstLineChars="200"/>
        <w:rPr>
          <w:sz w:val="24"/>
          <w:szCs w:val="24"/>
          <w:u w:val="single"/>
        </w:rPr>
      </w:pPr>
      <w:r>
        <w:rPr>
          <w:sz w:val="24"/>
          <w:szCs w:val="24"/>
        </w:rPr>
        <w:t>3、</w:t>
      </w:r>
    </w:p>
    <w:p>
      <w:pPr>
        <w:spacing w:line="480" w:lineRule="exact"/>
        <w:ind w:firstLine="480" w:firstLineChars="200"/>
        <w:rPr>
          <w:sz w:val="24"/>
          <w:szCs w:val="24"/>
        </w:rPr>
      </w:pPr>
      <w:r>
        <w:rPr>
          <w:sz w:val="24"/>
          <w:szCs w:val="24"/>
        </w:rPr>
        <w:t>第三条物业服务合同期限</w:t>
      </w:r>
    </w:p>
    <w:p>
      <w:pPr>
        <w:spacing w:line="480" w:lineRule="exact"/>
        <w:ind w:firstLine="480" w:firstLineChars="200"/>
        <w:rPr>
          <w:color w:val="FF0000"/>
          <w:sz w:val="24"/>
          <w:szCs w:val="24"/>
        </w:rPr>
      </w:pPr>
      <w:r>
        <w:rPr>
          <w:sz w:val="24"/>
          <w:szCs w:val="24"/>
        </w:rPr>
        <w:t>物业服务合同期限为年。</w:t>
      </w:r>
    </w:p>
    <w:p>
      <w:pPr>
        <w:spacing w:line="480" w:lineRule="exact"/>
        <w:ind w:firstLine="480" w:firstLineChars="200"/>
        <w:rPr>
          <w:sz w:val="24"/>
          <w:szCs w:val="24"/>
        </w:rPr>
      </w:pPr>
      <w:r>
        <w:rPr>
          <w:sz w:val="24"/>
          <w:szCs w:val="24"/>
        </w:rPr>
        <w:t>自    年   月    日起至     年   月     日终止。</w:t>
      </w:r>
    </w:p>
    <w:p>
      <w:pPr>
        <w:spacing w:line="480" w:lineRule="exact"/>
        <w:ind w:firstLine="480" w:firstLineChars="200"/>
        <w:rPr>
          <w:sz w:val="24"/>
          <w:szCs w:val="24"/>
        </w:rPr>
      </w:pPr>
      <w:r>
        <w:rPr>
          <w:sz w:val="24"/>
          <w:szCs w:val="24"/>
        </w:rPr>
        <w:t>第四条甲方权利义务</w:t>
      </w:r>
    </w:p>
    <w:p>
      <w:pPr>
        <w:spacing w:line="480" w:lineRule="exact"/>
        <w:ind w:firstLine="480" w:firstLineChars="200"/>
        <w:rPr>
          <w:sz w:val="24"/>
          <w:szCs w:val="24"/>
        </w:rPr>
      </w:pPr>
      <w:r>
        <w:rPr>
          <w:sz w:val="24"/>
          <w:szCs w:val="24"/>
        </w:rPr>
        <w:t>（一）代表和维护采购人所有人员在物业管理服务活动中的合法权益；</w:t>
      </w:r>
    </w:p>
    <w:p>
      <w:pPr>
        <w:spacing w:line="480" w:lineRule="exact"/>
        <w:ind w:firstLine="480" w:firstLineChars="200"/>
        <w:rPr>
          <w:sz w:val="24"/>
          <w:szCs w:val="24"/>
        </w:rPr>
      </w:pPr>
      <w:r>
        <w:rPr>
          <w:sz w:val="24"/>
          <w:szCs w:val="24"/>
        </w:rPr>
        <w:t>（二）制定、修改管理规约，监督采购人所有人员遵守管理规约；</w:t>
      </w:r>
    </w:p>
    <w:p>
      <w:pPr>
        <w:spacing w:line="480" w:lineRule="exact"/>
        <w:ind w:firstLine="480" w:firstLineChars="200"/>
        <w:rPr>
          <w:sz w:val="24"/>
          <w:szCs w:val="24"/>
        </w:rPr>
      </w:pPr>
      <w:r>
        <w:rPr>
          <w:sz w:val="24"/>
          <w:szCs w:val="24"/>
        </w:rPr>
        <w:t>（三）审定物业服务合同内容，选聘、解聘物业服务企业；</w:t>
      </w:r>
    </w:p>
    <w:p>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80" w:firstLineChars="200"/>
        <w:rPr>
          <w:sz w:val="24"/>
          <w:szCs w:val="24"/>
        </w:rPr>
      </w:pPr>
      <w:r>
        <w:rPr>
          <w:sz w:val="24"/>
          <w:szCs w:val="24"/>
        </w:rPr>
        <w:t>（六）负责提供物业管理服务所需相关文件和资料；</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u w:val="single"/>
        </w:rPr>
      </w:pPr>
      <w:r>
        <w:rPr>
          <w:sz w:val="24"/>
          <w:szCs w:val="24"/>
        </w:rPr>
        <w:t>2、</w:t>
      </w:r>
    </w:p>
    <w:p>
      <w:pPr>
        <w:spacing w:line="480" w:lineRule="exact"/>
        <w:ind w:firstLine="480" w:firstLineChars="200"/>
        <w:rPr>
          <w:sz w:val="24"/>
          <w:szCs w:val="24"/>
          <w:bdr w:val="single" w:color="auto" w:sz="4" w:space="0"/>
        </w:rPr>
      </w:pPr>
      <w:r>
        <w:rPr>
          <w:sz w:val="24"/>
          <w:szCs w:val="24"/>
        </w:rPr>
        <w:t>3、</w:t>
      </w:r>
    </w:p>
    <w:p>
      <w:pPr>
        <w:spacing w:line="480" w:lineRule="exact"/>
        <w:ind w:firstLine="480" w:firstLineChars="200"/>
        <w:rPr>
          <w:sz w:val="24"/>
          <w:szCs w:val="24"/>
        </w:rPr>
      </w:pPr>
      <w:r>
        <w:rPr>
          <w:sz w:val="24"/>
          <w:szCs w:val="24"/>
        </w:rPr>
        <w:t>第五条乙方权利义务</w:t>
      </w:r>
    </w:p>
    <w:p>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pPr>
        <w:spacing w:line="480" w:lineRule="exact"/>
        <w:ind w:firstLine="480" w:firstLineChars="200"/>
        <w:rPr>
          <w:sz w:val="24"/>
          <w:szCs w:val="24"/>
        </w:rPr>
      </w:pPr>
      <w:r>
        <w:rPr>
          <w:sz w:val="24"/>
          <w:szCs w:val="24"/>
        </w:rPr>
        <w:t>（三）依照本合同约定向采购人收取物业管理服务费；</w:t>
      </w:r>
    </w:p>
    <w:p>
      <w:pPr>
        <w:spacing w:line="480" w:lineRule="exact"/>
        <w:ind w:firstLine="480" w:firstLineChars="200"/>
        <w:rPr>
          <w:sz w:val="24"/>
          <w:szCs w:val="24"/>
        </w:rPr>
      </w:pPr>
      <w:r>
        <w:rPr>
          <w:sz w:val="24"/>
          <w:szCs w:val="24"/>
        </w:rPr>
        <w:t>（四）建立物业项目的管理档案；</w:t>
      </w:r>
    </w:p>
    <w:p>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pPr>
        <w:spacing w:line="480" w:lineRule="exact"/>
        <w:ind w:firstLine="480" w:firstLineChars="200"/>
        <w:rPr>
          <w:sz w:val="24"/>
          <w:szCs w:val="24"/>
        </w:rPr>
      </w:pPr>
      <w:r>
        <w:rPr>
          <w:sz w:val="24"/>
          <w:szCs w:val="24"/>
        </w:rPr>
        <w:t>（六）对侵害物业共用部位、共用设施设备的行为要求责任人停止侵害、排除妨害、恢复原状；</w:t>
      </w:r>
    </w:p>
    <w:p>
      <w:pPr>
        <w:spacing w:line="480" w:lineRule="exact"/>
        <w:ind w:firstLine="480" w:firstLineChars="200"/>
        <w:rPr>
          <w:sz w:val="24"/>
          <w:szCs w:val="24"/>
        </w:rPr>
      </w:pPr>
      <w:r>
        <w:rPr>
          <w:sz w:val="24"/>
          <w:szCs w:val="24"/>
        </w:rPr>
        <w:t>（七）不得将物业项目全部委托给他人管理，但可以将专项服务委托专业公司承担；</w:t>
      </w:r>
    </w:p>
    <w:p>
      <w:pPr>
        <w:spacing w:line="480" w:lineRule="exact"/>
        <w:ind w:firstLine="480" w:firstLineChars="200"/>
        <w:rPr>
          <w:sz w:val="24"/>
          <w:szCs w:val="24"/>
        </w:rPr>
      </w:pPr>
      <w:r>
        <w:rPr>
          <w:sz w:val="24"/>
          <w:szCs w:val="24"/>
        </w:rPr>
        <w:t>（八）负责编制物业的年度维修养护计划，并组织实施；</w:t>
      </w:r>
    </w:p>
    <w:p>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80" w:firstLineChars="200"/>
        <w:rPr>
          <w:sz w:val="24"/>
          <w:szCs w:val="24"/>
        </w:rPr>
      </w:pPr>
      <w:r>
        <w:rPr>
          <w:sz w:val="24"/>
          <w:szCs w:val="24"/>
        </w:rPr>
        <w:t>（十）负责编制物业服务年度计划；</w:t>
      </w:r>
    </w:p>
    <w:p>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pPr>
        <w:spacing w:line="480" w:lineRule="exact"/>
        <w:ind w:firstLine="480" w:firstLineChars="200"/>
        <w:rPr>
          <w:sz w:val="24"/>
          <w:szCs w:val="24"/>
        </w:rPr>
      </w:pPr>
      <w:r>
        <w:rPr>
          <w:sz w:val="24"/>
          <w:szCs w:val="24"/>
        </w:rPr>
        <w:t>1、预收的物业管理服务费等收益余额；</w:t>
      </w:r>
    </w:p>
    <w:p>
      <w:pPr>
        <w:spacing w:line="480" w:lineRule="exact"/>
        <w:ind w:firstLine="480" w:firstLineChars="200"/>
        <w:rPr>
          <w:sz w:val="24"/>
          <w:szCs w:val="24"/>
        </w:rPr>
      </w:pPr>
      <w:r>
        <w:rPr>
          <w:sz w:val="24"/>
          <w:szCs w:val="24"/>
        </w:rPr>
        <w:t>2、物业管理项目的档案资料；</w:t>
      </w:r>
    </w:p>
    <w:p>
      <w:pPr>
        <w:spacing w:line="480" w:lineRule="exact"/>
        <w:ind w:firstLine="480" w:firstLineChars="200"/>
        <w:rPr>
          <w:sz w:val="24"/>
          <w:szCs w:val="24"/>
        </w:rPr>
      </w:pPr>
      <w:r>
        <w:rPr>
          <w:sz w:val="24"/>
          <w:szCs w:val="24"/>
        </w:rPr>
        <w:t>3、物业管理用房和属于采购人的场地、设施设备。</w:t>
      </w:r>
    </w:p>
    <w:p>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80" w:firstLineChars="200"/>
        <w:rPr>
          <w:sz w:val="24"/>
          <w:szCs w:val="24"/>
        </w:rPr>
      </w:pPr>
      <w:r>
        <w:rPr>
          <w:sz w:val="24"/>
          <w:szCs w:val="24"/>
        </w:rPr>
        <w:t>（十四）接受采购人的监督；</w:t>
      </w:r>
    </w:p>
    <w:p>
      <w:pPr>
        <w:spacing w:line="480" w:lineRule="exact"/>
        <w:ind w:firstLine="480" w:firstLineChars="200"/>
        <w:rPr>
          <w:sz w:val="24"/>
          <w:szCs w:val="24"/>
        </w:rPr>
      </w:pPr>
      <w:r>
        <w:rPr>
          <w:sz w:val="24"/>
          <w:szCs w:val="24"/>
        </w:rPr>
        <w:t>（十五）接受物业管理行政主管部门的监督指导；</w:t>
      </w:r>
    </w:p>
    <w:p>
      <w:pPr>
        <w:spacing w:line="480" w:lineRule="exact"/>
        <w:ind w:firstLine="480" w:firstLineChars="200"/>
        <w:rPr>
          <w:sz w:val="24"/>
          <w:szCs w:val="24"/>
        </w:rPr>
      </w:pPr>
      <w:r>
        <w:rPr>
          <w:sz w:val="24"/>
          <w:szCs w:val="24"/>
        </w:rPr>
        <w:t>（十六）其他：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第六条物业管理服务费用</w:t>
      </w:r>
    </w:p>
    <w:p>
      <w:pPr>
        <w:spacing w:line="480" w:lineRule="exact"/>
        <w:ind w:firstLine="480" w:firstLineChars="200"/>
        <w:rPr>
          <w:sz w:val="24"/>
          <w:szCs w:val="24"/>
        </w:rPr>
      </w:pPr>
      <w:r>
        <w:rPr>
          <w:sz w:val="24"/>
          <w:szCs w:val="24"/>
        </w:rPr>
        <w:t>本物业管理区域内的物业管理服务费采取包干制的形式，年服务费用为大写：（小写：）。</w:t>
      </w:r>
    </w:p>
    <w:p>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pPr>
        <w:spacing w:line="480" w:lineRule="exact"/>
        <w:ind w:firstLine="480" w:firstLineChars="200"/>
        <w:rPr>
          <w:spacing w:val="-20"/>
          <w:sz w:val="24"/>
          <w:szCs w:val="24"/>
          <w:u w:val="single"/>
        </w:rPr>
      </w:pPr>
      <w:r>
        <w:rPr>
          <w:sz w:val="24"/>
          <w:szCs w:val="24"/>
        </w:rPr>
        <w:t>付款方式如下：</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第七条物业管理用房</w:t>
      </w:r>
    </w:p>
    <w:p>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80" w:firstLineChars="200"/>
        <w:rPr>
          <w:sz w:val="24"/>
          <w:szCs w:val="24"/>
        </w:rPr>
      </w:pPr>
      <w:r>
        <w:rPr>
          <w:sz w:val="24"/>
          <w:szCs w:val="24"/>
        </w:rPr>
        <w:t>第八条物业及物业管理交接</w:t>
      </w:r>
    </w:p>
    <w:p>
      <w:pPr>
        <w:spacing w:line="480" w:lineRule="exact"/>
        <w:ind w:firstLine="480" w:firstLineChars="200"/>
        <w:rPr>
          <w:sz w:val="24"/>
          <w:szCs w:val="24"/>
        </w:rPr>
      </w:pPr>
      <w:r>
        <w:rPr>
          <w:sz w:val="24"/>
          <w:szCs w:val="24"/>
        </w:rPr>
        <w:t>自本合同生效之日起，由甲方向乙方移交下列资金、物品和资料：</w:t>
      </w:r>
    </w:p>
    <w:p>
      <w:pPr>
        <w:spacing w:line="480" w:lineRule="exact"/>
        <w:ind w:firstLine="480" w:firstLineChars="200"/>
        <w:rPr>
          <w:sz w:val="24"/>
          <w:szCs w:val="24"/>
        </w:rPr>
      </w:pPr>
      <w:r>
        <w:rPr>
          <w:sz w:val="24"/>
          <w:szCs w:val="24"/>
        </w:rPr>
        <w:t>（一）竣工总平面图，单体建筑、结构、设备的竣工图，附属配套设施、地下管网工程竣工图等资料；</w:t>
      </w:r>
    </w:p>
    <w:p>
      <w:pPr>
        <w:spacing w:line="480" w:lineRule="exact"/>
        <w:ind w:firstLine="480" w:firstLineChars="200"/>
        <w:rPr>
          <w:sz w:val="24"/>
          <w:szCs w:val="24"/>
        </w:rPr>
      </w:pPr>
      <w:r>
        <w:rPr>
          <w:sz w:val="24"/>
          <w:szCs w:val="24"/>
        </w:rPr>
        <w:t>（二）物业竣工验收资料；</w:t>
      </w:r>
    </w:p>
    <w:p>
      <w:pPr>
        <w:spacing w:line="480" w:lineRule="exact"/>
        <w:ind w:firstLine="480" w:firstLineChars="200"/>
        <w:rPr>
          <w:sz w:val="24"/>
          <w:szCs w:val="24"/>
        </w:rPr>
      </w:pPr>
      <w:r>
        <w:rPr>
          <w:sz w:val="24"/>
          <w:szCs w:val="24"/>
        </w:rPr>
        <w:t>（三）共用设施设备安装、使用、维护和保养技术资料；</w:t>
      </w:r>
    </w:p>
    <w:p>
      <w:pPr>
        <w:spacing w:line="480" w:lineRule="exact"/>
        <w:ind w:firstLine="480" w:firstLineChars="200"/>
        <w:rPr>
          <w:sz w:val="24"/>
          <w:szCs w:val="24"/>
        </w:rPr>
      </w:pPr>
      <w:r>
        <w:rPr>
          <w:sz w:val="24"/>
          <w:szCs w:val="24"/>
        </w:rPr>
        <w:t>（四）物业质量保证书和使用说明书；</w:t>
      </w:r>
    </w:p>
    <w:p>
      <w:pPr>
        <w:spacing w:line="480" w:lineRule="exact"/>
        <w:ind w:firstLine="480" w:firstLineChars="200"/>
        <w:rPr>
          <w:sz w:val="24"/>
          <w:szCs w:val="24"/>
        </w:rPr>
      </w:pPr>
      <w:r>
        <w:rPr>
          <w:sz w:val="24"/>
          <w:szCs w:val="24"/>
        </w:rPr>
        <w:t>（五）物业管理服务费等余额；</w:t>
      </w:r>
    </w:p>
    <w:p>
      <w:pPr>
        <w:spacing w:line="480" w:lineRule="exact"/>
        <w:ind w:firstLine="480" w:firstLineChars="200"/>
        <w:rPr>
          <w:sz w:val="24"/>
          <w:szCs w:val="24"/>
        </w:rPr>
      </w:pPr>
      <w:r>
        <w:rPr>
          <w:sz w:val="24"/>
          <w:szCs w:val="24"/>
        </w:rPr>
        <w:t>（六）物业管理需要的其他资料；</w:t>
      </w:r>
    </w:p>
    <w:p>
      <w:pPr>
        <w:spacing w:line="480" w:lineRule="exact"/>
        <w:ind w:firstLine="480" w:firstLineChars="200"/>
        <w:rPr>
          <w:sz w:val="24"/>
          <w:szCs w:val="24"/>
        </w:rPr>
      </w:pPr>
      <w:r>
        <w:rPr>
          <w:sz w:val="24"/>
          <w:szCs w:val="24"/>
        </w:rPr>
        <w:t>（七）物业管理用房和属于采购人的场地、设施设备。</w:t>
      </w:r>
    </w:p>
    <w:p>
      <w:pPr>
        <w:spacing w:line="480" w:lineRule="exact"/>
        <w:ind w:firstLine="480" w:firstLineChars="200"/>
        <w:rPr>
          <w:sz w:val="24"/>
          <w:szCs w:val="24"/>
        </w:rPr>
      </w:pPr>
      <w:r>
        <w:rPr>
          <w:sz w:val="24"/>
          <w:szCs w:val="24"/>
        </w:rPr>
        <w:t>第九条采购人装饰装修房屋，应当遵守国家和本市有关规定。</w:t>
      </w:r>
    </w:p>
    <w:p>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80" w:firstLineChars="200"/>
        <w:rPr>
          <w:sz w:val="24"/>
          <w:szCs w:val="24"/>
        </w:rPr>
      </w:pPr>
      <w:r>
        <w:rPr>
          <w:sz w:val="24"/>
          <w:szCs w:val="24"/>
        </w:rPr>
        <w:t>第十条违约责任</w:t>
      </w:r>
    </w:p>
    <w:p>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pPr>
        <w:spacing w:line="480" w:lineRule="exact"/>
        <w:ind w:firstLine="480" w:firstLineChars="200"/>
        <w:rPr>
          <w:sz w:val="24"/>
          <w:szCs w:val="24"/>
        </w:rPr>
      </w:pPr>
      <w:r>
        <w:rPr>
          <w:sz w:val="24"/>
          <w:szCs w:val="24"/>
        </w:rPr>
        <w:t>（四）合同期满，乙方未按规定时间向甲方办理移交事项，乙方向甲方支付违约金元。</w:t>
      </w:r>
    </w:p>
    <w:p>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p>
    <w:p>
      <w:pPr>
        <w:spacing w:line="480" w:lineRule="exact"/>
        <w:ind w:firstLine="480" w:firstLineChars="200"/>
        <w:rPr>
          <w:sz w:val="24"/>
          <w:szCs w:val="24"/>
        </w:rPr>
      </w:pPr>
      <w:r>
        <w:rPr>
          <w:sz w:val="24"/>
          <w:szCs w:val="24"/>
        </w:rPr>
        <w:t>第十一条质量纠纷的约定</w:t>
      </w:r>
    </w:p>
    <w:p>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80" w:firstLineChars="200"/>
        <w:rPr>
          <w:sz w:val="24"/>
          <w:szCs w:val="24"/>
        </w:rPr>
      </w:pPr>
      <w:r>
        <w:rPr>
          <w:sz w:val="24"/>
          <w:szCs w:val="24"/>
        </w:rPr>
        <w:t>第十二条不可抗力的约定</w:t>
      </w:r>
    </w:p>
    <w:p>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pPr>
        <w:spacing w:line="480" w:lineRule="exact"/>
        <w:ind w:firstLine="480" w:firstLineChars="200"/>
        <w:rPr>
          <w:sz w:val="24"/>
          <w:szCs w:val="24"/>
        </w:rPr>
      </w:pPr>
      <w:r>
        <w:rPr>
          <w:sz w:val="24"/>
          <w:szCs w:val="24"/>
        </w:rPr>
        <w:t>第十三条免责条款</w:t>
      </w:r>
    </w:p>
    <w:p>
      <w:pPr>
        <w:spacing w:line="480" w:lineRule="exact"/>
        <w:ind w:firstLine="480" w:firstLineChars="200"/>
        <w:rPr>
          <w:sz w:val="24"/>
          <w:szCs w:val="24"/>
        </w:rPr>
      </w:pPr>
      <w:r>
        <w:rPr>
          <w:sz w:val="24"/>
          <w:szCs w:val="24"/>
        </w:rPr>
        <w:t>以下情况乙方不承担责任：</w:t>
      </w:r>
    </w:p>
    <w:p>
      <w:pPr>
        <w:spacing w:line="480" w:lineRule="exact"/>
        <w:ind w:firstLine="480" w:firstLineChars="200"/>
        <w:rPr>
          <w:sz w:val="24"/>
          <w:szCs w:val="24"/>
        </w:rPr>
      </w:pPr>
      <w:r>
        <w:rPr>
          <w:sz w:val="24"/>
          <w:szCs w:val="24"/>
        </w:rPr>
        <w:t>1、乙方已履行本合同约定义务，但因物业本身固有瑕疵造成损失的；</w:t>
      </w:r>
    </w:p>
    <w:p>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pPr>
        <w:spacing w:line="480" w:lineRule="exact"/>
        <w:ind w:firstLine="480" w:firstLineChars="200"/>
        <w:rPr>
          <w:sz w:val="24"/>
          <w:szCs w:val="24"/>
        </w:rPr>
      </w:pPr>
      <w:r>
        <w:rPr>
          <w:sz w:val="24"/>
          <w:szCs w:val="24"/>
        </w:rPr>
        <w:t>第十四条合同的解除</w:t>
      </w:r>
    </w:p>
    <w:p>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80" w:firstLineChars="200"/>
        <w:rPr>
          <w:sz w:val="24"/>
          <w:szCs w:val="24"/>
        </w:rPr>
      </w:pPr>
      <w:r>
        <w:rPr>
          <w:sz w:val="24"/>
          <w:szCs w:val="24"/>
        </w:rPr>
        <w:t>合同解除后，按照有关规定办理相关交接手续。</w:t>
      </w:r>
    </w:p>
    <w:p>
      <w:pPr>
        <w:spacing w:line="480" w:lineRule="exact"/>
        <w:ind w:firstLine="480" w:firstLineChars="200"/>
        <w:rPr>
          <w:sz w:val="24"/>
          <w:szCs w:val="24"/>
        </w:rPr>
      </w:pPr>
      <w:r>
        <w:rPr>
          <w:sz w:val="24"/>
          <w:szCs w:val="24"/>
        </w:rPr>
        <w:t>第十五条争议处理</w:t>
      </w:r>
    </w:p>
    <w:p>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pPr>
        <w:spacing w:line="480" w:lineRule="exact"/>
        <w:ind w:firstLine="480" w:firstLineChars="200"/>
        <w:rPr>
          <w:sz w:val="24"/>
          <w:szCs w:val="24"/>
        </w:rPr>
      </w:pPr>
      <w:r>
        <w:rPr>
          <w:sz w:val="24"/>
          <w:szCs w:val="24"/>
        </w:rPr>
        <w:t>第十六条合同附件</w:t>
      </w:r>
    </w:p>
    <w:p>
      <w:pPr>
        <w:spacing w:line="480" w:lineRule="exact"/>
        <w:ind w:firstLine="480" w:firstLineChars="200"/>
        <w:rPr>
          <w:sz w:val="24"/>
          <w:szCs w:val="24"/>
        </w:rPr>
      </w:pPr>
      <w:r>
        <w:rPr>
          <w:sz w:val="24"/>
          <w:szCs w:val="24"/>
        </w:rPr>
        <w:t>有关涉及本合同乙方向天津市</w:t>
      </w:r>
      <w:r>
        <w:rPr>
          <w:rFonts w:hint="eastAsia"/>
          <w:sz w:val="24"/>
          <w:szCs w:val="24"/>
        </w:rPr>
        <w:t>东丽区</w:t>
      </w:r>
      <w:r>
        <w:rPr>
          <w:sz w:val="24"/>
          <w:szCs w:val="24"/>
        </w:rPr>
        <w:t>政府采购中心所提交的响应文件及有关澄清资料和服务承诺均视为本合同不可分割的部分，对乙方具有约束力。</w:t>
      </w:r>
    </w:p>
    <w:p>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pPr>
        <w:spacing w:line="480" w:lineRule="exact"/>
        <w:ind w:firstLine="480" w:firstLineChars="200"/>
        <w:rPr>
          <w:sz w:val="24"/>
          <w:szCs w:val="24"/>
        </w:rPr>
      </w:pPr>
      <w:r>
        <w:rPr>
          <w:sz w:val="24"/>
          <w:szCs w:val="24"/>
        </w:rPr>
        <w:t>第十七条合同生效</w:t>
      </w:r>
    </w:p>
    <w:p>
      <w:pPr>
        <w:spacing w:line="480" w:lineRule="exact"/>
        <w:ind w:firstLine="480" w:firstLineChars="200"/>
        <w:rPr>
          <w:sz w:val="24"/>
          <w:szCs w:val="24"/>
        </w:rPr>
      </w:pPr>
      <w:r>
        <w:rPr>
          <w:sz w:val="24"/>
          <w:szCs w:val="24"/>
        </w:rPr>
        <w:t>本合同一式  份，甲方持  份，乙方持  份，均具同等效力，签字盖章后生效。</w:t>
      </w:r>
    </w:p>
    <w:p>
      <w:pPr>
        <w:spacing w:line="480" w:lineRule="exact"/>
        <w:ind w:firstLine="480" w:firstLineChars="200"/>
        <w:rPr>
          <w:sz w:val="24"/>
          <w:szCs w:val="24"/>
        </w:rPr>
      </w:pPr>
    </w:p>
    <w:p>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pPr>
        <w:tabs>
          <w:tab w:val="left" w:pos="0"/>
          <w:tab w:val="left" w:pos="315"/>
        </w:tabs>
        <w:spacing w:line="516" w:lineRule="exact"/>
        <w:ind w:firstLine="480" w:firstLineChars="200"/>
        <w:rPr>
          <w:color w:val="000000"/>
          <w:sz w:val="24"/>
          <w:szCs w:val="24"/>
        </w:rPr>
      </w:pPr>
      <w:r>
        <w:rPr>
          <w:color w:val="000000"/>
          <w:sz w:val="24"/>
          <w:szCs w:val="24"/>
        </w:rPr>
        <w:t>地址：                       地址：</w:t>
      </w:r>
    </w:p>
    <w:p>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pPr>
        <w:tabs>
          <w:tab w:val="left" w:pos="360"/>
        </w:tabs>
        <w:spacing w:line="516" w:lineRule="exact"/>
        <w:ind w:firstLine="480" w:firstLineChars="200"/>
        <w:rPr>
          <w:color w:val="000000"/>
          <w:sz w:val="24"/>
          <w:szCs w:val="24"/>
        </w:rPr>
      </w:pPr>
      <w:r>
        <w:rPr>
          <w:color w:val="000000"/>
          <w:sz w:val="24"/>
          <w:szCs w:val="24"/>
        </w:rPr>
        <w:t>委托代理人：                 委托代理人：</w:t>
      </w:r>
    </w:p>
    <w:p>
      <w:pPr>
        <w:tabs>
          <w:tab w:val="left" w:pos="360"/>
        </w:tabs>
        <w:spacing w:line="516" w:lineRule="exact"/>
        <w:ind w:firstLine="480" w:firstLineChars="200"/>
        <w:rPr>
          <w:color w:val="000000"/>
          <w:sz w:val="24"/>
          <w:szCs w:val="24"/>
        </w:rPr>
      </w:pPr>
      <w:r>
        <w:rPr>
          <w:color w:val="000000"/>
          <w:sz w:val="24"/>
          <w:szCs w:val="24"/>
        </w:rPr>
        <w:t>电话：                       电话：</w:t>
      </w:r>
    </w:p>
    <w:p>
      <w:pPr>
        <w:tabs>
          <w:tab w:val="left" w:pos="360"/>
        </w:tabs>
        <w:spacing w:line="516" w:lineRule="exact"/>
        <w:ind w:firstLine="480" w:firstLineChars="200"/>
        <w:rPr>
          <w:color w:val="000000"/>
          <w:sz w:val="24"/>
          <w:szCs w:val="24"/>
        </w:rPr>
      </w:pPr>
      <w:r>
        <w:rPr>
          <w:color w:val="000000"/>
          <w:sz w:val="24"/>
          <w:szCs w:val="24"/>
        </w:rPr>
        <w:t>时间：年月日</w:t>
      </w:r>
    </w:p>
    <w:p>
      <w:pPr>
        <w:spacing w:line="480" w:lineRule="exact"/>
        <w:ind w:firstLine="480" w:firstLineChars="200"/>
        <w:rPr>
          <w:sz w:val="24"/>
          <w:szCs w:val="24"/>
        </w:rPr>
      </w:pPr>
    </w:p>
    <w:p>
      <w:pPr>
        <w:spacing w:line="480" w:lineRule="exact"/>
        <w:ind w:firstLine="480" w:firstLineChars="200"/>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jc w:val="center"/>
        <w:rPr>
          <w:sz w:val="24"/>
          <w:szCs w:val="24"/>
        </w:rPr>
      </w:pP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410" w:firstLineChars="171"/>
        <w:rPr>
          <w:color w:val="000000"/>
          <w:sz w:val="24"/>
          <w:szCs w:val="24"/>
        </w:rPr>
      </w:pPr>
    </w:p>
    <w:p>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pPr>
        <w:tabs>
          <w:tab w:val="left" w:pos="360"/>
        </w:tabs>
        <w:spacing w:line="520" w:lineRule="exact"/>
        <w:ind w:firstLine="410" w:firstLineChars="171"/>
        <w:rPr>
          <w:sz w:val="24"/>
          <w:szCs w:val="24"/>
        </w:rPr>
      </w:pPr>
    </w:p>
    <w:p>
      <w:pPr>
        <w:tabs>
          <w:tab w:val="left" w:pos="360"/>
        </w:tabs>
        <w:spacing w:line="520" w:lineRule="exact"/>
        <w:ind w:firstLine="410" w:firstLineChars="171"/>
        <w:rPr>
          <w:sz w:val="24"/>
          <w:szCs w:val="24"/>
        </w:rPr>
        <w:sectPr>
          <w:headerReference r:id="rId7" w:type="default"/>
          <w:pgSz w:w="11906" w:h="16838"/>
          <w:pgMar w:top="1440" w:right="1800" w:bottom="1440" w:left="1800" w:header="851" w:footer="992" w:gutter="0"/>
          <w:cols w:space="720" w:num="1"/>
          <w:docGrid w:type="lines" w:linePitch="312" w:charSpace="0"/>
        </w:sectPr>
      </w:pPr>
    </w:p>
    <w:p>
      <w:pPr>
        <w:pStyle w:val="5"/>
        <w:jc w:val="center"/>
      </w:pPr>
      <w:bookmarkStart w:id="12" w:name="_Toc411426753"/>
      <w:r>
        <w:t>第五部分  响应文件格式</w:t>
      </w:r>
      <w:bookmarkEnd w:id="12"/>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pPr>
        <w:autoSpaceDN w:val="0"/>
        <w:spacing w:line="360" w:lineRule="auto"/>
        <w:jc w:val="center"/>
        <w:rPr>
          <w:b/>
          <w:bCs/>
          <w:sz w:val="24"/>
        </w:rPr>
      </w:pPr>
    </w:p>
    <w:p>
      <w:pPr>
        <w:autoSpaceDN w:val="0"/>
        <w:spacing w:line="360" w:lineRule="auto"/>
        <w:jc w:val="center"/>
        <w:rPr>
          <w:b/>
          <w:bCs/>
          <w:sz w:val="24"/>
        </w:rPr>
      </w:pPr>
      <w:r>
        <w:rPr>
          <w:rFonts w:hint="eastAsia"/>
          <w:b/>
          <w:bCs/>
          <w:sz w:val="24"/>
        </w:rPr>
        <w:t>（投标人自行编制）</w:t>
      </w:r>
    </w:p>
    <w:p>
      <w:pPr>
        <w:widowControl/>
        <w:spacing w:line="360" w:lineRule="auto"/>
        <w:jc w:val="center"/>
        <w:rPr>
          <w:b/>
          <w:sz w:val="24"/>
        </w:rPr>
      </w:pPr>
      <w:r>
        <w:rPr>
          <w:b/>
          <w:sz w:val="24"/>
        </w:rPr>
        <w:br w:type="page"/>
      </w:r>
      <w:r>
        <w:rPr>
          <w:rFonts w:hint="eastAsia"/>
          <w:b/>
          <w:sz w:val="24"/>
        </w:rPr>
        <w:t>评分因素及评标标准页码检索</w:t>
      </w:r>
    </w:p>
    <w:p>
      <w:pPr>
        <w:widowControl/>
        <w:spacing w:line="360" w:lineRule="auto"/>
        <w:jc w:val="center"/>
        <w:rPr>
          <w:b/>
          <w:sz w:val="24"/>
        </w:rPr>
      </w:pPr>
    </w:p>
    <w:p>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pPr>
        <w:spacing w:line="460" w:lineRule="exact"/>
        <w:jc w:val="left"/>
        <w:rPr>
          <w:b/>
          <w:sz w:val="24"/>
        </w:rPr>
      </w:pPr>
      <w:r>
        <w:rPr>
          <w:b/>
          <w:sz w:val="24"/>
        </w:rPr>
        <w:br w:type="page"/>
      </w:r>
      <w:r>
        <w:rPr>
          <w:b/>
          <w:sz w:val="24"/>
        </w:rPr>
        <w:t>附件1</w:t>
      </w:r>
    </w:p>
    <w:p>
      <w:pPr>
        <w:tabs>
          <w:tab w:val="left" w:pos="360"/>
        </w:tabs>
        <w:spacing w:line="560" w:lineRule="exact"/>
        <w:jc w:val="center"/>
        <w:rPr>
          <w:b/>
          <w:sz w:val="24"/>
        </w:rPr>
      </w:pPr>
      <w:r>
        <w:rPr>
          <w:b/>
          <w:sz w:val="24"/>
        </w:rPr>
        <w:t>响应书</w:t>
      </w:r>
    </w:p>
    <w:p>
      <w:pPr>
        <w:autoSpaceDE w:val="0"/>
        <w:autoSpaceDN w:val="0"/>
        <w:adjustRightInd w:val="0"/>
        <w:spacing w:line="520" w:lineRule="exact"/>
        <w:jc w:val="left"/>
        <w:rPr>
          <w:kern w:val="0"/>
          <w:sz w:val="24"/>
        </w:rPr>
      </w:pPr>
      <w:r>
        <w:rPr>
          <w:kern w:val="0"/>
          <w:sz w:val="24"/>
        </w:rPr>
        <w:t>致：天津市</w:t>
      </w:r>
      <w:r>
        <w:rPr>
          <w:rFonts w:hint="eastAsia"/>
          <w:kern w:val="0"/>
          <w:sz w:val="24"/>
        </w:rPr>
        <w:t>东丽区</w:t>
      </w:r>
      <w:r>
        <w:rPr>
          <w:kern w:val="0"/>
          <w:sz w:val="24"/>
        </w:rPr>
        <w:t>政府采购中心</w:t>
      </w:r>
    </w:p>
    <w:p>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pPr>
        <w:autoSpaceDE w:val="0"/>
        <w:autoSpaceDN w:val="0"/>
        <w:adjustRightInd w:val="0"/>
        <w:spacing w:line="360" w:lineRule="auto"/>
        <w:ind w:firstLine="480"/>
        <w:jc w:val="left"/>
        <w:rPr>
          <w:kern w:val="0"/>
          <w:sz w:val="24"/>
        </w:rPr>
      </w:pPr>
      <w:r>
        <w:rPr>
          <w:kern w:val="0"/>
          <w:sz w:val="24"/>
        </w:rPr>
        <w:t>据此函，签字代表宣布同意如下：</w:t>
      </w:r>
    </w:p>
    <w:p>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80" w:firstLineChars="200"/>
        <w:rPr>
          <w:sz w:val="24"/>
        </w:rPr>
      </w:pPr>
      <w:r>
        <w:rPr>
          <w:rFonts w:hint="eastAsia"/>
          <w:sz w:val="24"/>
        </w:rPr>
        <w:t>纳税人识别号：</w:t>
      </w:r>
    </w:p>
    <w:p>
      <w:pPr>
        <w:spacing w:line="360" w:lineRule="auto"/>
        <w:ind w:firstLine="480" w:firstLineChars="200"/>
        <w:rPr>
          <w:sz w:val="24"/>
        </w:rPr>
      </w:pPr>
      <w:r>
        <w:rPr>
          <w:rFonts w:hint="eastAsia"/>
          <w:sz w:val="24"/>
        </w:rPr>
        <w:t>地址、电话：</w:t>
      </w:r>
    </w:p>
    <w:p>
      <w:pPr>
        <w:spacing w:line="360" w:lineRule="auto"/>
        <w:ind w:firstLine="480" w:firstLineChars="200"/>
        <w:rPr>
          <w:sz w:val="24"/>
        </w:rPr>
      </w:pPr>
      <w:r>
        <w:rPr>
          <w:rFonts w:hint="eastAsia"/>
          <w:sz w:val="24"/>
        </w:rPr>
        <w:t>开户行及账号：</w:t>
      </w:r>
    </w:p>
    <w:p>
      <w:pPr>
        <w:spacing w:line="360" w:lineRule="auto"/>
        <w:ind w:firstLine="480" w:firstLineChars="200"/>
        <w:rPr>
          <w:sz w:val="24"/>
        </w:rPr>
      </w:pPr>
      <w:r>
        <w:rPr>
          <w:rFonts w:hint="eastAsia"/>
          <w:sz w:val="24"/>
        </w:rPr>
        <w:t>开具发票类型：□增值税专用发票         □增值税普通发票</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邮政编码：</w:t>
      </w:r>
    </w:p>
    <w:p>
      <w:pPr>
        <w:spacing w:line="360" w:lineRule="auto"/>
        <w:ind w:firstLine="480" w:firstLineChars="200"/>
        <w:rPr>
          <w:sz w:val="24"/>
        </w:rPr>
      </w:pPr>
      <w:r>
        <w:rPr>
          <w:rFonts w:hint="eastAsia"/>
          <w:sz w:val="24"/>
        </w:rPr>
        <w:t>邮箱</w:t>
      </w:r>
      <w:r>
        <w:rPr>
          <w:sz w:val="24"/>
        </w:rPr>
        <w:t>：</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jc w:val="left"/>
        <w:rPr>
          <w:b/>
          <w:sz w:val="24"/>
        </w:rPr>
      </w:pPr>
      <w:r>
        <w:rPr>
          <w:b/>
          <w:sz w:val="24"/>
        </w:rPr>
        <w:br w:type="page"/>
      </w:r>
      <w:r>
        <w:rPr>
          <w:b/>
          <w:sz w:val="24"/>
        </w:rPr>
        <w:t>附件2</w:t>
      </w:r>
    </w:p>
    <w:p>
      <w:pPr>
        <w:tabs>
          <w:tab w:val="left" w:pos="360"/>
        </w:tabs>
        <w:spacing w:line="560" w:lineRule="exact"/>
        <w:jc w:val="center"/>
        <w:rPr>
          <w:b/>
          <w:sz w:val="24"/>
        </w:rPr>
      </w:pPr>
      <w:r>
        <w:rPr>
          <w:rFonts w:hint="eastAsia"/>
          <w:b/>
          <w:sz w:val="24"/>
        </w:rPr>
        <w:t>供应商资格要求证明文件</w:t>
      </w: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r>
        <w:rPr>
          <w:sz w:val="24"/>
        </w:rPr>
        <w:t>注：相关证明材料应附在此页后面。</w:t>
      </w:r>
    </w:p>
    <w:p>
      <w:pPr>
        <w:spacing w:line="460" w:lineRule="exact"/>
        <w:ind w:left="192"/>
        <w:rPr>
          <w:b/>
          <w:bCs/>
          <w:sz w:val="24"/>
        </w:rPr>
      </w:pPr>
    </w:p>
    <w:p>
      <w:pPr>
        <w:spacing w:line="460" w:lineRule="exact"/>
        <w:ind w:left="192"/>
        <w:rPr>
          <w:b/>
          <w:bCs/>
          <w:sz w:val="24"/>
        </w:rPr>
      </w:pPr>
    </w:p>
    <w:p>
      <w:pPr>
        <w:spacing w:line="460" w:lineRule="exact"/>
        <w:jc w:val="left"/>
        <w:rPr>
          <w:b/>
          <w:sz w:val="24"/>
        </w:rPr>
      </w:pPr>
      <w:r>
        <w:rPr>
          <w:b/>
          <w:sz w:val="24"/>
        </w:rPr>
        <w:br w:type="page"/>
      </w:r>
      <w:r>
        <w:rPr>
          <w:b/>
          <w:sz w:val="24"/>
        </w:rPr>
        <w:t>附件3</w:t>
      </w:r>
    </w:p>
    <w:p>
      <w:pPr>
        <w:autoSpaceDN w:val="0"/>
        <w:spacing w:line="360" w:lineRule="auto"/>
        <w:jc w:val="center"/>
        <w:rPr>
          <w:b/>
          <w:bCs/>
          <w:sz w:val="24"/>
        </w:rPr>
      </w:pPr>
      <w:r>
        <w:rPr>
          <w:rFonts w:hint="eastAsia"/>
          <w:b/>
          <w:bCs/>
          <w:sz w:val="24"/>
        </w:rPr>
        <w:t>磋商</w:t>
      </w:r>
      <w:r>
        <w:rPr>
          <w:b/>
          <w:bCs/>
          <w:sz w:val="24"/>
        </w:rPr>
        <w:t>代表人授权书</w:t>
      </w:r>
    </w:p>
    <w:p>
      <w:pPr>
        <w:spacing w:line="360" w:lineRule="auto"/>
        <w:rPr>
          <w:sz w:val="24"/>
          <w:szCs w:val="21"/>
        </w:rPr>
      </w:pPr>
    </w:p>
    <w:p>
      <w:pPr>
        <w:spacing w:line="360" w:lineRule="auto"/>
        <w:rPr>
          <w:sz w:val="24"/>
          <w:szCs w:val="21"/>
        </w:rPr>
      </w:pPr>
      <w:r>
        <w:rPr>
          <w:sz w:val="24"/>
          <w:szCs w:val="21"/>
        </w:rPr>
        <w:t>致：天津市</w:t>
      </w:r>
      <w:r>
        <w:rPr>
          <w:rFonts w:hint="eastAsia"/>
          <w:sz w:val="24"/>
          <w:szCs w:val="21"/>
        </w:rPr>
        <w:t>东丽区</w:t>
      </w:r>
      <w:r>
        <w:rPr>
          <w:sz w:val="24"/>
          <w:szCs w:val="21"/>
        </w:rPr>
        <w:t>政府采购中心</w:t>
      </w:r>
    </w:p>
    <w:p>
      <w:pPr>
        <w:spacing w:line="360" w:lineRule="auto"/>
        <w:ind w:firstLine="480"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w:t>
      </w:r>
      <w:r>
        <w:rPr>
          <w:rFonts w:hint="eastAsia"/>
          <w:sz w:val="24"/>
          <w:szCs w:val="21"/>
        </w:rPr>
        <w:t>磋商</w:t>
      </w:r>
      <w:r>
        <w:rPr>
          <w:sz w:val="24"/>
          <w:szCs w:val="21"/>
        </w:rPr>
        <w:t>代表人以我方的名义参加贵中心______________________项目（项目编号：_______________）的投标活动，并代表我方全权办理针对上述项目的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pPr>
        <w:spacing w:line="360" w:lineRule="auto"/>
        <w:ind w:firstLine="480" w:firstLineChars="200"/>
        <w:rPr>
          <w:sz w:val="24"/>
          <w:szCs w:val="21"/>
        </w:rPr>
      </w:pPr>
      <w:r>
        <w:rPr>
          <w:rFonts w:hint="eastAsia"/>
          <w:sz w:val="24"/>
          <w:szCs w:val="21"/>
        </w:rPr>
        <w:t>磋商</w:t>
      </w:r>
      <w:r>
        <w:rPr>
          <w:sz w:val="24"/>
          <w:szCs w:val="21"/>
        </w:rPr>
        <w:t>代表人无转委托权，特此委托。</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0" w:firstLineChars="2100"/>
        <w:rPr>
          <w:sz w:val="24"/>
        </w:rPr>
      </w:pPr>
      <w:r>
        <w:rPr>
          <w:sz w:val="24"/>
        </w:rPr>
        <w:t xml:space="preserve">     年   月   日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pacing w:line="360" w:lineRule="auto"/>
              <w:jc w:val="left"/>
              <w:rPr>
                <w:sz w:val="24"/>
              </w:rPr>
            </w:pPr>
            <w:r>
              <w:rPr>
                <w:rFonts w:hint="eastAsia"/>
                <w:sz w:val="24"/>
              </w:rPr>
              <w:t>磋商代表人身份证正面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rFonts w:hint="eastAsia"/>
                <w:sz w:val="24"/>
              </w:rPr>
              <w:t>磋商代表人身份证背面</w:t>
            </w:r>
          </w:p>
        </w:tc>
      </w:tr>
    </w:tbl>
    <w:p>
      <w:pPr>
        <w:spacing w:line="460" w:lineRule="exact"/>
        <w:jc w:val="left"/>
        <w:rPr>
          <w:b/>
          <w:sz w:val="24"/>
        </w:rPr>
      </w:pPr>
      <w:r>
        <w:rPr>
          <w:b/>
          <w:sz w:val="24"/>
        </w:rPr>
        <w:br w:type="page"/>
      </w:r>
      <w:r>
        <w:rPr>
          <w:b/>
          <w:sz w:val="24"/>
        </w:rPr>
        <w:t>附件4-1</w:t>
      </w:r>
    </w:p>
    <w:p>
      <w:pPr>
        <w:spacing w:line="460" w:lineRule="exact"/>
        <w:ind w:left="181"/>
        <w:jc w:val="center"/>
        <w:rPr>
          <w:b/>
          <w:sz w:val="24"/>
        </w:rPr>
      </w:pP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9"/>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rFonts w:hint="eastAsia"/>
          <w:sz w:val="24"/>
        </w:rPr>
        <w:t>3</w:t>
      </w:r>
      <w:r>
        <w:rPr>
          <w:sz w:val="24"/>
        </w:rPr>
        <w:t>. 偏离说明指磋商要求与投标应答之间的不同之处。</w:t>
      </w:r>
    </w:p>
    <w:p>
      <w:pPr>
        <w:spacing w:line="360" w:lineRule="auto"/>
        <w:rPr>
          <w:sz w:val="24"/>
        </w:rPr>
      </w:pPr>
    </w:p>
    <w:p>
      <w:pPr>
        <w:spacing w:line="360" w:lineRule="auto"/>
        <w:rPr>
          <w:sz w:val="24"/>
        </w:rPr>
      </w:pPr>
    </w:p>
    <w:p>
      <w:pPr>
        <w:spacing w:line="360" w:lineRule="auto"/>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tabs>
          <w:tab w:val="left" w:pos="360"/>
        </w:tabs>
        <w:spacing w:after="312" w:afterLines="100" w:line="360" w:lineRule="auto"/>
        <w:rPr>
          <w:b/>
          <w:sz w:val="24"/>
        </w:rPr>
      </w:pPr>
      <w:r>
        <w:rPr>
          <w:sz w:val="24"/>
        </w:rPr>
        <w:br w:type="page"/>
      </w:r>
      <w:r>
        <w:rPr>
          <w:b/>
          <w:sz w:val="24"/>
        </w:rPr>
        <w:t>附件4-2</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9"/>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394"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394" w:type="dxa"/>
            <w:shd w:val="clear" w:color="auto" w:fill="auto"/>
            <w:vAlign w:val="center"/>
          </w:tcPr>
          <w:p>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394" w:type="dxa"/>
            <w:shd w:val="clear" w:color="auto" w:fill="auto"/>
            <w:vAlign w:val="center"/>
          </w:tcPr>
          <w:p>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sz w:val="24"/>
        </w:rPr>
        <w:t>3. 偏离说明指磋商要求与投标应答之间的不同之处。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sz w:val="24"/>
        </w:rPr>
      </w:pPr>
      <w:r>
        <w:rPr>
          <w:sz w:val="24"/>
        </w:rPr>
        <w:t>投标人名称：</w:t>
      </w:r>
    </w:p>
    <w:p>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pPr>
        <w:spacing w:line="460" w:lineRule="exact"/>
        <w:rPr>
          <w:b/>
          <w:sz w:val="24"/>
        </w:rPr>
      </w:pPr>
      <w:r>
        <w:rPr>
          <w:rFonts w:hint="eastAsia"/>
          <w:b/>
          <w:sz w:val="24"/>
        </w:rPr>
        <w:t>附件4-3</w:t>
      </w:r>
    </w:p>
    <w:p>
      <w:pPr>
        <w:spacing w:line="460" w:lineRule="exact"/>
        <w:ind w:left="192"/>
        <w:rPr>
          <w:b/>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0"/>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b/>
                <w:szCs w:val="21"/>
              </w:rPr>
            </w:pPr>
            <w:r>
              <w:rPr>
                <w:b/>
                <w:szCs w:val="21"/>
              </w:rPr>
              <w:t>序号</w:t>
            </w:r>
          </w:p>
        </w:tc>
        <w:tc>
          <w:tcPr>
            <w:tcW w:w="680" w:type="pct"/>
            <w:vAlign w:val="center"/>
          </w:tcPr>
          <w:p>
            <w:pPr>
              <w:spacing w:line="360" w:lineRule="auto"/>
              <w:jc w:val="center"/>
              <w:rPr>
                <w:b/>
                <w:szCs w:val="21"/>
              </w:rPr>
            </w:pPr>
            <w:r>
              <w:rPr>
                <w:b/>
                <w:szCs w:val="21"/>
              </w:rPr>
              <w:t>岗位名称</w:t>
            </w:r>
          </w:p>
        </w:tc>
        <w:tc>
          <w:tcPr>
            <w:tcW w:w="679" w:type="pct"/>
            <w:vAlign w:val="center"/>
          </w:tcPr>
          <w:p>
            <w:pPr>
              <w:spacing w:line="360" w:lineRule="auto"/>
              <w:jc w:val="center"/>
              <w:rPr>
                <w:b/>
                <w:szCs w:val="21"/>
              </w:rPr>
            </w:pPr>
            <w:r>
              <w:rPr>
                <w:rFonts w:hint="eastAsia"/>
                <w:b/>
                <w:szCs w:val="21"/>
              </w:rPr>
              <w:t>投入</w:t>
            </w:r>
            <w:r>
              <w:rPr>
                <w:b/>
                <w:szCs w:val="21"/>
              </w:rPr>
              <w:t>人数</w:t>
            </w:r>
          </w:p>
        </w:tc>
        <w:tc>
          <w:tcPr>
            <w:tcW w:w="1107" w:type="pct"/>
            <w:vAlign w:val="center"/>
          </w:tcPr>
          <w:p>
            <w:pPr>
              <w:spacing w:line="360" w:lineRule="auto"/>
              <w:jc w:val="center"/>
              <w:rPr>
                <w:b/>
                <w:szCs w:val="21"/>
              </w:rPr>
            </w:pPr>
            <w:r>
              <w:rPr>
                <w:rFonts w:hint="eastAsia"/>
                <w:b/>
                <w:szCs w:val="21"/>
              </w:rPr>
              <w:t>人员情况简介</w:t>
            </w:r>
          </w:p>
        </w:tc>
        <w:tc>
          <w:tcPr>
            <w:tcW w:w="671" w:type="pct"/>
            <w:vAlign w:val="center"/>
          </w:tcPr>
          <w:p>
            <w:pPr>
              <w:spacing w:line="360" w:lineRule="auto"/>
              <w:jc w:val="center"/>
              <w:rPr>
                <w:b/>
                <w:szCs w:val="21"/>
              </w:rPr>
            </w:pPr>
            <w:r>
              <w:rPr>
                <w:rFonts w:hint="eastAsia"/>
                <w:b/>
                <w:szCs w:val="21"/>
              </w:rPr>
              <w:t>是否退休</w:t>
            </w:r>
          </w:p>
        </w:tc>
        <w:tc>
          <w:tcPr>
            <w:tcW w:w="719" w:type="pct"/>
            <w:vAlign w:val="center"/>
          </w:tcPr>
          <w:p>
            <w:pPr>
              <w:spacing w:line="360" w:lineRule="auto"/>
              <w:jc w:val="center"/>
              <w:rPr>
                <w:b/>
                <w:szCs w:val="21"/>
              </w:rPr>
            </w:pPr>
            <w:r>
              <w:rPr>
                <w:b/>
                <w:szCs w:val="21"/>
              </w:rPr>
              <w:t>工作时间</w:t>
            </w:r>
          </w:p>
        </w:tc>
        <w:tc>
          <w:tcPr>
            <w:tcW w:w="721"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pPr>
              <w:spacing w:line="360" w:lineRule="auto"/>
              <w:jc w:val="center"/>
              <w:rPr>
                <w:szCs w:val="21"/>
              </w:rPr>
            </w:pPr>
            <w:r>
              <w:rPr>
                <w:rFonts w:hint="eastAsia"/>
                <w:szCs w:val="21"/>
              </w:rPr>
              <w:t>合计人数</w:t>
            </w:r>
          </w:p>
        </w:tc>
        <w:tc>
          <w:tcPr>
            <w:tcW w:w="3897" w:type="pct"/>
            <w:gridSpan w:val="5"/>
            <w:vAlign w:val="center"/>
          </w:tcPr>
          <w:p>
            <w:pPr>
              <w:spacing w:line="360" w:lineRule="auto"/>
              <w:jc w:val="center"/>
              <w:rPr>
                <w:szCs w:val="21"/>
              </w:rPr>
            </w:pPr>
          </w:p>
        </w:tc>
      </w:tr>
    </w:tbl>
    <w:p>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40" w:firstLineChars="100"/>
        <w:rPr>
          <w:sz w:val="24"/>
        </w:rPr>
      </w:pPr>
      <w:r>
        <w:rPr>
          <w:sz w:val="24"/>
        </w:rPr>
        <w:t>投标人名称：</w:t>
      </w:r>
    </w:p>
    <w:p>
      <w:pPr>
        <w:spacing w:line="360" w:lineRule="auto"/>
        <w:ind w:right="84" w:firstLine="240" w:firstLineChars="100"/>
        <w:rPr>
          <w:sz w:val="24"/>
        </w:rPr>
      </w:pPr>
    </w:p>
    <w:p>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left="192"/>
        <w:rPr>
          <w:b/>
          <w:sz w:val="24"/>
        </w:rPr>
      </w:pPr>
    </w:p>
    <w:p>
      <w:pPr>
        <w:spacing w:line="460" w:lineRule="exact"/>
        <w:ind w:left="192"/>
        <w:rPr>
          <w:b/>
          <w:sz w:val="24"/>
        </w:rPr>
      </w:pPr>
    </w:p>
    <w:p>
      <w:pPr>
        <w:widowControl/>
        <w:jc w:val="left"/>
        <w:rPr>
          <w:b/>
          <w:sz w:val="24"/>
        </w:rPr>
      </w:pPr>
      <w:r>
        <w:rPr>
          <w:b/>
          <w:sz w:val="24"/>
        </w:rPr>
        <w:br w:type="page"/>
      </w:r>
    </w:p>
    <w:p>
      <w:pPr>
        <w:spacing w:line="460" w:lineRule="exact"/>
        <w:rPr>
          <w:b/>
          <w:sz w:val="24"/>
        </w:rPr>
      </w:pPr>
      <w:r>
        <w:rPr>
          <w:b/>
          <w:sz w:val="24"/>
        </w:rPr>
        <w:t>附件5：评分因素中要求的各项方案、证明材料等</w:t>
      </w:r>
    </w:p>
    <w:p>
      <w:pPr>
        <w:spacing w:line="360" w:lineRule="auto"/>
        <w:ind w:firstLine="480" w:firstLineChars="200"/>
        <w:rPr>
          <w:bCs/>
          <w:color w:val="000000"/>
          <w:sz w:val="24"/>
        </w:rPr>
      </w:pPr>
    </w:p>
    <w:p>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pPr>
        <w:spacing w:line="360" w:lineRule="auto"/>
        <w:ind w:firstLine="480" w:firstLineChars="200"/>
        <w:rPr>
          <w:color w:val="000000"/>
          <w:sz w:val="24"/>
        </w:rPr>
      </w:pPr>
      <w:r>
        <w:rPr>
          <w:color w:val="000000"/>
          <w:sz w:val="24"/>
        </w:rPr>
        <w:t>投标人将专项服务委托专业公司承担的，应当进行说明。</w:t>
      </w:r>
    </w:p>
    <w:p>
      <w:pPr>
        <w:spacing w:line="360" w:lineRule="auto"/>
        <w:ind w:firstLine="480" w:firstLineChars="200"/>
        <w:rPr>
          <w:color w:val="000000"/>
          <w:sz w:val="24"/>
        </w:rPr>
      </w:pPr>
      <w:r>
        <w:rPr>
          <w:color w:val="000000"/>
          <w:sz w:val="24"/>
        </w:rPr>
        <w:t>投标人认为必需的其他内容。</w:t>
      </w:r>
    </w:p>
    <w:p>
      <w:pPr>
        <w:spacing w:line="460" w:lineRule="exact"/>
        <w:ind w:left="192"/>
        <w:jc w:val="left"/>
        <w:rPr>
          <w:sz w:val="24"/>
        </w:rPr>
      </w:pPr>
    </w:p>
    <w:p>
      <w:pPr>
        <w:spacing w:line="480" w:lineRule="auto"/>
      </w:pPr>
      <w:r>
        <w:rPr>
          <w:b/>
          <w:sz w:val="24"/>
        </w:rPr>
        <w:br w:type="page"/>
      </w:r>
      <w:r>
        <w:rPr>
          <w:b/>
          <w:sz w:val="24"/>
        </w:rPr>
        <w:t>附件6</w:t>
      </w:r>
    </w:p>
    <w:p>
      <w:pPr>
        <w:spacing w:line="560" w:lineRule="exact"/>
        <w:jc w:val="center"/>
        <w:rPr>
          <w:b/>
          <w:sz w:val="24"/>
        </w:rPr>
      </w:pPr>
      <w:r>
        <w:rPr>
          <w:b/>
          <w:sz w:val="24"/>
        </w:rPr>
        <w:t>投标人</w:t>
      </w:r>
      <w:r>
        <w:rPr>
          <w:rFonts w:hint="eastAsia"/>
          <w:b/>
          <w:sz w:val="24"/>
        </w:rPr>
        <w:t>业绩</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ind w:left="192"/>
        <w:rPr>
          <w:sz w:val="24"/>
        </w:rPr>
      </w:pPr>
      <w:r>
        <w:rPr>
          <w:sz w:val="24"/>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bl>
    <w:p>
      <w:pPr>
        <w:spacing w:line="460" w:lineRule="exact"/>
        <w:ind w:left="192"/>
        <w:rPr>
          <w:sz w:val="24"/>
        </w:rPr>
      </w:pPr>
    </w:p>
    <w:p>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pPr>
        <w:spacing w:line="560" w:lineRule="exact"/>
        <w:rPr>
          <w:b/>
          <w:sz w:val="24"/>
        </w:rPr>
      </w:pPr>
    </w:p>
    <w:p>
      <w:pPr>
        <w:spacing w:line="560" w:lineRule="exact"/>
        <w:rPr>
          <w:b/>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80" w:lineRule="auto"/>
        <w:rPr>
          <w:b/>
          <w:color w:val="000000"/>
          <w:sz w:val="24"/>
        </w:rPr>
      </w:pPr>
      <w:r>
        <w:rPr>
          <w:b/>
          <w:color w:val="000000"/>
          <w:sz w:val="24"/>
        </w:rPr>
        <w:t>附件7-1</w:t>
      </w:r>
    </w:p>
    <w:p>
      <w:pPr>
        <w:spacing w:line="480" w:lineRule="auto"/>
        <w:jc w:val="center"/>
        <w:rPr>
          <w:b/>
          <w:sz w:val="30"/>
        </w:rPr>
      </w:pPr>
      <w:r>
        <w:rPr>
          <w:b/>
          <w:color w:val="000000"/>
          <w:sz w:val="24"/>
        </w:rPr>
        <w:t>项目负责人资格审查表</w:t>
      </w:r>
    </w:p>
    <w:tbl>
      <w:tblPr>
        <w:tblStyle w:val="19"/>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460" w:lineRule="exact"/>
        <w:ind w:left="192"/>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附件7-2</w:t>
      </w:r>
    </w:p>
    <w:p>
      <w:pPr>
        <w:spacing w:line="360" w:lineRule="auto"/>
        <w:ind w:right="84"/>
        <w:jc w:val="center"/>
        <w:rPr>
          <w:b/>
          <w:sz w:val="24"/>
          <w:szCs w:val="24"/>
        </w:rPr>
      </w:pPr>
      <w:r>
        <w:rPr>
          <w:b/>
          <w:position w:val="-40"/>
          <w:sz w:val="24"/>
          <w:szCs w:val="24"/>
        </w:rPr>
        <w:t>拟在本项目使用的主要设备一览表</w:t>
      </w:r>
    </w:p>
    <w:tbl>
      <w:tblPr>
        <w:tblStyle w:val="19"/>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sz w:val="24"/>
        </w:rPr>
      </w:pP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附件7-3</w:t>
      </w:r>
    </w:p>
    <w:p>
      <w:pPr>
        <w:tabs>
          <w:tab w:val="left" w:pos="240"/>
        </w:tabs>
        <w:jc w:val="center"/>
        <w:rPr>
          <w:b/>
          <w:sz w:val="24"/>
          <w:szCs w:val="24"/>
        </w:rPr>
      </w:pPr>
      <w:r>
        <w:rPr>
          <w:b/>
          <w:sz w:val="24"/>
          <w:szCs w:val="24"/>
        </w:rPr>
        <w:t>采购人须向供应商提供的条件</w:t>
      </w:r>
    </w:p>
    <w:p>
      <w:pPr>
        <w:tabs>
          <w:tab w:val="left" w:pos="240"/>
        </w:tabs>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6"/>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position w:val="-40"/>
        </w:rPr>
      </w:pPr>
      <w:r>
        <w:rPr>
          <w:sz w:val="24"/>
        </w:rPr>
        <w:t xml:space="preserve">  </w:t>
      </w:r>
    </w:p>
    <w:p>
      <w:pPr>
        <w:spacing w:line="480" w:lineRule="auto"/>
        <w:rPr>
          <w:b/>
          <w:sz w:val="24"/>
        </w:rPr>
      </w:pPr>
    </w:p>
    <w:p>
      <w:pPr>
        <w:spacing w:line="480" w:lineRule="auto"/>
        <w:rPr>
          <w:b/>
          <w:sz w:val="24"/>
        </w:rPr>
      </w:pPr>
    </w:p>
    <w:p>
      <w:pPr>
        <w:widowControl/>
        <w:jc w:val="left"/>
        <w:rPr>
          <w:b/>
          <w:sz w:val="24"/>
        </w:rPr>
      </w:pPr>
      <w:r>
        <w:rPr>
          <w:b/>
          <w:sz w:val="24"/>
        </w:rPr>
        <w:br w:type="page"/>
      </w:r>
    </w:p>
    <w:p>
      <w:pPr>
        <w:spacing w:line="620" w:lineRule="exact"/>
        <w:rPr>
          <w:b/>
          <w:sz w:val="24"/>
        </w:rPr>
      </w:pPr>
      <w:r>
        <w:rPr>
          <w:b/>
          <w:sz w:val="24"/>
        </w:rPr>
        <w:t>附件8</w:t>
      </w:r>
      <w:r>
        <w:rPr>
          <w:rFonts w:hint="eastAsia"/>
          <w:b/>
          <w:sz w:val="24"/>
        </w:rPr>
        <w:t>-1</w:t>
      </w:r>
    </w:p>
    <w:p>
      <w:pPr>
        <w:autoSpaceDN w:val="0"/>
        <w:spacing w:line="360" w:lineRule="auto"/>
        <w:jc w:val="center"/>
        <w:rPr>
          <w:b/>
          <w:bCs/>
          <w:sz w:val="24"/>
          <w:szCs w:val="24"/>
        </w:rPr>
      </w:pP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41" w:firstLineChars="100"/>
        <w:rPr>
          <w:b/>
          <w:sz w:val="24"/>
          <w:szCs w:val="24"/>
        </w:rPr>
      </w:pPr>
      <w:r>
        <w:rPr>
          <w:b/>
          <w:sz w:val="24"/>
          <w:szCs w:val="24"/>
        </w:rPr>
        <w:t>注：</w:t>
      </w:r>
    </w:p>
    <w:p>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pPr>
        <w:widowControl/>
        <w:jc w:val="left"/>
        <w:rPr>
          <w:sz w:val="24"/>
        </w:rPr>
      </w:pPr>
      <w:r>
        <w:rPr>
          <w:sz w:val="24"/>
        </w:rPr>
        <w:br w:type="page"/>
      </w:r>
    </w:p>
    <w:p>
      <w:pPr>
        <w:autoSpaceDN w:val="0"/>
        <w:spacing w:line="360" w:lineRule="auto"/>
        <w:rPr>
          <w:b/>
          <w:bCs/>
          <w:sz w:val="24"/>
        </w:rPr>
      </w:pPr>
      <w:r>
        <w:rPr>
          <w:rFonts w:hint="eastAsia"/>
          <w:b/>
          <w:bCs/>
          <w:sz w:val="24"/>
        </w:rPr>
        <w:t>附件8-2</w:t>
      </w:r>
    </w:p>
    <w:p>
      <w:pPr>
        <w:autoSpaceDN w:val="0"/>
        <w:spacing w:line="360" w:lineRule="auto"/>
        <w:jc w:val="left"/>
        <w:rPr>
          <w:b/>
          <w:bCs/>
          <w:sz w:val="24"/>
        </w:rPr>
      </w:pPr>
      <w:r>
        <w:rPr>
          <w:rFonts w:hint="eastAsia"/>
          <w:b/>
          <w:kern w:val="0"/>
          <w:sz w:val="24"/>
          <w:szCs w:val="21"/>
        </w:rPr>
        <w:t>若不是残疾人福利性单位，响应文件中可不提供此声明函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82" w:firstLineChars="200"/>
        <w:jc w:val="left"/>
        <w:rPr>
          <w:b/>
          <w:bCs/>
          <w:sz w:val="24"/>
        </w:rPr>
      </w:pPr>
    </w:p>
    <w:p>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pPr>
        <w:snapToGrid w:val="0"/>
        <w:spacing w:line="360" w:lineRule="auto"/>
        <w:ind w:firstLine="480" w:firstLineChars="200"/>
        <w:jc w:val="left"/>
        <w:rPr>
          <w:bCs/>
          <w:sz w:val="24"/>
        </w:rPr>
      </w:pPr>
    </w:p>
    <w:p>
      <w:pPr>
        <w:snapToGrid w:val="0"/>
        <w:spacing w:line="360" w:lineRule="auto"/>
        <w:ind w:firstLine="480" w:firstLineChars="200"/>
        <w:jc w:val="left"/>
        <w:rPr>
          <w:sz w:val="24"/>
          <w:szCs w:val="21"/>
        </w:rPr>
      </w:pPr>
      <w:r>
        <w:rPr>
          <w:rFonts w:hint="eastAsia"/>
          <w:bCs/>
          <w:sz w:val="24"/>
        </w:rPr>
        <w:t xml:space="preserve">               日  期：</w:t>
      </w:r>
    </w:p>
    <w:p>
      <w:pPr>
        <w:snapToGrid w:val="0"/>
        <w:spacing w:line="360" w:lineRule="auto"/>
        <w:ind w:firstLine="480" w:firstLineChars="200"/>
        <w:jc w:val="left"/>
        <w:rPr>
          <w:sz w:val="24"/>
          <w:szCs w:val="21"/>
        </w:rPr>
      </w:pPr>
    </w:p>
    <w:p>
      <w:pPr>
        <w:snapToGrid w:val="0"/>
        <w:spacing w:line="360" w:lineRule="auto"/>
        <w:ind w:firstLine="480" w:firstLineChars="200"/>
        <w:rPr>
          <w:sz w:val="24"/>
          <w:szCs w:val="21"/>
        </w:rPr>
      </w:pPr>
      <w:r>
        <w:rPr>
          <w:sz w:val="24"/>
          <w:szCs w:val="21"/>
        </w:rPr>
        <w:t>注：</w:t>
      </w:r>
    </w:p>
    <w:p>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pPr>
        <w:snapToGrid w:val="0"/>
        <w:spacing w:line="360" w:lineRule="auto"/>
        <w:ind w:firstLine="482" w:firstLineChars="200"/>
        <w:rPr>
          <w:b/>
          <w:sz w:val="24"/>
          <w:szCs w:val="21"/>
        </w:rPr>
      </w:pPr>
      <w:r>
        <w:rPr>
          <w:b/>
          <w:kern w:val="0"/>
          <w:sz w:val="24"/>
          <w:szCs w:val="21"/>
        </w:rPr>
        <w:t>若不是残疾人福利性单位，响应文件中可不提供此声明函。</w:t>
      </w:r>
    </w:p>
    <w:p>
      <w:pPr>
        <w:spacing w:line="360" w:lineRule="auto"/>
        <w:ind w:firstLine="4080" w:firstLineChars="1700"/>
        <w:rPr>
          <w:sz w:val="24"/>
        </w:rPr>
      </w:pPr>
    </w:p>
    <w:p>
      <w:pPr>
        <w:jc w:val="left"/>
        <w:rPr>
          <w:sz w:val="24"/>
        </w:rPr>
      </w:pPr>
      <w:r>
        <w:rPr>
          <w:sz w:val="24"/>
        </w:rPr>
        <w:br w:type="page"/>
      </w:r>
    </w:p>
    <w:p>
      <w:pPr>
        <w:jc w:val="left"/>
        <w:rPr>
          <w:b/>
          <w:bCs/>
          <w:sz w:val="24"/>
        </w:rPr>
      </w:pPr>
      <w:r>
        <w:rPr>
          <w:b/>
          <w:sz w:val="24"/>
          <w:szCs w:val="24"/>
        </w:rPr>
        <w:t>附件9</w:t>
      </w:r>
    </w:p>
    <w:p>
      <w:pPr>
        <w:jc w:val="left"/>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9"/>
        <w:tabs>
          <w:tab w:val="left" w:pos="360"/>
        </w:tabs>
        <w:spacing w:line="360" w:lineRule="auto"/>
        <w:ind w:firstLine="480"/>
        <w:rPr>
          <w:sz w:val="24"/>
        </w:rPr>
      </w:pPr>
    </w:p>
    <w:p>
      <w:pPr>
        <w:pStyle w:val="39"/>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pPr>
        <w:pStyle w:val="39"/>
        <w:tabs>
          <w:tab w:val="left" w:pos="360"/>
        </w:tabs>
        <w:spacing w:line="360" w:lineRule="auto"/>
        <w:ind w:firstLine="480"/>
        <w:rPr>
          <w:sz w:val="24"/>
        </w:rPr>
      </w:pPr>
      <w:r>
        <w:rPr>
          <w:rFonts w:hint="eastAsia"/>
          <w:sz w:val="24"/>
        </w:rPr>
        <w:t>我单位具备良好的商业信誉和健全的财务会计制度，依法缴纳税收和社会保障资金。</w:t>
      </w:r>
    </w:p>
    <w:p>
      <w:pPr>
        <w:pStyle w:val="39"/>
        <w:tabs>
          <w:tab w:val="left" w:pos="360"/>
        </w:tabs>
        <w:spacing w:line="360" w:lineRule="auto"/>
        <w:ind w:firstLine="480"/>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9"/>
        <w:tabs>
          <w:tab w:val="left" w:pos="360"/>
        </w:tabs>
        <w:spacing w:line="360" w:lineRule="auto"/>
        <w:ind w:firstLine="0" w:firstLineChars="0"/>
        <w:rPr>
          <w:sz w:val="24"/>
          <w:u w:val="single"/>
        </w:rPr>
      </w:pPr>
      <w:r>
        <w:rPr>
          <w:rFonts w:hint="eastAsia"/>
          <w:sz w:val="24"/>
          <w:u w:val="single"/>
        </w:rPr>
        <w:t xml:space="preserve">                                                                     </w:t>
      </w:r>
    </w:p>
    <w:p>
      <w:pPr>
        <w:pStyle w:val="39"/>
        <w:tabs>
          <w:tab w:val="left" w:pos="360"/>
        </w:tabs>
        <w:spacing w:line="360" w:lineRule="auto"/>
        <w:ind w:firstLine="480"/>
        <w:rPr>
          <w:sz w:val="24"/>
        </w:rPr>
      </w:pPr>
    </w:p>
    <w:p>
      <w:pPr>
        <w:pStyle w:val="39"/>
        <w:spacing w:line="360" w:lineRule="auto"/>
        <w:ind w:firstLine="0" w:firstLineChars="0"/>
        <w:jc w:val="center"/>
        <w:rPr>
          <w:b/>
          <w:sz w:val="24"/>
        </w:rPr>
      </w:pPr>
    </w:p>
    <w:p>
      <w:pPr>
        <w:pStyle w:val="39"/>
        <w:spacing w:line="360" w:lineRule="auto"/>
        <w:ind w:firstLine="0" w:firstLineChars="0"/>
        <w:jc w:val="center"/>
        <w:rPr>
          <w:b/>
          <w:sz w:val="24"/>
        </w:rPr>
      </w:pPr>
    </w:p>
    <w:p>
      <w:pPr>
        <w:pStyle w:val="39"/>
        <w:spacing w:line="360" w:lineRule="auto"/>
        <w:ind w:firstLine="0" w:firstLineChars="0"/>
        <w:jc w:val="center"/>
        <w:rPr>
          <w:b/>
          <w:sz w:val="24"/>
        </w:rPr>
      </w:pPr>
      <w:r>
        <w:rPr>
          <w:rFonts w:hint="eastAsia"/>
          <w:b/>
          <w:sz w:val="24"/>
        </w:rPr>
        <w:t>证明材料</w:t>
      </w:r>
    </w:p>
    <w:p>
      <w:pPr>
        <w:pStyle w:val="39"/>
        <w:tabs>
          <w:tab w:val="left" w:pos="360"/>
        </w:tabs>
        <w:spacing w:line="360" w:lineRule="auto"/>
        <w:ind w:firstLine="480"/>
        <w:rPr>
          <w:sz w:val="24"/>
        </w:rPr>
      </w:pPr>
    </w:p>
    <w:p>
      <w:pPr>
        <w:pStyle w:val="39"/>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pPr>
        <w:pStyle w:val="39"/>
        <w:tabs>
          <w:tab w:val="left" w:pos="360"/>
        </w:tabs>
        <w:spacing w:line="360" w:lineRule="auto"/>
        <w:ind w:firstLine="480"/>
        <w:rPr>
          <w:sz w:val="24"/>
        </w:rPr>
      </w:pPr>
    </w:p>
    <w:p>
      <w:pPr>
        <w:pStyle w:val="39"/>
        <w:tabs>
          <w:tab w:val="left" w:pos="360"/>
        </w:tabs>
        <w:spacing w:line="360" w:lineRule="auto"/>
        <w:ind w:firstLine="480"/>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jc w:val="left"/>
        <w:rPr>
          <w:b/>
          <w:bCs/>
          <w:sz w:val="24"/>
        </w:rPr>
      </w:pPr>
    </w:p>
    <w:p>
      <w:pPr>
        <w:jc w:val="left"/>
        <w:rPr>
          <w:b/>
          <w:bCs/>
          <w:sz w:val="24"/>
        </w:rPr>
      </w:pPr>
    </w:p>
    <w:p>
      <w:pPr>
        <w:jc w:val="left"/>
        <w:rPr>
          <w:b/>
          <w:sz w:val="24"/>
        </w:rPr>
      </w:pPr>
    </w:p>
    <w:p>
      <w:pPr>
        <w:spacing w:line="460" w:lineRule="exact"/>
        <w:ind w:left="192"/>
        <w:jc w:val="left"/>
        <w:rPr>
          <w:b/>
          <w:sz w:val="24"/>
        </w:rPr>
      </w:pPr>
    </w:p>
    <w:p>
      <w:pPr>
        <w:widowControl/>
        <w:jc w:val="left"/>
        <w:rPr>
          <w:b/>
          <w:sz w:val="24"/>
        </w:rPr>
      </w:pPr>
      <w:r>
        <w:rPr>
          <w:b/>
          <w:sz w:val="24"/>
        </w:rPr>
        <w:br w:type="page"/>
      </w:r>
    </w:p>
    <w:p>
      <w:pPr>
        <w:spacing w:line="460" w:lineRule="exact"/>
        <w:jc w:val="left"/>
        <w:rPr>
          <w:b/>
          <w:sz w:val="24"/>
        </w:rPr>
      </w:pPr>
      <w:r>
        <w:rPr>
          <w:rFonts w:hint="eastAsia"/>
          <w:b/>
          <w:sz w:val="24"/>
        </w:rPr>
        <w:t>附件10：</w:t>
      </w:r>
      <w:r>
        <w:rPr>
          <w:b/>
          <w:sz w:val="24"/>
        </w:rPr>
        <w:t>投标人认为需要提交的其他资料</w:t>
      </w:r>
    </w:p>
    <w:p>
      <w:pPr>
        <w:spacing w:line="460" w:lineRule="exact"/>
        <w:ind w:left="192"/>
        <w:rPr>
          <w:b/>
          <w:sz w:val="24"/>
        </w:rPr>
      </w:pPr>
    </w:p>
    <w:p>
      <w:pPr>
        <w:autoSpaceDE w:val="0"/>
        <w:autoSpaceDN w:val="0"/>
        <w:adjustRightInd w:val="0"/>
        <w:jc w:val="center"/>
        <w:rPr>
          <w:sz w:val="24"/>
        </w:rPr>
      </w:pPr>
      <w:r>
        <w:rPr>
          <w:sz w:val="24"/>
        </w:rPr>
        <w:br w:type="page"/>
      </w: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tabs>
          <w:tab w:val="left" w:pos="360"/>
        </w:tabs>
        <w:spacing w:line="560" w:lineRule="exact"/>
        <w:jc w:val="center"/>
        <w:rPr>
          <w:b/>
          <w:sz w:val="24"/>
        </w:rPr>
      </w:pPr>
      <w:r>
        <w:rPr>
          <w:sz w:val="24"/>
        </w:rPr>
        <w:br w:type="page"/>
      </w:r>
      <w:r>
        <w:rPr>
          <w:b/>
          <w:sz w:val="24"/>
        </w:rPr>
        <w:t>报价书</w:t>
      </w:r>
    </w:p>
    <w:p>
      <w:pPr>
        <w:tabs>
          <w:tab w:val="left" w:pos="360"/>
        </w:tabs>
        <w:spacing w:line="560" w:lineRule="exact"/>
        <w:jc w:val="center"/>
        <w:rPr>
          <w:b/>
          <w:sz w:val="24"/>
        </w:rPr>
      </w:pPr>
    </w:p>
    <w:p>
      <w:pPr>
        <w:spacing w:line="460" w:lineRule="exact"/>
        <w:rPr>
          <w:sz w:val="24"/>
        </w:rPr>
      </w:pPr>
      <w:r>
        <w:rPr>
          <w:sz w:val="24"/>
        </w:rPr>
        <w:t>致：天津市</w:t>
      </w:r>
      <w:r>
        <w:rPr>
          <w:rFonts w:hint="eastAsia"/>
          <w:sz w:val="24"/>
        </w:rPr>
        <w:t>东丽区</w:t>
      </w:r>
      <w:r>
        <w:rPr>
          <w:sz w:val="24"/>
        </w:rPr>
        <w:t>政府采购中心</w:t>
      </w:r>
    </w:p>
    <w:p>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pPr>
        <w:spacing w:line="460" w:lineRule="exact"/>
        <w:rPr>
          <w:sz w:val="24"/>
        </w:rPr>
      </w:pPr>
      <w:r>
        <w:rPr>
          <w:sz w:val="24"/>
        </w:rPr>
        <w:t>据此函，签字代表宣布同意如下：</w:t>
      </w:r>
    </w:p>
    <w:p>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pPr>
        <w:spacing w:line="460" w:lineRule="exact"/>
        <w:ind w:left="480"/>
        <w:jc w:val="left"/>
        <w:rPr>
          <w:sz w:val="24"/>
        </w:rPr>
      </w:pPr>
      <w:r>
        <w:rPr>
          <w:sz w:val="24"/>
        </w:rPr>
        <w:t>第</w:t>
      </w:r>
      <w:r>
        <w:rPr>
          <w:rFonts w:hint="eastAsia"/>
          <w:sz w:val="24"/>
        </w:rPr>
        <w:t xml:space="preserve">  </w:t>
      </w:r>
      <w:r>
        <w:rPr>
          <w:sz w:val="24"/>
        </w:rPr>
        <w:t>包：</w:t>
      </w:r>
    </w:p>
    <w:p>
      <w:pPr>
        <w:spacing w:line="460" w:lineRule="exact"/>
        <w:ind w:left="480"/>
        <w:jc w:val="left"/>
        <w:rPr>
          <w:sz w:val="24"/>
        </w:rPr>
      </w:pPr>
      <w:r>
        <w:rPr>
          <w:sz w:val="24"/>
        </w:rPr>
        <w:t xml:space="preserve">  报价</w:t>
      </w:r>
      <w:r>
        <w:rPr>
          <w:sz w:val="24"/>
          <w:u w:val="single"/>
        </w:rPr>
        <w:t xml:space="preserve">         </w:t>
      </w:r>
      <w:r>
        <w:rPr>
          <w:sz w:val="24"/>
        </w:rPr>
        <w:t>元（注明币种）</w:t>
      </w:r>
    </w:p>
    <w:p>
      <w:pPr>
        <w:spacing w:line="460" w:lineRule="exact"/>
        <w:ind w:left="472" w:firstLine="237"/>
        <w:jc w:val="left"/>
        <w:rPr>
          <w:sz w:val="24"/>
        </w:rPr>
      </w:pPr>
      <w:r>
        <w:rPr>
          <w:sz w:val="24"/>
        </w:rPr>
        <w:t>大写</w:t>
      </w:r>
      <w:r>
        <w:rPr>
          <w:sz w:val="24"/>
          <w:u w:val="single"/>
        </w:rPr>
        <w:t xml:space="preserve">                    </w:t>
      </w:r>
      <w:r>
        <w:rPr>
          <w:sz w:val="24"/>
        </w:rPr>
        <w:t>（文字表述）。</w:t>
      </w:r>
    </w:p>
    <w:p>
      <w:pPr>
        <w:spacing w:line="460" w:lineRule="exact"/>
        <w:ind w:firstLine="471"/>
        <w:rPr>
          <w:sz w:val="24"/>
        </w:rPr>
      </w:pPr>
      <w:r>
        <w:rPr>
          <w:sz w:val="24"/>
        </w:rPr>
        <w:t>2. 投标人已经对全部价格进行了认真核对，保证本报价真实、准确无误，并承担本价格所对应本项目的一切责任和义务。</w:t>
      </w:r>
    </w:p>
    <w:p>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pPr>
        <w:spacing w:line="460" w:lineRule="exact"/>
        <w:ind w:firstLine="471"/>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firstLine="471"/>
        <w:rPr>
          <w:sz w:val="24"/>
        </w:rPr>
      </w:pPr>
    </w:p>
    <w:p>
      <w:pPr>
        <w:spacing w:line="460" w:lineRule="exact"/>
        <w:jc w:val="left"/>
        <w:rPr>
          <w:b/>
          <w:sz w:val="24"/>
        </w:rPr>
      </w:pPr>
      <w:r>
        <w:rPr>
          <w:b/>
          <w:sz w:val="24"/>
        </w:rPr>
        <w:br w:type="page"/>
      </w:r>
      <w:r>
        <w:rPr>
          <w:b/>
          <w:sz w:val="24"/>
        </w:rPr>
        <w:t>附件1</w:t>
      </w:r>
    </w:p>
    <w:p>
      <w:pPr>
        <w:tabs>
          <w:tab w:val="left" w:pos="3780"/>
          <w:tab w:val="left" w:pos="3960"/>
        </w:tabs>
        <w:spacing w:line="460" w:lineRule="exact"/>
        <w:jc w:val="center"/>
        <w:rPr>
          <w:b/>
          <w:sz w:val="24"/>
        </w:rPr>
      </w:pPr>
      <w:r>
        <w:rPr>
          <w:b/>
          <w:sz w:val="24"/>
        </w:rPr>
        <w:t>报价分项一览表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960" w:firstLineChars="2900"/>
        <w:rPr>
          <w:sz w:val="24"/>
        </w:rPr>
      </w:pPr>
      <w:r>
        <w:rPr>
          <w:sz w:val="24"/>
        </w:rPr>
        <w:t>单位：元</w:t>
      </w:r>
    </w:p>
    <w:tbl>
      <w:tblPr>
        <w:tblStyle w:val="19"/>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5</w:t>
            </w:r>
          </w:p>
        </w:tc>
        <w:tc>
          <w:tcPr>
            <w:tcW w:w="2121" w:type="pct"/>
            <w:vAlign w:val="center"/>
          </w:tcPr>
          <w:p>
            <w:pPr>
              <w:jc w:val="center"/>
              <w:rPr>
                <w:szCs w:val="21"/>
              </w:rPr>
            </w:pPr>
            <w:r>
              <w:rPr>
                <w:szCs w:val="21"/>
              </w:rPr>
              <w:t>绿化养护费用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60" w:lineRule="exact"/>
        <w:rPr>
          <w:b/>
          <w:sz w:val="24"/>
        </w:rPr>
      </w:pPr>
      <w:r>
        <w:rPr>
          <w:b/>
          <w:sz w:val="24"/>
        </w:rPr>
        <w:t>附件2</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firstLine="6960" w:firstLineChars="2900"/>
        <w:rPr>
          <w:sz w:val="24"/>
        </w:rPr>
      </w:pPr>
      <w:r>
        <w:rPr>
          <w:sz w:val="24"/>
        </w:rPr>
        <w:t>单位：元</w:t>
      </w:r>
    </w:p>
    <w:tbl>
      <w:tblPr>
        <w:tblStyle w:val="19"/>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2103" w:type="dxa"/>
            <w:vAlign w:val="center"/>
          </w:tcPr>
          <w:p>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2103" w:type="dxa"/>
            <w:vAlign w:val="center"/>
          </w:tcPr>
          <w:p>
            <w:pPr>
              <w:jc w:val="center"/>
              <w:rPr>
                <w:sz w:val="24"/>
                <w:szCs w:val="24"/>
              </w:rPr>
            </w:pPr>
          </w:p>
        </w:tc>
      </w:tr>
    </w:tbl>
    <w:p>
      <w:pPr>
        <w:autoSpaceDE w:val="0"/>
        <w:autoSpaceDN w:val="0"/>
        <w:adjustRightInd w:val="0"/>
        <w:spacing w:line="360" w:lineRule="auto"/>
        <w:rPr>
          <w:b/>
          <w:color w:val="000000"/>
          <w:sz w:val="24"/>
        </w:rPr>
      </w:pPr>
      <w:r>
        <w:rPr>
          <w:b/>
          <w:color w:val="000000"/>
          <w:sz w:val="24"/>
        </w:rPr>
        <w:t xml:space="preserve">备注： </w:t>
      </w:r>
    </w:p>
    <w:p>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pPr>
        <w:autoSpaceDE w:val="0"/>
        <w:autoSpaceDN w:val="0"/>
        <w:adjustRightInd w:val="0"/>
        <w:spacing w:line="360" w:lineRule="auto"/>
        <w:rPr>
          <w:b/>
          <w:color w:val="000000"/>
          <w:sz w:val="24"/>
        </w:rPr>
      </w:pPr>
    </w:p>
    <w:p>
      <w:pPr>
        <w:autoSpaceDE w:val="0"/>
        <w:autoSpaceDN w:val="0"/>
        <w:adjustRightInd w:val="0"/>
        <w:spacing w:line="360" w:lineRule="auto"/>
        <w:rPr>
          <w:b/>
          <w:color w:val="000000"/>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pPr>
        <w:spacing w:line="360" w:lineRule="auto"/>
        <w:ind w:firstLine="4080" w:firstLineChars="1700"/>
        <w:rPr>
          <w:sz w:val="24"/>
        </w:rPr>
      </w:pPr>
    </w:p>
    <w:p>
      <w:pPr>
        <w:spacing w:line="460" w:lineRule="exact"/>
        <w:jc w:val="left"/>
        <w:rPr>
          <w:sz w:val="24"/>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ˎ̥">
    <w:altName w:val="仿宋"/>
    <w:panose1 w:val="00000000000000000000"/>
    <w:charset w:val="00"/>
    <w:family w:val="roman"/>
    <w:pitch w:val="default"/>
    <w:sig w:usb0="00000000" w:usb1="00000000" w:usb2="00000000" w:usb3="00000000" w:csb0="00000000" w:csb1="00000000"/>
  </w:font>
  <w:font w:name=".......">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F4B84"/>
    <w:multiLevelType w:val="singleLevel"/>
    <w:tmpl w:val="DCBF4B84"/>
    <w:lvl w:ilvl="0" w:tentative="0">
      <w:start w:val="1"/>
      <w:numFmt w:val="chineseCounting"/>
      <w:suff w:val="nothing"/>
      <w:lvlText w:val="（%1）"/>
      <w:lvlJc w:val="left"/>
      <w:rPr>
        <w:rFonts w:hint="eastAsia"/>
      </w:rPr>
    </w:lvl>
  </w:abstractNum>
  <w:abstractNum w:abstractNumId="1">
    <w:nsid w:val="0C31BF09"/>
    <w:multiLevelType w:val="singleLevel"/>
    <w:tmpl w:val="0C31BF09"/>
    <w:lvl w:ilvl="0" w:tentative="0">
      <w:start w:val="3"/>
      <w:numFmt w:val="chineseCounting"/>
      <w:suff w:val="nothing"/>
      <w:lvlText w:val="%1、"/>
      <w:lvlJc w:val="left"/>
      <w:rPr>
        <w:rFonts w:hint="eastAsia"/>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DY0ZmZhM2RkN2E5Y2EyMDA4ZThiYjlmNjAwMTI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37980"/>
    <w:rsid w:val="000429C5"/>
    <w:rsid w:val="00042ED8"/>
    <w:rsid w:val="00044CE8"/>
    <w:rsid w:val="00045600"/>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1F7"/>
    <w:rsid w:val="000B0ADE"/>
    <w:rsid w:val="000B16E5"/>
    <w:rsid w:val="000B2863"/>
    <w:rsid w:val="000B315B"/>
    <w:rsid w:val="000B36DE"/>
    <w:rsid w:val="000B4838"/>
    <w:rsid w:val="000B5E84"/>
    <w:rsid w:val="000C0454"/>
    <w:rsid w:val="000C09BE"/>
    <w:rsid w:val="000C0F85"/>
    <w:rsid w:val="000C32AB"/>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923"/>
    <w:rsid w:val="001C7C4F"/>
    <w:rsid w:val="001D35B4"/>
    <w:rsid w:val="001D5341"/>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659F"/>
    <w:rsid w:val="00212D65"/>
    <w:rsid w:val="00213214"/>
    <w:rsid w:val="00215586"/>
    <w:rsid w:val="00215685"/>
    <w:rsid w:val="002164A5"/>
    <w:rsid w:val="0021784F"/>
    <w:rsid w:val="00217E9A"/>
    <w:rsid w:val="00223A6E"/>
    <w:rsid w:val="002246AA"/>
    <w:rsid w:val="0022509F"/>
    <w:rsid w:val="00226E2C"/>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4532"/>
    <w:rsid w:val="00265791"/>
    <w:rsid w:val="002657C3"/>
    <w:rsid w:val="00266EA3"/>
    <w:rsid w:val="002672A0"/>
    <w:rsid w:val="0026762F"/>
    <w:rsid w:val="002762EF"/>
    <w:rsid w:val="00277F37"/>
    <w:rsid w:val="00290153"/>
    <w:rsid w:val="00290B0D"/>
    <w:rsid w:val="00293EE2"/>
    <w:rsid w:val="00294794"/>
    <w:rsid w:val="00296513"/>
    <w:rsid w:val="002A08F4"/>
    <w:rsid w:val="002A0C1A"/>
    <w:rsid w:val="002A1682"/>
    <w:rsid w:val="002A279D"/>
    <w:rsid w:val="002A5E49"/>
    <w:rsid w:val="002A6857"/>
    <w:rsid w:val="002A6BE6"/>
    <w:rsid w:val="002A779F"/>
    <w:rsid w:val="002B1AB7"/>
    <w:rsid w:val="002B2BA0"/>
    <w:rsid w:val="002B37FF"/>
    <w:rsid w:val="002B3AEF"/>
    <w:rsid w:val="002B3EC5"/>
    <w:rsid w:val="002C09CE"/>
    <w:rsid w:val="002C35DA"/>
    <w:rsid w:val="002C3CED"/>
    <w:rsid w:val="002C3EC4"/>
    <w:rsid w:val="002C424E"/>
    <w:rsid w:val="002C58F9"/>
    <w:rsid w:val="002C7AC2"/>
    <w:rsid w:val="002D0D7C"/>
    <w:rsid w:val="002D15F8"/>
    <w:rsid w:val="002D1C12"/>
    <w:rsid w:val="002D2966"/>
    <w:rsid w:val="002D3C68"/>
    <w:rsid w:val="002D6A6F"/>
    <w:rsid w:val="002D6B01"/>
    <w:rsid w:val="002D73C8"/>
    <w:rsid w:val="002D7866"/>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1E55"/>
    <w:rsid w:val="003A22CE"/>
    <w:rsid w:val="003A36B1"/>
    <w:rsid w:val="003A4CA6"/>
    <w:rsid w:val="003A6071"/>
    <w:rsid w:val="003A775A"/>
    <w:rsid w:val="003B4C3A"/>
    <w:rsid w:val="003B6654"/>
    <w:rsid w:val="003B6FA3"/>
    <w:rsid w:val="003B759D"/>
    <w:rsid w:val="003C3462"/>
    <w:rsid w:val="003C354F"/>
    <w:rsid w:val="003C4CB4"/>
    <w:rsid w:val="003C6308"/>
    <w:rsid w:val="003D0166"/>
    <w:rsid w:val="003D0A03"/>
    <w:rsid w:val="003D2F45"/>
    <w:rsid w:val="003D3D04"/>
    <w:rsid w:val="003D6D88"/>
    <w:rsid w:val="003D7E7E"/>
    <w:rsid w:val="003E0680"/>
    <w:rsid w:val="003E1762"/>
    <w:rsid w:val="003E2928"/>
    <w:rsid w:val="003E4360"/>
    <w:rsid w:val="003E5900"/>
    <w:rsid w:val="003F1A42"/>
    <w:rsid w:val="003F1DE7"/>
    <w:rsid w:val="0040093C"/>
    <w:rsid w:val="00401AAC"/>
    <w:rsid w:val="00405BA0"/>
    <w:rsid w:val="00406A84"/>
    <w:rsid w:val="004107A8"/>
    <w:rsid w:val="00411385"/>
    <w:rsid w:val="00411F6C"/>
    <w:rsid w:val="0041427F"/>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09C"/>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E4951"/>
    <w:rsid w:val="004E5C87"/>
    <w:rsid w:val="004E69C4"/>
    <w:rsid w:val="004E6ED8"/>
    <w:rsid w:val="004E6FF7"/>
    <w:rsid w:val="004F0640"/>
    <w:rsid w:val="004F0DE1"/>
    <w:rsid w:val="004F4224"/>
    <w:rsid w:val="004F4FD5"/>
    <w:rsid w:val="004F797C"/>
    <w:rsid w:val="00500A08"/>
    <w:rsid w:val="0050312D"/>
    <w:rsid w:val="00503DFE"/>
    <w:rsid w:val="00507B43"/>
    <w:rsid w:val="005114F4"/>
    <w:rsid w:val="005122B1"/>
    <w:rsid w:val="00523739"/>
    <w:rsid w:val="00523D8F"/>
    <w:rsid w:val="00524164"/>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F99"/>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1DB4"/>
    <w:rsid w:val="005A26D3"/>
    <w:rsid w:val="005A5580"/>
    <w:rsid w:val="005B0B70"/>
    <w:rsid w:val="005B1BED"/>
    <w:rsid w:val="005B37DF"/>
    <w:rsid w:val="005B3E0F"/>
    <w:rsid w:val="005B5732"/>
    <w:rsid w:val="005B5C31"/>
    <w:rsid w:val="005B602F"/>
    <w:rsid w:val="005C11A2"/>
    <w:rsid w:val="005C3207"/>
    <w:rsid w:val="005C3D81"/>
    <w:rsid w:val="005C6A88"/>
    <w:rsid w:val="005C726B"/>
    <w:rsid w:val="005D5E7E"/>
    <w:rsid w:val="005D7D84"/>
    <w:rsid w:val="005E040B"/>
    <w:rsid w:val="005E1FF6"/>
    <w:rsid w:val="005E2C9A"/>
    <w:rsid w:val="005E4F4E"/>
    <w:rsid w:val="005E6280"/>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678D"/>
    <w:rsid w:val="00620005"/>
    <w:rsid w:val="0062166E"/>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5B80"/>
    <w:rsid w:val="0066218F"/>
    <w:rsid w:val="006621C9"/>
    <w:rsid w:val="00662F5A"/>
    <w:rsid w:val="006707D5"/>
    <w:rsid w:val="006800F5"/>
    <w:rsid w:val="00681702"/>
    <w:rsid w:val="006818EE"/>
    <w:rsid w:val="00682371"/>
    <w:rsid w:val="006826BD"/>
    <w:rsid w:val="006837AD"/>
    <w:rsid w:val="006853AD"/>
    <w:rsid w:val="00686260"/>
    <w:rsid w:val="00686F7D"/>
    <w:rsid w:val="00687143"/>
    <w:rsid w:val="00687251"/>
    <w:rsid w:val="00690F87"/>
    <w:rsid w:val="00691D33"/>
    <w:rsid w:val="0069366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6E37"/>
    <w:rsid w:val="006C7A2F"/>
    <w:rsid w:val="006D3686"/>
    <w:rsid w:val="006D5B49"/>
    <w:rsid w:val="006D71D2"/>
    <w:rsid w:val="006E19FF"/>
    <w:rsid w:val="006E2EBD"/>
    <w:rsid w:val="006E3E83"/>
    <w:rsid w:val="006E62F5"/>
    <w:rsid w:val="006F2F18"/>
    <w:rsid w:val="006F5DA4"/>
    <w:rsid w:val="00700F46"/>
    <w:rsid w:val="00702764"/>
    <w:rsid w:val="0070321F"/>
    <w:rsid w:val="0070364F"/>
    <w:rsid w:val="00703F2F"/>
    <w:rsid w:val="0070506C"/>
    <w:rsid w:val="00706E8C"/>
    <w:rsid w:val="00707CC8"/>
    <w:rsid w:val="00711AD1"/>
    <w:rsid w:val="007120C8"/>
    <w:rsid w:val="00712370"/>
    <w:rsid w:val="00716479"/>
    <w:rsid w:val="007201E1"/>
    <w:rsid w:val="007203AA"/>
    <w:rsid w:val="00720D28"/>
    <w:rsid w:val="00720FC2"/>
    <w:rsid w:val="00721024"/>
    <w:rsid w:val="0072352D"/>
    <w:rsid w:val="007249A1"/>
    <w:rsid w:val="00727323"/>
    <w:rsid w:val="00730402"/>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2DD0"/>
    <w:rsid w:val="007641C5"/>
    <w:rsid w:val="007647DB"/>
    <w:rsid w:val="00764FE9"/>
    <w:rsid w:val="00771E34"/>
    <w:rsid w:val="00772CAB"/>
    <w:rsid w:val="00775348"/>
    <w:rsid w:val="007810CA"/>
    <w:rsid w:val="007814D7"/>
    <w:rsid w:val="00781B20"/>
    <w:rsid w:val="00782C83"/>
    <w:rsid w:val="0078314C"/>
    <w:rsid w:val="00785E23"/>
    <w:rsid w:val="0078732E"/>
    <w:rsid w:val="00787E00"/>
    <w:rsid w:val="00792106"/>
    <w:rsid w:val="007930FF"/>
    <w:rsid w:val="0079426F"/>
    <w:rsid w:val="0079570B"/>
    <w:rsid w:val="007967D5"/>
    <w:rsid w:val="007A1445"/>
    <w:rsid w:val="007A4799"/>
    <w:rsid w:val="007B2C07"/>
    <w:rsid w:val="007B2CFB"/>
    <w:rsid w:val="007B503E"/>
    <w:rsid w:val="007B5257"/>
    <w:rsid w:val="007B559F"/>
    <w:rsid w:val="007B5FF3"/>
    <w:rsid w:val="007B6CED"/>
    <w:rsid w:val="007C1810"/>
    <w:rsid w:val="007C2A63"/>
    <w:rsid w:val="007C2E3C"/>
    <w:rsid w:val="007C3CFF"/>
    <w:rsid w:val="007C5EE2"/>
    <w:rsid w:val="007C6375"/>
    <w:rsid w:val="007C67C5"/>
    <w:rsid w:val="007C6859"/>
    <w:rsid w:val="007C7796"/>
    <w:rsid w:val="007D45C1"/>
    <w:rsid w:val="007E06D9"/>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505B"/>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3E1A"/>
    <w:rsid w:val="00846CEA"/>
    <w:rsid w:val="00850744"/>
    <w:rsid w:val="00854FEF"/>
    <w:rsid w:val="0085531E"/>
    <w:rsid w:val="00857A1D"/>
    <w:rsid w:val="00857F99"/>
    <w:rsid w:val="00863F2B"/>
    <w:rsid w:val="00867323"/>
    <w:rsid w:val="00870159"/>
    <w:rsid w:val="008714A9"/>
    <w:rsid w:val="00872D62"/>
    <w:rsid w:val="008735F2"/>
    <w:rsid w:val="00874E27"/>
    <w:rsid w:val="00881805"/>
    <w:rsid w:val="00884822"/>
    <w:rsid w:val="00885DB9"/>
    <w:rsid w:val="00886487"/>
    <w:rsid w:val="008916D5"/>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FEA"/>
    <w:rsid w:val="008C14BA"/>
    <w:rsid w:val="008C23C6"/>
    <w:rsid w:val="008C4E92"/>
    <w:rsid w:val="008D0943"/>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5491"/>
    <w:rsid w:val="009055F5"/>
    <w:rsid w:val="009111AE"/>
    <w:rsid w:val="009115C0"/>
    <w:rsid w:val="00912721"/>
    <w:rsid w:val="009141E9"/>
    <w:rsid w:val="00914ACB"/>
    <w:rsid w:val="00915594"/>
    <w:rsid w:val="00915FEF"/>
    <w:rsid w:val="00917025"/>
    <w:rsid w:val="009200F5"/>
    <w:rsid w:val="009210FB"/>
    <w:rsid w:val="00921659"/>
    <w:rsid w:val="00922F95"/>
    <w:rsid w:val="009268E3"/>
    <w:rsid w:val="00926F40"/>
    <w:rsid w:val="00927571"/>
    <w:rsid w:val="00927DB5"/>
    <w:rsid w:val="009301D9"/>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A0D"/>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9500C"/>
    <w:rsid w:val="009A0835"/>
    <w:rsid w:val="009A1ECC"/>
    <w:rsid w:val="009A27C1"/>
    <w:rsid w:val="009A29EB"/>
    <w:rsid w:val="009A716B"/>
    <w:rsid w:val="009B06F2"/>
    <w:rsid w:val="009B22F4"/>
    <w:rsid w:val="009B324F"/>
    <w:rsid w:val="009B3CAF"/>
    <w:rsid w:val="009B4606"/>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7D10"/>
    <w:rsid w:val="009D7F8F"/>
    <w:rsid w:val="009E433C"/>
    <w:rsid w:val="009E4E67"/>
    <w:rsid w:val="009E4FFA"/>
    <w:rsid w:val="009E50D2"/>
    <w:rsid w:val="009F0176"/>
    <w:rsid w:val="009F46E4"/>
    <w:rsid w:val="009F5723"/>
    <w:rsid w:val="009F5FF5"/>
    <w:rsid w:val="009F7AA2"/>
    <w:rsid w:val="00A00EA3"/>
    <w:rsid w:val="00A031B8"/>
    <w:rsid w:val="00A031CE"/>
    <w:rsid w:val="00A041FF"/>
    <w:rsid w:val="00A045F3"/>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5784"/>
    <w:rsid w:val="00A56E1E"/>
    <w:rsid w:val="00A620E0"/>
    <w:rsid w:val="00A62C23"/>
    <w:rsid w:val="00A62E03"/>
    <w:rsid w:val="00A65180"/>
    <w:rsid w:val="00A6554D"/>
    <w:rsid w:val="00A678A9"/>
    <w:rsid w:val="00A702D0"/>
    <w:rsid w:val="00A70310"/>
    <w:rsid w:val="00A7094B"/>
    <w:rsid w:val="00A70E1F"/>
    <w:rsid w:val="00A71418"/>
    <w:rsid w:val="00A74039"/>
    <w:rsid w:val="00A7527D"/>
    <w:rsid w:val="00A7533B"/>
    <w:rsid w:val="00A75A21"/>
    <w:rsid w:val="00A76B93"/>
    <w:rsid w:val="00A76D49"/>
    <w:rsid w:val="00A80230"/>
    <w:rsid w:val="00A80A6B"/>
    <w:rsid w:val="00A81CDC"/>
    <w:rsid w:val="00A86633"/>
    <w:rsid w:val="00A87C0C"/>
    <w:rsid w:val="00A91F03"/>
    <w:rsid w:val="00A93719"/>
    <w:rsid w:val="00A93BE1"/>
    <w:rsid w:val="00AA0139"/>
    <w:rsid w:val="00AA2D0B"/>
    <w:rsid w:val="00AA3E09"/>
    <w:rsid w:val="00AA6914"/>
    <w:rsid w:val="00AB2538"/>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6B0F"/>
    <w:rsid w:val="00AF7961"/>
    <w:rsid w:val="00B00BD6"/>
    <w:rsid w:val="00B03263"/>
    <w:rsid w:val="00B03E68"/>
    <w:rsid w:val="00B04140"/>
    <w:rsid w:val="00B0451D"/>
    <w:rsid w:val="00B06B34"/>
    <w:rsid w:val="00B10A98"/>
    <w:rsid w:val="00B11DC2"/>
    <w:rsid w:val="00B15E98"/>
    <w:rsid w:val="00B22209"/>
    <w:rsid w:val="00B243E7"/>
    <w:rsid w:val="00B24BA8"/>
    <w:rsid w:val="00B30DCA"/>
    <w:rsid w:val="00B31FA4"/>
    <w:rsid w:val="00B32593"/>
    <w:rsid w:val="00B33D1A"/>
    <w:rsid w:val="00B35406"/>
    <w:rsid w:val="00B40D00"/>
    <w:rsid w:val="00B41183"/>
    <w:rsid w:val="00B41877"/>
    <w:rsid w:val="00B41880"/>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618"/>
    <w:rsid w:val="00B73C5B"/>
    <w:rsid w:val="00B74AEA"/>
    <w:rsid w:val="00B74DB4"/>
    <w:rsid w:val="00B773AD"/>
    <w:rsid w:val="00B81AC3"/>
    <w:rsid w:val="00B81B71"/>
    <w:rsid w:val="00B8228C"/>
    <w:rsid w:val="00B869B2"/>
    <w:rsid w:val="00B92CB6"/>
    <w:rsid w:val="00B9386C"/>
    <w:rsid w:val="00B9726E"/>
    <w:rsid w:val="00BA0CF6"/>
    <w:rsid w:val="00BA0ECA"/>
    <w:rsid w:val="00BA0F63"/>
    <w:rsid w:val="00BA13B1"/>
    <w:rsid w:val="00BA4397"/>
    <w:rsid w:val="00BA43ED"/>
    <w:rsid w:val="00BA6000"/>
    <w:rsid w:val="00BA675C"/>
    <w:rsid w:val="00BA6966"/>
    <w:rsid w:val="00BA6BC0"/>
    <w:rsid w:val="00BB35D2"/>
    <w:rsid w:val="00BB37DB"/>
    <w:rsid w:val="00BB7467"/>
    <w:rsid w:val="00BC19D4"/>
    <w:rsid w:val="00BC2697"/>
    <w:rsid w:val="00BC5612"/>
    <w:rsid w:val="00BC6BB8"/>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7DEA"/>
    <w:rsid w:val="00C620BD"/>
    <w:rsid w:val="00C65114"/>
    <w:rsid w:val="00C70306"/>
    <w:rsid w:val="00C7196E"/>
    <w:rsid w:val="00C71FA8"/>
    <w:rsid w:val="00C736EE"/>
    <w:rsid w:val="00C73B10"/>
    <w:rsid w:val="00C77314"/>
    <w:rsid w:val="00C81158"/>
    <w:rsid w:val="00C8151C"/>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3AD"/>
    <w:rsid w:val="00D617A3"/>
    <w:rsid w:val="00D628AE"/>
    <w:rsid w:val="00D631B3"/>
    <w:rsid w:val="00D63C00"/>
    <w:rsid w:val="00D64A44"/>
    <w:rsid w:val="00D6607A"/>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2DDA"/>
    <w:rsid w:val="00DB5613"/>
    <w:rsid w:val="00DC2EFC"/>
    <w:rsid w:val="00DC32D3"/>
    <w:rsid w:val="00DC558D"/>
    <w:rsid w:val="00DC68D0"/>
    <w:rsid w:val="00DC6F19"/>
    <w:rsid w:val="00DD2074"/>
    <w:rsid w:val="00DD4373"/>
    <w:rsid w:val="00DD48B2"/>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20CD7"/>
    <w:rsid w:val="00E2137A"/>
    <w:rsid w:val="00E22087"/>
    <w:rsid w:val="00E24EE5"/>
    <w:rsid w:val="00E2582C"/>
    <w:rsid w:val="00E25F4F"/>
    <w:rsid w:val="00E27F95"/>
    <w:rsid w:val="00E31204"/>
    <w:rsid w:val="00E33125"/>
    <w:rsid w:val="00E3336B"/>
    <w:rsid w:val="00E33A40"/>
    <w:rsid w:val="00E340D0"/>
    <w:rsid w:val="00E3640B"/>
    <w:rsid w:val="00E37F93"/>
    <w:rsid w:val="00E4116A"/>
    <w:rsid w:val="00E44B5E"/>
    <w:rsid w:val="00E47D54"/>
    <w:rsid w:val="00E52128"/>
    <w:rsid w:val="00E5285A"/>
    <w:rsid w:val="00E52F8F"/>
    <w:rsid w:val="00E530DB"/>
    <w:rsid w:val="00E56FE6"/>
    <w:rsid w:val="00E6047E"/>
    <w:rsid w:val="00E60B3D"/>
    <w:rsid w:val="00E64DB8"/>
    <w:rsid w:val="00E7056F"/>
    <w:rsid w:val="00E73BFF"/>
    <w:rsid w:val="00E753C1"/>
    <w:rsid w:val="00E75CEC"/>
    <w:rsid w:val="00E84975"/>
    <w:rsid w:val="00E84D97"/>
    <w:rsid w:val="00E84F3C"/>
    <w:rsid w:val="00E852C3"/>
    <w:rsid w:val="00E8596F"/>
    <w:rsid w:val="00E86416"/>
    <w:rsid w:val="00E86AA0"/>
    <w:rsid w:val="00E87037"/>
    <w:rsid w:val="00E90319"/>
    <w:rsid w:val="00E92969"/>
    <w:rsid w:val="00E975F7"/>
    <w:rsid w:val="00E97DE2"/>
    <w:rsid w:val="00EA27E2"/>
    <w:rsid w:val="00EA3F6A"/>
    <w:rsid w:val="00EA43B0"/>
    <w:rsid w:val="00EB01FC"/>
    <w:rsid w:val="00EB3A88"/>
    <w:rsid w:val="00EB7973"/>
    <w:rsid w:val="00EC0B60"/>
    <w:rsid w:val="00EC0E60"/>
    <w:rsid w:val="00EC4A8C"/>
    <w:rsid w:val="00EC729F"/>
    <w:rsid w:val="00ED0258"/>
    <w:rsid w:val="00ED25D9"/>
    <w:rsid w:val="00ED4267"/>
    <w:rsid w:val="00EE28E9"/>
    <w:rsid w:val="00EE2FA5"/>
    <w:rsid w:val="00EE7D45"/>
    <w:rsid w:val="00EF06D5"/>
    <w:rsid w:val="00EF16FF"/>
    <w:rsid w:val="00EF1A7E"/>
    <w:rsid w:val="00EF2E78"/>
    <w:rsid w:val="00EF3871"/>
    <w:rsid w:val="00EF5E33"/>
    <w:rsid w:val="00EF78D5"/>
    <w:rsid w:val="00F014E1"/>
    <w:rsid w:val="00F02EA2"/>
    <w:rsid w:val="00F032D8"/>
    <w:rsid w:val="00F04ACB"/>
    <w:rsid w:val="00F05473"/>
    <w:rsid w:val="00F11C6F"/>
    <w:rsid w:val="00F141CD"/>
    <w:rsid w:val="00F14D42"/>
    <w:rsid w:val="00F15BFD"/>
    <w:rsid w:val="00F1600B"/>
    <w:rsid w:val="00F16668"/>
    <w:rsid w:val="00F16E05"/>
    <w:rsid w:val="00F20095"/>
    <w:rsid w:val="00F23A76"/>
    <w:rsid w:val="00F32A89"/>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2A46"/>
    <w:rsid w:val="00F74212"/>
    <w:rsid w:val="00F74B67"/>
    <w:rsid w:val="00F8120F"/>
    <w:rsid w:val="00F8546C"/>
    <w:rsid w:val="00F8647B"/>
    <w:rsid w:val="00F87FDA"/>
    <w:rsid w:val="00F90D8C"/>
    <w:rsid w:val="00F943A7"/>
    <w:rsid w:val="00F9459C"/>
    <w:rsid w:val="00F975AF"/>
    <w:rsid w:val="00FA3829"/>
    <w:rsid w:val="00FA4347"/>
    <w:rsid w:val="00FA7B60"/>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E6DC4"/>
    <w:rsid w:val="00FF0078"/>
    <w:rsid w:val="00FF044C"/>
    <w:rsid w:val="00FF1710"/>
    <w:rsid w:val="00FF1A31"/>
    <w:rsid w:val="00FF373D"/>
    <w:rsid w:val="00FF4316"/>
    <w:rsid w:val="00FF4F0F"/>
    <w:rsid w:val="00FF62DE"/>
    <w:rsid w:val="03196F07"/>
    <w:rsid w:val="03AC38D7"/>
    <w:rsid w:val="04F63615"/>
    <w:rsid w:val="070E6657"/>
    <w:rsid w:val="07ED0962"/>
    <w:rsid w:val="0903401E"/>
    <w:rsid w:val="0FCA3251"/>
    <w:rsid w:val="111903F1"/>
    <w:rsid w:val="114E372E"/>
    <w:rsid w:val="127B54E8"/>
    <w:rsid w:val="14F11A91"/>
    <w:rsid w:val="15791A87"/>
    <w:rsid w:val="187D6D4E"/>
    <w:rsid w:val="1BAF7FB0"/>
    <w:rsid w:val="204F3443"/>
    <w:rsid w:val="23297026"/>
    <w:rsid w:val="23887A65"/>
    <w:rsid w:val="2460453E"/>
    <w:rsid w:val="2C8E59C0"/>
    <w:rsid w:val="2CF00429"/>
    <w:rsid w:val="2D483DC1"/>
    <w:rsid w:val="311566B0"/>
    <w:rsid w:val="356E638F"/>
    <w:rsid w:val="377558B3"/>
    <w:rsid w:val="3AF235BE"/>
    <w:rsid w:val="3C642299"/>
    <w:rsid w:val="3F571ED0"/>
    <w:rsid w:val="3F93711E"/>
    <w:rsid w:val="3FB02CC0"/>
    <w:rsid w:val="44FF7003"/>
    <w:rsid w:val="472B2331"/>
    <w:rsid w:val="4F840831"/>
    <w:rsid w:val="4F96674D"/>
    <w:rsid w:val="52A35472"/>
    <w:rsid w:val="572B1A69"/>
    <w:rsid w:val="58431C43"/>
    <w:rsid w:val="588875E4"/>
    <w:rsid w:val="58F307D5"/>
    <w:rsid w:val="5EA35187"/>
    <w:rsid w:val="614222FA"/>
    <w:rsid w:val="622D2FAA"/>
    <w:rsid w:val="686B65DA"/>
    <w:rsid w:val="68D00FC0"/>
    <w:rsid w:val="6A420314"/>
    <w:rsid w:val="6F3941EE"/>
    <w:rsid w:val="70244AC7"/>
    <w:rsid w:val="72EC0317"/>
    <w:rsid w:val="76BA928E"/>
    <w:rsid w:val="771C20E9"/>
    <w:rsid w:val="777E63ED"/>
    <w:rsid w:val="7A5C5D83"/>
    <w:rsid w:val="7C961A20"/>
    <w:rsid w:val="7DC7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adjustRightInd w:val="0"/>
      <w:jc w:val="left"/>
      <w:outlineLvl w:val="0"/>
    </w:pPr>
    <w:rPr>
      <w:kern w:val="0"/>
      <w:sz w:val="24"/>
      <w:szCs w:val="2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6"/>
    <w:qFormat/>
    <w:uiPriority w:val="0"/>
    <w:pPr>
      <w:keepNext/>
      <w:keepLines/>
      <w:spacing w:before="260" w:after="260" w:line="415" w:lineRule="auto"/>
      <w:outlineLvl w:val="2"/>
    </w:pPr>
    <w:rPr>
      <w:b/>
      <w:bCs/>
      <w:kern w:val="0"/>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 w:val="24"/>
      <w:szCs w:val="22"/>
      <w:lang w:val="zh-CN"/>
    </w:rPr>
  </w:style>
  <w:style w:type="paragraph" w:styleId="6">
    <w:name w:val="Normal Indent"/>
    <w:basedOn w:val="1"/>
    <w:qFormat/>
    <w:uiPriority w:val="0"/>
    <w:pPr>
      <w:ind w:firstLine="420"/>
    </w:pPr>
  </w:style>
  <w:style w:type="paragraph" w:styleId="7">
    <w:name w:val="annotation text"/>
    <w:basedOn w:val="1"/>
    <w:link w:val="74"/>
    <w:semiHidden/>
    <w:unhideWhenUsed/>
    <w:qFormat/>
    <w:uiPriority w:val="99"/>
    <w:pPr>
      <w:jc w:val="left"/>
    </w:pPr>
  </w:style>
  <w:style w:type="paragraph" w:styleId="8">
    <w:name w:val="Body Text"/>
    <w:basedOn w:val="1"/>
    <w:next w:val="1"/>
    <w:qFormat/>
    <w:uiPriority w:val="99"/>
    <w:pPr>
      <w:spacing w:after="120"/>
    </w:pPr>
  </w:style>
  <w:style w:type="paragraph" w:styleId="9">
    <w:name w:val="Body Text Indent 2"/>
    <w:basedOn w:val="1"/>
    <w:link w:val="34"/>
    <w:qFormat/>
    <w:uiPriority w:val="0"/>
    <w:pPr>
      <w:tabs>
        <w:tab w:val="left" w:pos="360"/>
      </w:tabs>
      <w:spacing w:line="560" w:lineRule="atLeast"/>
      <w:ind w:left="-105" w:firstLine="465"/>
    </w:pPr>
    <w:rPr>
      <w:rFonts w:ascii="宋体"/>
      <w:sz w:val="28"/>
      <w:lang w:val="zh-CN"/>
    </w:rPr>
  </w:style>
  <w:style w:type="paragraph" w:styleId="10">
    <w:name w:val="Balloon Text"/>
    <w:basedOn w:val="1"/>
    <w:link w:val="29"/>
    <w:qFormat/>
    <w:uiPriority w:val="99"/>
    <w:rPr>
      <w:sz w:val="18"/>
      <w:szCs w:val="18"/>
      <w:lang w:val="zh-CN"/>
    </w:rPr>
  </w:style>
  <w:style w:type="paragraph" w:styleId="11">
    <w:name w:val="footer"/>
    <w:basedOn w:val="1"/>
    <w:link w:val="28"/>
    <w:qFormat/>
    <w:uiPriority w:val="99"/>
    <w:pPr>
      <w:tabs>
        <w:tab w:val="center" w:pos="4153"/>
        <w:tab w:val="right" w:pos="8306"/>
      </w:tabs>
      <w:snapToGrid w:val="0"/>
      <w:jc w:val="left"/>
    </w:pPr>
    <w:rPr>
      <w:kern w:val="0"/>
      <w:sz w:val="18"/>
      <w:szCs w:val="18"/>
      <w:lang w:val="zh-CN"/>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qFormat/>
    <w:uiPriority w:val="0"/>
    <w:pPr>
      <w:tabs>
        <w:tab w:val="right" w:leader="middleDot" w:pos="8302"/>
      </w:tabs>
      <w:spacing w:line="360" w:lineRule="auto"/>
    </w:pPr>
  </w:style>
  <w:style w:type="paragraph" w:styleId="14">
    <w:name w:val="Subtitle"/>
    <w:basedOn w:val="1"/>
    <w:next w:val="1"/>
    <w:link w:val="33"/>
    <w:qFormat/>
    <w:uiPriority w:val="11"/>
    <w:pPr>
      <w:spacing w:before="240" w:after="60" w:line="312" w:lineRule="auto"/>
      <w:jc w:val="center"/>
      <w:outlineLvl w:val="1"/>
    </w:pPr>
    <w:rPr>
      <w:rFonts w:ascii="Cambria" w:hAnsi="Cambria"/>
      <w:b/>
      <w:bCs/>
      <w:kern w:val="28"/>
      <w:sz w:val="32"/>
      <w:szCs w:val="32"/>
      <w:lang w:val="zh-CN"/>
    </w:rPr>
  </w:style>
  <w:style w:type="paragraph" w:styleId="15">
    <w:name w:val="Body Text Indent 3"/>
    <w:basedOn w:val="1"/>
    <w:link w:val="35"/>
    <w:qFormat/>
    <w:uiPriority w:val="0"/>
    <w:pPr>
      <w:tabs>
        <w:tab w:val="left" w:pos="360"/>
      </w:tabs>
      <w:spacing w:line="560" w:lineRule="exact"/>
      <w:ind w:firstLine="360"/>
    </w:pPr>
    <w:rPr>
      <w:rFonts w:ascii="宋体"/>
      <w:sz w:val="24"/>
      <w:lang w:val="zh-CN"/>
    </w:rPr>
  </w:style>
  <w:style w:type="paragraph" w:styleId="16">
    <w:name w:val="Body Text 2"/>
    <w:basedOn w:val="1"/>
    <w:link w:val="73"/>
    <w:semiHidden/>
    <w:unhideWhenUsed/>
    <w:qFormat/>
    <w:uiPriority w:val="99"/>
    <w:pPr>
      <w:spacing w:after="120" w:line="480" w:lineRule="auto"/>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75"/>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Emphasis"/>
    <w:qFormat/>
    <w:uiPriority w:val="20"/>
    <w:rPr>
      <w:i/>
      <w:iCs/>
    </w:rPr>
  </w:style>
  <w:style w:type="character" w:styleId="24">
    <w:name w:val="Hyperlink"/>
    <w:qFormat/>
    <w:uiPriority w:val="0"/>
    <w:rPr>
      <w:rFonts w:hint="default" w:ascii="ˎ̥" w:hAnsi="ˎ̥"/>
      <w:color w:val="3E3E3E"/>
      <w:sz w:val="24"/>
      <w:szCs w:val="24"/>
      <w:u w:val="none"/>
    </w:rPr>
  </w:style>
  <w:style w:type="character" w:styleId="25">
    <w:name w:val="annotation reference"/>
    <w:basedOn w:val="21"/>
    <w:semiHidden/>
    <w:unhideWhenUsed/>
    <w:qFormat/>
    <w:uiPriority w:val="99"/>
    <w:rPr>
      <w:sz w:val="21"/>
      <w:szCs w:val="21"/>
    </w:rPr>
  </w:style>
  <w:style w:type="character" w:customStyle="1" w:styleId="26">
    <w:name w:val="标题 3 字符"/>
    <w:link w:val="5"/>
    <w:qFormat/>
    <w:uiPriority w:val="0"/>
    <w:rPr>
      <w:rFonts w:ascii="Times New Roman" w:hAnsi="Times New Roman" w:eastAsia="宋体" w:cs="Times New Roman"/>
      <w:b/>
      <w:bCs/>
      <w:sz w:val="32"/>
      <w:szCs w:val="32"/>
    </w:rPr>
  </w:style>
  <w:style w:type="character" w:customStyle="1" w:styleId="27">
    <w:name w:val="页眉 字符"/>
    <w:link w:val="12"/>
    <w:qFormat/>
    <w:uiPriority w:val="99"/>
    <w:rPr>
      <w:rFonts w:ascii="Times New Roman" w:hAnsi="Times New Roman" w:eastAsia="宋体" w:cs="Times New Roman"/>
      <w:sz w:val="18"/>
      <w:szCs w:val="18"/>
    </w:rPr>
  </w:style>
  <w:style w:type="character" w:customStyle="1" w:styleId="28">
    <w:name w:val="页脚 字符"/>
    <w:link w:val="11"/>
    <w:qFormat/>
    <w:uiPriority w:val="99"/>
    <w:rPr>
      <w:rFonts w:ascii="Times New Roman" w:hAnsi="Times New Roman" w:eastAsia="宋体" w:cs="Times New Roman"/>
      <w:sz w:val="18"/>
      <w:szCs w:val="18"/>
    </w:rPr>
  </w:style>
  <w:style w:type="character" w:customStyle="1" w:styleId="29">
    <w:name w:val="批注框文本 字符"/>
    <w:link w:val="10"/>
    <w:qFormat/>
    <w:uiPriority w:val="99"/>
    <w:rPr>
      <w:rFonts w:ascii="Times New Roman" w:hAnsi="Times New Roman"/>
      <w:kern w:val="2"/>
      <w:sz w:val="18"/>
      <w:szCs w:val="18"/>
    </w:rPr>
  </w:style>
  <w:style w:type="paragraph" w:customStyle="1" w:styleId="30">
    <w:name w:val="Char"/>
    <w:basedOn w:val="1"/>
    <w:qFormat/>
    <w:uiPriority w:val="0"/>
  </w:style>
  <w:style w:type="paragraph" w:customStyle="1" w:styleId="31">
    <w:name w:val="Default"/>
    <w:link w:val="76"/>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2">
    <w:name w:val="列出段落1"/>
    <w:basedOn w:val="1"/>
    <w:qFormat/>
    <w:uiPriority w:val="0"/>
    <w:pPr>
      <w:ind w:firstLine="420" w:firstLineChars="200"/>
    </w:pPr>
    <w:rPr>
      <w:rFonts w:ascii="Calibri" w:hAnsi="Calibri" w:cs="黑体"/>
      <w:szCs w:val="22"/>
    </w:rPr>
  </w:style>
  <w:style w:type="character" w:customStyle="1" w:styleId="33">
    <w:name w:val="副标题 字符"/>
    <w:link w:val="14"/>
    <w:qFormat/>
    <w:uiPriority w:val="11"/>
    <w:rPr>
      <w:rFonts w:ascii="Cambria" w:hAnsi="Cambria" w:cs="Times New Roman"/>
      <w:b/>
      <w:bCs/>
      <w:kern w:val="28"/>
      <w:sz w:val="32"/>
      <w:szCs w:val="32"/>
    </w:rPr>
  </w:style>
  <w:style w:type="character" w:customStyle="1" w:styleId="34">
    <w:name w:val="正文文本缩进 2 字符"/>
    <w:link w:val="9"/>
    <w:qFormat/>
    <w:uiPriority w:val="0"/>
    <w:rPr>
      <w:rFonts w:ascii="宋体" w:hAnsi="Times New Roman"/>
      <w:kern w:val="2"/>
      <w:sz w:val="28"/>
    </w:rPr>
  </w:style>
  <w:style w:type="character" w:customStyle="1" w:styleId="35">
    <w:name w:val="正文文本缩进 3 字符"/>
    <w:link w:val="15"/>
    <w:qFormat/>
    <w:uiPriority w:val="0"/>
    <w:rPr>
      <w:rFonts w:ascii="宋体" w:hAnsi="Times New Roman"/>
      <w:kern w:val="2"/>
      <w:sz w:val="24"/>
    </w:rPr>
  </w:style>
  <w:style w:type="paragraph" w:customStyle="1" w:styleId="36">
    <w:name w:val="Char1"/>
    <w:basedOn w:val="1"/>
    <w:qFormat/>
    <w:uiPriority w:val="0"/>
    <w:pPr>
      <w:tabs>
        <w:tab w:val="left" w:pos="360"/>
      </w:tabs>
    </w:pPr>
    <w:rPr>
      <w:sz w:val="24"/>
      <w:szCs w:val="24"/>
    </w:rPr>
  </w:style>
  <w:style w:type="character" w:customStyle="1" w:styleId="37">
    <w:name w:val="control-label6"/>
    <w:qFormat/>
    <w:uiPriority w:val="0"/>
    <w:rPr>
      <w:rFonts w:hint="eastAsia" w:ascii="微软雅黑" w:hAnsi="微软雅黑" w:eastAsia="微软雅黑"/>
    </w:rPr>
  </w:style>
  <w:style w:type="character" w:customStyle="1" w:styleId="38">
    <w:name w:val="apple-converted-space"/>
    <w:qFormat/>
    <w:uiPriority w:val="0"/>
  </w:style>
  <w:style w:type="paragraph" w:styleId="39">
    <w:name w:val="List Paragraph"/>
    <w:basedOn w:val="1"/>
    <w:link w:val="40"/>
    <w:qFormat/>
    <w:uiPriority w:val="34"/>
    <w:pPr>
      <w:ind w:firstLine="420" w:firstLineChars="200"/>
    </w:pPr>
    <w:rPr>
      <w:szCs w:val="24"/>
      <w:lang w:val="zh-CN"/>
    </w:rPr>
  </w:style>
  <w:style w:type="character" w:customStyle="1" w:styleId="40">
    <w:name w:val="列出段落 字符"/>
    <w:link w:val="39"/>
    <w:qFormat/>
    <w:uiPriority w:val="34"/>
    <w:rPr>
      <w:rFonts w:ascii="Times New Roman" w:hAnsi="Times New Roman"/>
      <w:kern w:val="2"/>
      <w:sz w:val="21"/>
      <w:szCs w:val="24"/>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3">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7">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8">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正文文本 2 字符"/>
    <w:basedOn w:val="21"/>
    <w:link w:val="16"/>
    <w:semiHidden/>
    <w:qFormat/>
    <w:uiPriority w:val="99"/>
    <w:rPr>
      <w:rFonts w:ascii="Times New Roman" w:hAnsi="Times New Roman"/>
      <w:kern w:val="2"/>
      <w:sz w:val="21"/>
    </w:rPr>
  </w:style>
  <w:style w:type="character" w:customStyle="1" w:styleId="74">
    <w:name w:val="批注文字 字符"/>
    <w:basedOn w:val="21"/>
    <w:link w:val="7"/>
    <w:semiHidden/>
    <w:qFormat/>
    <w:uiPriority w:val="99"/>
    <w:rPr>
      <w:rFonts w:ascii="Times New Roman" w:hAnsi="Times New Roman"/>
      <w:kern w:val="2"/>
      <w:sz w:val="21"/>
    </w:rPr>
  </w:style>
  <w:style w:type="character" w:customStyle="1" w:styleId="75">
    <w:name w:val="批注主题 字符"/>
    <w:basedOn w:val="74"/>
    <w:link w:val="18"/>
    <w:semiHidden/>
    <w:qFormat/>
    <w:uiPriority w:val="99"/>
    <w:rPr>
      <w:rFonts w:ascii="Times New Roman" w:hAnsi="Times New Roman"/>
      <w:b/>
      <w:bCs/>
      <w:kern w:val="2"/>
      <w:sz w:val="21"/>
    </w:rPr>
  </w:style>
  <w:style w:type="character" w:customStyle="1" w:styleId="76">
    <w:name w:val="Default Char"/>
    <w:link w:val="31"/>
    <w:qFormat/>
    <w:locked/>
    <w:uiPriority w:val="0"/>
    <w:rPr>
      <w:rFonts w:ascii="......." w:hAnsi="......." w:eastAsia="......." w:cs="......."/>
      <w:color w:val="000000"/>
      <w:sz w:val="24"/>
      <w:szCs w:val="24"/>
    </w:rPr>
  </w:style>
  <w:style w:type="character" w:customStyle="1" w:styleId="7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29001</Words>
  <Characters>30576</Characters>
  <Lines>239</Lines>
  <Paragraphs>67</Paragraphs>
  <TotalTime>44</TotalTime>
  <ScaleCrop>false</ScaleCrop>
  <LinksUpToDate>false</LinksUpToDate>
  <CharactersWithSpaces>31962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2023-04-17T15:51:00Z</dcterms:created>
  <dc:creator>未定义</dc:creator>
  <cp:lastModifiedBy>dell3</cp:lastModifiedBy>
  <cp:lastPrinted>2015-08-04T11:01:00Z</cp:lastPrinted>
  <dcterms:modified xsi:type="dcterms:W3CDTF">2023-04-25T02:01:15Z</dcterms:modified>
  <dc:title>2015年天津市政府债券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0023C45E3437451DA3DF2FE21593834B_12</vt:lpwstr>
  </property>
</Properties>
</file>