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D0" w:rsidRDefault="001C78D0" w:rsidP="001C78D0">
      <w:pPr>
        <w:widowControl/>
        <w:shd w:val="clear" w:color="auto" w:fill="FFFFFF"/>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商务局政府信息公开工作年度报告</w:t>
      </w:r>
    </w:p>
    <w:p w:rsidR="001C78D0" w:rsidRDefault="001C78D0" w:rsidP="001C78D0">
      <w:pPr>
        <w:widowControl/>
        <w:shd w:val="clear" w:color="auto" w:fill="FFFFFF"/>
        <w:spacing w:line="560" w:lineRule="exact"/>
        <w:ind w:firstLineChars="200" w:firstLine="640"/>
        <w:rPr>
          <w:rFonts w:ascii="仿宋_GB2312" w:eastAsia="仿宋_GB2312" w:hAnsi="仿宋_GB2312" w:cs="仿宋_GB2312"/>
          <w:kern w:val="0"/>
          <w:sz w:val="32"/>
          <w:szCs w:val="32"/>
        </w:rPr>
      </w:pPr>
      <w:bookmarkStart w:id="0" w:name="_GoBack"/>
      <w:bookmarkEnd w:id="0"/>
    </w:p>
    <w:p w:rsidR="001C78D0" w:rsidRDefault="001C78D0" w:rsidP="001C78D0">
      <w:pPr>
        <w:widowControl/>
        <w:shd w:val="clear" w:color="auto" w:fill="FFFFFF"/>
        <w:spacing w:line="560" w:lineRule="exact"/>
        <w:ind w:firstLineChars="200" w:firstLine="640"/>
        <w:rPr>
          <w:rFonts w:ascii="黑体" w:eastAsia="黑体" w:hAnsi="宋体" w:cs="宋体"/>
          <w:kern w:val="0"/>
          <w:sz w:val="32"/>
          <w:szCs w:val="32"/>
        </w:rPr>
      </w:pPr>
      <w:r>
        <w:rPr>
          <w:rFonts w:ascii="黑体" w:eastAsia="黑体" w:hAnsi="宋体" w:cs="宋体" w:hint="eastAsia"/>
          <w:bCs/>
          <w:kern w:val="0"/>
          <w:sz w:val="32"/>
          <w:szCs w:val="32"/>
        </w:rPr>
        <w:t>一、总体情况</w:t>
      </w:r>
    </w:p>
    <w:p w:rsidR="001C78D0" w:rsidRDefault="001C78D0" w:rsidP="001C78D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商务局认真贯彻落实《中华人民共和国政府信息公开条例》和区委、区政府统一部署，不断健全完善政务信息公开工作制度，扎实做好政务信息公开工作，切实保障人民群众的知情权、参与权、监督权和表达权。主要开展工作如下：</w:t>
      </w:r>
    </w:p>
    <w:p w:rsidR="001C78D0" w:rsidRDefault="001C78D0" w:rsidP="001C78D0">
      <w:pPr>
        <w:widowControl/>
        <w:shd w:val="clear" w:color="auto" w:fill="FFFFFF"/>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（一）信息主动公开、依申请公开方面</w:t>
      </w:r>
    </w:p>
    <w:p w:rsidR="001C78D0" w:rsidRDefault="001C78D0" w:rsidP="001C78D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按照《条例》要求，商务局认真对产生的信息进行收集，按照“公开是原则，不公开是例外”的要求，及时发布日常工作动态和工作文件，改进工作作风，方便群众办事和监督。2019年度，门户我局在区政府网站主动及时公开信息4条，制定可公开规范性文件46个，发布商务工作动态信息61篇。工作要点如下：</w:t>
      </w:r>
    </w:p>
    <w:p w:rsidR="001C78D0" w:rsidRDefault="001C78D0" w:rsidP="001C78D0">
      <w:pPr>
        <w:pStyle w:val="a4"/>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1.以政务公开助力改革举措落到实处</w:t>
      </w:r>
      <w:r>
        <w:rPr>
          <w:rFonts w:ascii="仿宋_GB2312" w:eastAsia="仿宋_GB2312" w:hAnsi="仿宋_GB2312" w:cs="仿宋_GB2312" w:hint="eastAsia"/>
          <w:b/>
          <w:bCs/>
          <w:sz w:val="32"/>
          <w:szCs w:val="32"/>
        </w:rPr>
        <w:br/>
      </w:r>
      <w:r>
        <w:rPr>
          <w:rFonts w:ascii="仿宋_GB2312" w:eastAsia="仿宋_GB2312" w:hAnsi="仿宋_GB2312" w:cs="仿宋_GB2312" w:hint="eastAsia"/>
          <w:sz w:val="32"/>
          <w:szCs w:val="32"/>
        </w:rPr>
        <w:t xml:space="preserve">    （1）及时公开政策性文件的废止、失效等情况。通过政府网站等方式告知政策性文件的废止、失效情况，及时在已发布的原文件上作出明确标注。</w:t>
      </w:r>
      <w:r>
        <w:rPr>
          <w:rFonts w:ascii="仿宋_GB2312" w:eastAsia="仿宋_GB2312" w:hAnsi="仿宋_GB2312" w:cs="仿宋_GB2312" w:hint="eastAsia"/>
          <w:sz w:val="32"/>
          <w:szCs w:val="32"/>
        </w:rPr>
        <w:br/>
        <w:t xml:space="preserve">    （2）大力推进“互联网+政务服务”。优化服务，提高效率。推进“互联网+政务服务”，加快实体政务大厅与网上服务平台融合发展，让企业和群众办事更便捷。</w:t>
      </w:r>
      <w:r>
        <w:rPr>
          <w:rFonts w:ascii="仿宋_GB2312" w:eastAsia="仿宋_GB2312" w:hAnsi="仿宋_GB2312" w:cs="仿宋_GB2312" w:hint="eastAsia"/>
          <w:sz w:val="32"/>
          <w:szCs w:val="32"/>
        </w:rPr>
        <w:br/>
        <w:t xml:space="preserve">    （3）汇总并统一公布随机抽查事项清单，明确抽查依据、</w:t>
      </w:r>
      <w:r>
        <w:rPr>
          <w:rFonts w:ascii="仿宋_GB2312" w:eastAsia="仿宋_GB2312" w:hAnsi="仿宋_GB2312" w:cs="仿宋_GB2312" w:hint="eastAsia"/>
          <w:sz w:val="32"/>
          <w:szCs w:val="32"/>
        </w:rPr>
        <w:lastRenderedPageBreak/>
        <w:t>主体、内容、方式等，及时公开抽查结果和查处情况。</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bCs/>
          <w:sz w:val="32"/>
          <w:szCs w:val="32"/>
        </w:rPr>
        <w:t>2.以政务公开助力供需结构优化升级</w:t>
      </w:r>
      <w:r>
        <w:rPr>
          <w:rFonts w:ascii="仿宋_GB2312" w:eastAsia="仿宋_GB2312" w:hAnsi="仿宋_GB2312" w:cs="仿宋_GB2312" w:hint="eastAsia"/>
          <w:sz w:val="32"/>
          <w:szCs w:val="32"/>
        </w:rPr>
        <w:br/>
        <w:t xml:space="preserve">    （1）围绕支持创业创新、推动新产业健康发展、改造提升传统产业等，加大政策及其执行情况公开力度，及时发布推广典型经验做法，调动企业和科研人员参与新旧发展动能接续转移的积极性。制定新产业、新业态、新模式等方面监管政策，通过征求意见、听证座谈、咨询协商等方式，扩大相关市场主体参与度。及时收集公众对发展新产业、培育新动能政策的反映，主动做好解疑释惑和舆情引导工作。</w:t>
      </w:r>
      <w:r>
        <w:rPr>
          <w:rFonts w:ascii="仿宋_GB2312" w:eastAsia="仿宋_GB2312" w:hAnsi="仿宋_GB2312" w:cs="仿宋_GB2312" w:hint="eastAsia"/>
          <w:sz w:val="32"/>
          <w:szCs w:val="32"/>
        </w:rPr>
        <w:br/>
        <w:t xml:space="preserve">    （2）定期发布消费市场运行情况分析</w:t>
      </w:r>
      <w:hyperlink r:id="rId6" w:tgtFrame="_blank" w:history="1">
        <w:r>
          <w:rPr>
            <w:rStyle w:val="a5"/>
            <w:rFonts w:ascii="仿宋_GB2312" w:eastAsia="仿宋_GB2312" w:hAnsi="仿宋_GB2312" w:cs="仿宋_GB2312" w:hint="eastAsia"/>
            <w:color w:val="auto"/>
            <w:sz w:val="32"/>
            <w:szCs w:val="32"/>
            <w:u w:val="none"/>
          </w:rPr>
          <w:t>报告</w:t>
        </w:r>
      </w:hyperlink>
      <w:r>
        <w:rPr>
          <w:rFonts w:ascii="仿宋_GB2312" w:eastAsia="仿宋_GB2312" w:hAnsi="仿宋_GB2312" w:cs="仿宋_GB2312" w:hint="eastAsia"/>
          <w:sz w:val="32"/>
          <w:szCs w:val="32"/>
        </w:rPr>
        <w:t>。发挥牵头部门职能，重点公开与群众密切相关的消费品和全域旅游、体育健身、医养结合、健康管理、文化创意等新兴服务业的消费情况，引导消费升级。</w:t>
      </w:r>
    </w:p>
    <w:p w:rsidR="001C78D0" w:rsidRDefault="001C78D0" w:rsidP="001C78D0">
      <w:pPr>
        <w:pStyle w:val="a4"/>
        <w:shd w:val="clear" w:color="auto" w:fill="FFFFFF"/>
        <w:spacing w:beforeAutospacing="0" w:afterAutospacing="0" w:line="560"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3.以政务公开增强政务公开工作实效</w:t>
      </w:r>
    </w:p>
    <w:p w:rsidR="001C78D0" w:rsidRDefault="001C78D0" w:rsidP="001C78D0">
      <w:pPr>
        <w:pStyle w:val="a4"/>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围绕全年政务公开重点工作任务，进一步完善主动公开基本目录，细化公开要求。组织实施好基层政务公开标准化规范化试点工作。对涉及公众利益、需要社会广泛知晓的电视电话会议，除涉及国家秘密的外，积极通过网络、新媒体直播向社会公开。进一步做好人大代表建议和政协</w:t>
      </w:r>
      <w:r>
        <w:rPr>
          <w:rFonts w:ascii="仿宋_GB2312" w:eastAsia="仿宋_GB2312" w:hAnsi="仿宋_GB2312" w:cs="仿宋_GB2312" w:hint="eastAsia"/>
          <w:bCs/>
          <w:sz w:val="32"/>
          <w:szCs w:val="32"/>
        </w:rPr>
        <w:t>委</w:t>
      </w:r>
      <w:r>
        <w:rPr>
          <w:rFonts w:ascii="仿宋_GB2312" w:eastAsia="仿宋_GB2312" w:hAnsi="仿宋_GB2312" w:cs="仿宋_GB2312" w:hint="eastAsia"/>
          <w:sz w:val="32"/>
          <w:szCs w:val="32"/>
        </w:rPr>
        <w:t>员提案办理结果公开工作，对涉及公共利益、社会广泛关注的建议提案，原及时公开答复全文。</w:t>
      </w:r>
    </w:p>
    <w:p w:rsidR="001C78D0" w:rsidRDefault="001C78D0" w:rsidP="001C78D0">
      <w:pPr>
        <w:pStyle w:val="a4"/>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（2）进一步健全解读回应机制。严格依照“谁起草、谁解</w:t>
      </w:r>
      <w:r>
        <w:rPr>
          <w:rFonts w:ascii="仿宋_GB2312" w:eastAsia="仿宋_GB2312" w:hAnsi="仿宋_GB2312" w:cs="仿宋_GB2312" w:hint="eastAsia"/>
          <w:sz w:val="32"/>
          <w:szCs w:val="32"/>
        </w:rPr>
        <w:lastRenderedPageBreak/>
        <w:t>读”的原则，做到政策性文件与解读方案、解读</w:t>
      </w:r>
      <w:hyperlink r:id="rId7" w:tgtFrame="_blank" w:history="1">
        <w:r>
          <w:rPr>
            <w:rStyle w:val="a5"/>
            <w:rFonts w:ascii="仿宋_GB2312" w:eastAsia="仿宋_GB2312" w:hAnsi="仿宋_GB2312" w:cs="仿宋_GB2312" w:hint="eastAsia"/>
            <w:color w:val="auto"/>
            <w:sz w:val="32"/>
            <w:szCs w:val="32"/>
            <w:u w:val="none"/>
          </w:rPr>
          <w:t>材料</w:t>
        </w:r>
      </w:hyperlink>
      <w:r>
        <w:rPr>
          <w:rFonts w:ascii="仿宋_GB2312" w:eastAsia="仿宋_GB2312" w:hAnsi="仿宋_GB2312" w:cs="仿宋_GB2312" w:hint="eastAsia"/>
          <w:sz w:val="32"/>
          <w:szCs w:val="32"/>
        </w:rPr>
        <w:t>同步组织、同步审签、同步部署。创新解读方式方法，运用部门解读、专家解读、媒体解读等方式，数字化、图表图解、音频视频等方法，多角度、全方位阐释政策，提升解读的权威性、针对性和有效性。落实政务舆情回应责任，明确回应主体，做好舆情回应工作。积极做好舆情监测工作，特别重大、重大突发事件最迟5小时内发布权威信息、24小时内举行新闻发布会的时限要求，要认真研判、快速反应、及时发声，并迅速澄清事实，消除不良影响。</w:t>
      </w:r>
    </w:p>
    <w:p w:rsidR="001C78D0" w:rsidRDefault="001C78D0" w:rsidP="001C78D0">
      <w:pPr>
        <w:pStyle w:val="a4"/>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积极扩大公众参与。通过开展在线访谈、意见征集、网上调查等，加强与公众的互动交流，广泛倾听公众意见建议，接受社会批评监督，搭建政府与公众交流的“直通车”。进一步完善公众意见收集、处理、反馈机制，了解民情，回答问题，增进公众对政府工作的认同和支持。</w:t>
      </w:r>
    </w:p>
    <w:p w:rsidR="001C78D0" w:rsidRDefault="001C78D0" w:rsidP="001C78D0">
      <w:pPr>
        <w:pStyle w:val="a4"/>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依法规范依申请公开工作。畅通依申请公开受理渠道，进一步规范依申请公开答复工作，严格按照法定时限、有针对性的、依照规定形式进行答复。对依申请公开工作中发现的依法行政方面问题，及时发现、及时整改、及时规范。对公众申请较为集中的政府信息，可以转为主动公开的，应当主动公开。</w:t>
      </w:r>
    </w:p>
    <w:p w:rsidR="001C78D0" w:rsidRDefault="001C78D0" w:rsidP="001C78D0">
      <w:pPr>
        <w:widowControl/>
        <w:shd w:val="clear" w:color="auto" w:fill="FFFFFF"/>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（二）政府信息管理方面</w:t>
      </w:r>
    </w:p>
    <w:p w:rsidR="001C78D0" w:rsidRDefault="001C78D0" w:rsidP="001C78D0">
      <w:pPr>
        <w:pStyle w:val="reader-word-layerreader-word-s1-7"/>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商务局认真做好门户网站内容管理系统、信息公开管理系统的维护工作，及类政府信息的保密审查工作。对于可以在网上公开的，在完成保密审批流程后、及时上传发布。发布内容涉及外</w:t>
      </w:r>
      <w:r>
        <w:rPr>
          <w:rFonts w:ascii="仿宋_GB2312" w:eastAsia="仿宋_GB2312" w:hint="eastAsia"/>
          <w:sz w:val="32"/>
          <w:szCs w:val="32"/>
        </w:rPr>
        <w:lastRenderedPageBreak/>
        <w:t>资、外贸、服务业、商业管理、市场建设等多项业务工作及理论学习、全局工作部署和总结会等，充分展示了商务局的工作动态，同时也对商务局的工作起到了监督和促进作用。</w:t>
      </w:r>
    </w:p>
    <w:p w:rsidR="001C78D0" w:rsidRDefault="001C78D0" w:rsidP="001C78D0">
      <w:pPr>
        <w:widowControl/>
        <w:shd w:val="clear" w:color="auto" w:fill="FFFFFF"/>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（三）平台建设方面</w:t>
      </w:r>
    </w:p>
    <w:p w:rsidR="001C78D0" w:rsidRDefault="001C78D0" w:rsidP="001C78D0">
      <w:pPr>
        <w:widowControl/>
        <w:shd w:val="clear" w:color="auto" w:fill="FFFFFF"/>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我局信息公开工作人员由本机关的党政综合办公室组成，信息公开主要平台有“东丽商务”官方新浪微博和“东丽商务”官方微信公众号。</w:t>
      </w:r>
    </w:p>
    <w:p w:rsidR="001C78D0" w:rsidRDefault="001C78D0" w:rsidP="001C78D0">
      <w:pPr>
        <w:widowControl/>
        <w:shd w:val="clear" w:color="auto" w:fill="FFFFFF"/>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（三）制度建设方面</w:t>
      </w:r>
    </w:p>
    <w:p w:rsidR="001C78D0" w:rsidRDefault="001C78D0" w:rsidP="001C78D0">
      <w:pPr>
        <w:spacing w:line="56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商务局制定完善各项政务公开工作制度，包括信息报送制度、保密审查制度等。同时，在工作中不断加强对各项规章制度落实情况的监督，明确规定政务公开信息报送的内容、实事求是的原则、报送和公开的流程，使政务公开工作更加规范化，为政务信息公开工作的有序开展提供了制度保障。</w:t>
      </w:r>
    </w:p>
    <w:p w:rsidR="001C78D0" w:rsidRDefault="001C78D0" w:rsidP="001C78D0">
      <w:pPr>
        <w:widowControl/>
        <w:shd w:val="clear" w:color="auto" w:fill="FFFFFF"/>
        <w:spacing w:line="56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（四）机构建设方面</w:t>
      </w:r>
    </w:p>
    <w:p w:rsidR="001C78D0" w:rsidRDefault="001C78D0" w:rsidP="001C78D0">
      <w:pPr>
        <w:spacing w:line="560" w:lineRule="exact"/>
        <w:ind w:firstLineChars="200" w:firstLine="640"/>
        <w:rPr>
          <w:rFonts w:ascii="仿宋_GB2312" w:eastAsia="仿宋_GB2312"/>
          <w:sz w:val="32"/>
          <w:szCs w:val="32"/>
        </w:rPr>
      </w:pPr>
      <w:r>
        <w:rPr>
          <w:rFonts w:ascii="仿宋_GB2312" w:eastAsia="仿宋_GB2312" w:hint="eastAsia"/>
          <w:sz w:val="32"/>
          <w:szCs w:val="32"/>
        </w:rPr>
        <w:t>商务局领导班子十分重视政务公开工作，把政务公开作为加强机关作风建设，促进业务开展，树立商务部门良好形象的重要举措。成立了商务局政务公开工作领导小组，多次召开党组会议，对政务公开工作进行研究部署。同时，各科室指定专人负责政务公开信息的撰写和上报，为商务局政务公开工作的开展奠定了坚实的组织基础。</w:t>
      </w:r>
    </w:p>
    <w:p w:rsidR="001C78D0" w:rsidRDefault="001C78D0" w:rsidP="00EE4A08">
      <w:pPr>
        <w:widowControl/>
        <w:shd w:val="clear" w:color="auto" w:fill="FFFFFF"/>
        <w:spacing w:beforeLines="100" w:afterLines="50"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1C78D0" w:rsidTr="00FA3672">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lastRenderedPageBreak/>
              <w:t>第二十条第（一）项</w:t>
            </w:r>
          </w:p>
        </w:tc>
      </w:tr>
      <w:tr w:rsidR="001C78D0" w:rsidTr="00FA3672">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本年新</w:t>
            </w:r>
            <w:r>
              <w:rPr>
                <w:rFonts w:ascii="宋体" w:hAnsi="宋体" w:cs="宋体" w:hint="eastAsia"/>
                <w:kern w:val="0"/>
                <w:sz w:val="20"/>
                <w:szCs w:val="20"/>
              </w:rPr>
              <w:br/>
            </w:r>
            <w:r>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本年新</w:t>
            </w:r>
            <w:r>
              <w:rPr>
                <w:rFonts w:ascii="宋体" w:hAnsi="宋体" w:cs="宋体" w:hint="eastAsia"/>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对外公开总数量</w:t>
            </w:r>
          </w:p>
        </w:tc>
      </w:tr>
      <w:tr w:rsidR="001C78D0" w:rsidTr="00FA3672">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r>
      <w:tr w:rsidR="001C78D0" w:rsidTr="00FA3672">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42</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42</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42</w:t>
            </w:r>
          </w:p>
        </w:tc>
      </w:tr>
      <w:tr w:rsidR="001C78D0" w:rsidTr="00FA3672">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第二十条第（五）项</w:t>
            </w:r>
          </w:p>
        </w:tc>
      </w:tr>
      <w:tr w:rsidR="001C78D0" w:rsidTr="00FA3672">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处理决定数量</w:t>
            </w:r>
          </w:p>
        </w:tc>
      </w:tr>
      <w:tr w:rsidR="001C78D0" w:rsidTr="00FA3672">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r>
      <w:tr w:rsidR="001C78D0" w:rsidTr="00FA3672">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r>
      <w:tr w:rsidR="001C78D0" w:rsidTr="00FA3672">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第二十条第（六）项</w:t>
            </w:r>
          </w:p>
        </w:tc>
      </w:tr>
      <w:tr w:rsidR="001C78D0" w:rsidTr="00FA3672">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处理决定数量</w:t>
            </w:r>
          </w:p>
        </w:tc>
      </w:tr>
      <w:tr w:rsidR="001C78D0" w:rsidTr="00FA3672">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r>
      <w:tr w:rsidR="001C78D0" w:rsidTr="00FA3672">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r>
      <w:tr w:rsidR="001C78D0" w:rsidTr="00FA3672">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第二十条第（八）项</w:t>
            </w:r>
          </w:p>
        </w:tc>
      </w:tr>
      <w:tr w:rsidR="001C78D0" w:rsidTr="00FA3672">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本年增/减</w:t>
            </w:r>
          </w:p>
        </w:tc>
      </w:tr>
      <w:tr w:rsidR="001C78D0" w:rsidTr="00FA3672">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0</w:t>
            </w:r>
          </w:p>
        </w:tc>
      </w:tr>
      <w:tr w:rsidR="001C78D0" w:rsidTr="00FA3672">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第二十条第（九）项</w:t>
            </w:r>
          </w:p>
        </w:tc>
      </w:tr>
      <w:tr w:rsidR="001C78D0" w:rsidTr="00FA3672">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采购总金额</w:t>
            </w:r>
          </w:p>
        </w:tc>
      </w:tr>
      <w:tr w:rsidR="001C78D0" w:rsidTr="00FA3672">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left"/>
              <w:rPr>
                <w:rFonts w:ascii="宋体" w:hAnsi="宋体" w:cs="宋体"/>
                <w:kern w:val="0"/>
                <w:sz w:val="24"/>
              </w:rPr>
            </w:pPr>
            <w:r>
              <w:rPr>
                <w:rFonts w:ascii="宋体" w:hAnsi="宋体" w:cs="宋体" w:hint="eastAsia"/>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0"/>
                <w:szCs w:val="20"/>
              </w:rPr>
            </w:pPr>
            <w:r>
              <w:rPr>
                <w:rFonts w:ascii="宋体" w:hAnsi="宋体" w:cs="宋体" w:hint="eastAsia"/>
                <w:kern w:val="0"/>
                <w:sz w:val="20"/>
                <w:szCs w:val="20"/>
              </w:rPr>
              <w:t>1</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0"/>
                <w:szCs w:val="20"/>
              </w:rPr>
            </w:pPr>
            <w:r>
              <w:rPr>
                <w:rFonts w:ascii="宋体" w:hAnsi="宋体" w:cs="宋体" w:hint="eastAsia"/>
                <w:kern w:val="0"/>
                <w:sz w:val="20"/>
                <w:szCs w:val="20"/>
              </w:rPr>
              <w:t>2500</w:t>
            </w:r>
          </w:p>
        </w:tc>
      </w:tr>
    </w:tbl>
    <w:p w:rsidR="001C78D0" w:rsidRDefault="001C78D0" w:rsidP="00EE4A08">
      <w:pPr>
        <w:widowControl/>
        <w:shd w:val="clear" w:color="auto" w:fill="FFFFFF"/>
        <w:spacing w:beforeLines="100" w:afterLines="50"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三、收到和处理政府信息公开申请情况</w:t>
      </w:r>
    </w:p>
    <w:tbl>
      <w:tblPr>
        <w:tblW w:w="9071" w:type="dxa"/>
        <w:jc w:val="center"/>
        <w:tblCellMar>
          <w:left w:w="0" w:type="dxa"/>
          <w:right w:w="0" w:type="dxa"/>
        </w:tblCellMar>
        <w:tblLook w:val="04A0"/>
      </w:tblPr>
      <w:tblGrid>
        <w:gridCol w:w="616"/>
        <w:gridCol w:w="854"/>
        <w:gridCol w:w="2086"/>
        <w:gridCol w:w="813"/>
        <w:gridCol w:w="755"/>
        <w:gridCol w:w="755"/>
        <w:gridCol w:w="813"/>
        <w:gridCol w:w="973"/>
        <w:gridCol w:w="711"/>
        <w:gridCol w:w="695"/>
      </w:tblGrid>
      <w:tr w:rsidR="001C78D0" w:rsidTr="00EE4A08">
        <w:trPr>
          <w:trHeight w:val="90"/>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申请人情况</w:t>
            </w:r>
          </w:p>
        </w:tc>
      </w:tr>
      <w:tr w:rsidR="001C78D0" w:rsidTr="00EE4A08">
        <w:trPr>
          <w:jc w:val="center"/>
        </w:trPr>
        <w:tc>
          <w:tcPr>
            <w:tcW w:w="3556" w:type="dxa"/>
            <w:gridSpan w:val="3"/>
            <w:vMerge/>
            <w:tcBorders>
              <w:top w:val="single" w:sz="8" w:space="0" w:color="auto"/>
              <w:left w:val="single" w:sz="8" w:space="0" w:color="auto"/>
              <w:bottom w:val="single" w:sz="8" w:space="0" w:color="auto"/>
              <w:right w:val="single" w:sz="8" w:space="0" w:color="auto"/>
            </w:tcBorders>
            <w:vAlign w:val="center"/>
          </w:tcPr>
          <w:p w:rsidR="001C78D0" w:rsidRDefault="001C78D0" w:rsidP="00EE4A08">
            <w:pPr>
              <w:widowControl/>
              <w:jc w:val="center"/>
              <w:rPr>
                <w:rFonts w:ascii="宋体" w:hAnsi="宋体" w:cs="宋体"/>
                <w:kern w:val="0"/>
                <w:sz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总计</w:t>
            </w:r>
          </w:p>
        </w:tc>
      </w:tr>
      <w:tr w:rsidR="001C78D0" w:rsidTr="00EE4A08">
        <w:trPr>
          <w:jc w:val="center"/>
        </w:trPr>
        <w:tc>
          <w:tcPr>
            <w:tcW w:w="3556" w:type="dxa"/>
            <w:gridSpan w:val="3"/>
            <w:vMerge/>
            <w:tcBorders>
              <w:top w:val="single" w:sz="8" w:space="0" w:color="auto"/>
              <w:left w:val="single" w:sz="8" w:space="0" w:color="auto"/>
              <w:bottom w:val="single" w:sz="8" w:space="0" w:color="auto"/>
              <w:right w:val="single" w:sz="8" w:space="0" w:color="auto"/>
            </w:tcBorders>
            <w:vAlign w:val="center"/>
          </w:tcPr>
          <w:p w:rsidR="001C78D0" w:rsidRDefault="001C78D0" w:rsidP="00EE4A08">
            <w:pPr>
              <w:widowControl/>
              <w:jc w:val="center"/>
              <w:rPr>
                <w:rFonts w:ascii="宋体" w:hAnsi="宋体" w:cs="宋体"/>
                <w:kern w:val="0"/>
                <w:sz w:val="24"/>
              </w:rPr>
            </w:pPr>
          </w:p>
        </w:tc>
        <w:tc>
          <w:tcPr>
            <w:tcW w:w="813" w:type="dxa"/>
            <w:vMerge/>
            <w:tcBorders>
              <w:top w:val="nil"/>
              <w:left w:val="nil"/>
              <w:bottom w:val="single" w:sz="8" w:space="0" w:color="auto"/>
              <w:right w:val="single" w:sz="8" w:space="0" w:color="auto"/>
            </w:tcBorders>
            <w:vAlign w:val="center"/>
          </w:tcPr>
          <w:p w:rsidR="001C78D0" w:rsidRDefault="001C78D0" w:rsidP="00EE4A08">
            <w:pPr>
              <w:widowControl/>
              <w:jc w:val="center"/>
              <w:rPr>
                <w:rFonts w:ascii="宋体" w:hAnsi="宋体" w:cs="宋体"/>
                <w:kern w:val="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EE4A08">
            <w:pPr>
              <w:widowControl/>
              <w:jc w:val="center"/>
              <w:rPr>
                <w:rFonts w:ascii="宋体" w:hAnsi="宋体" w:cs="宋体"/>
                <w:kern w:val="0"/>
                <w:sz w:val="24"/>
              </w:rPr>
            </w:pPr>
            <w:r>
              <w:rPr>
                <w:rFonts w:ascii="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vAlign w:val="center"/>
          </w:tcPr>
          <w:p w:rsidR="001C78D0" w:rsidRDefault="001C78D0" w:rsidP="00EE4A08">
            <w:pPr>
              <w:widowControl/>
              <w:jc w:val="center"/>
              <w:rPr>
                <w:rFonts w:ascii="宋体" w:hAnsi="宋体" w:cs="宋体"/>
                <w:kern w:val="0"/>
                <w:sz w:val="24"/>
              </w:rPr>
            </w:pPr>
          </w:p>
        </w:tc>
      </w:tr>
      <w:tr w:rsidR="00EE4A08" w:rsidTr="00EE4A08">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宋体" w:hAnsi="宋体" w:cs="宋体"/>
                <w:kern w:val="0"/>
                <w:sz w:val="24"/>
              </w:rPr>
            </w:pPr>
            <w:r>
              <w:rPr>
                <w:rFonts w:ascii="宋体" w:hAnsi="宋体" w:cs="宋体" w:hint="eastAsia"/>
                <w:kern w:val="0"/>
                <w:sz w:val="20"/>
                <w:szCs w:val="20"/>
              </w:rPr>
              <w:lastRenderedPageBreak/>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r>
      <w:tr w:rsidR="00EE4A08" w:rsidTr="00EE4A08">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宋体" w:hAnsi="宋体" w:cs="宋体"/>
                <w:kern w:val="0"/>
                <w:sz w:val="24"/>
              </w:rPr>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C251ED">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宋体" w:hAnsi="宋体" w:cs="宋体"/>
                <w:kern w:val="0"/>
                <w:sz w:val="24"/>
              </w:rP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DD1793">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楷体_GB2312" w:eastAsia="楷体_GB2312" w:hAnsi="宋体" w:cs="宋体"/>
                <w:kern w:val="0"/>
                <w:sz w:val="24"/>
              </w:rPr>
            </w:pPr>
            <w:r>
              <w:rPr>
                <w:rFonts w:ascii="楷体_GB2312" w:eastAsia="楷体_GB2312"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1.属于国家秘密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2.其他法律行政法规禁止公开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3.危及“三安全一稳定”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4.保护第三方合法权益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5.属于三类内部事务信息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6.属于四类过程性信息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7.属于行政执法案卷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8.属于行政查询事项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楷体_GB2312" w:eastAsia="楷体_GB2312" w:hAnsi="宋体" w:cs="宋体"/>
                <w:kern w:val="0"/>
                <w:sz w:val="24"/>
              </w:rPr>
            </w:pPr>
            <w:r>
              <w:rPr>
                <w:rFonts w:ascii="楷体_GB2312" w:eastAsia="楷体_GB2312"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1.本机关不掌握相关政府信息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2.没有现成信息需要另行制作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3.补正后申请内容仍不明确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楷体_GB2312" w:eastAsia="楷体_GB2312" w:hAnsi="宋体" w:cs="宋体"/>
                <w:kern w:val="0"/>
                <w:sz w:val="24"/>
              </w:rPr>
            </w:pPr>
            <w:r>
              <w:rPr>
                <w:rFonts w:ascii="楷体_GB2312" w:eastAsia="楷体_GB2312" w:hAnsi="楷体" w:cs="宋体" w:hint="eastAsia"/>
                <w:kern w:val="0"/>
                <w:sz w:val="20"/>
                <w:szCs w:val="20"/>
              </w:rPr>
              <w:t>（五）</w:t>
            </w:r>
            <w:r>
              <w:rPr>
                <w:rFonts w:ascii="楷体_GB2312" w:eastAsia="楷体_GB2312" w:hAnsi="楷体" w:cs="宋体" w:hint="eastAsia"/>
                <w:kern w:val="0"/>
                <w:sz w:val="20"/>
                <w:szCs w:val="20"/>
              </w:rPr>
              <w:lastRenderedPageBreak/>
              <w:t>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lastRenderedPageBreak/>
              <w:t>1.信访举报投诉类申</w:t>
            </w:r>
            <w:r>
              <w:rPr>
                <w:rFonts w:ascii="楷体_GB2312" w:eastAsia="楷体_GB2312" w:hAnsi="楷体" w:cs="宋体" w:hint="eastAsia"/>
                <w:kern w:val="0"/>
                <w:sz w:val="20"/>
                <w:szCs w:val="20"/>
              </w:rPr>
              <w:lastRenderedPageBreak/>
              <w:t>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lastRenderedPageBreak/>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2.重复申请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3.要求提供公开出版物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4.无正当理由大量反复申请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854" w:type="dxa"/>
            <w:vMerge/>
            <w:tcBorders>
              <w:top w:val="nil"/>
              <w:left w:val="nil"/>
              <w:bottom w:val="single" w:sz="8" w:space="0" w:color="auto"/>
              <w:right w:val="single" w:sz="8" w:space="0" w:color="auto"/>
            </w:tcBorders>
            <w:vAlign w:val="center"/>
          </w:tcPr>
          <w:p w:rsidR="00EE4A08" w:rsidRDefault="00EE4A08" w:rsidP="00EE4A08">
            <w:pPr>
              <w:widowControl/>
              <w:jc w:val="center"/>
              <w:rPr>
                <w:rFonts w:ascii="楷体_GB2312" w:eastAsia="楷体_GB2312" w:hAns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spacing w:line="500" w:lineRule="exact"/>
              <w:jc w:val="center"/>
              <w:rPr>
                <w:rFonts w:ascii="楷体_GB2312" w:eastAsia="楷体_GB2312" w:hAnsi="宋体" w:cs="宋体"/>
                <w:kern w:val="0"/>
                <w:sz w:val="24"/>
              </w:rPr>
            </w:pPr>
            <w:r>
              <w:rPr>
                <w:rFonts w:ascii="楷体_GB2312" w:eastAsia="楷体_GB2312" w:hAnsi="楷体" w:cs="宋体" w:hint="eastAsia"/>
                <w:kern w:val="0"/>
                <w:sz w:val="20"/>
                <w:szCs w:val="20"/>
              </w:rPr>
              <w:t>5.要求行政机关确认或重新出具已获取信息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31699">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楷体_GB2312" w:eastAsia="楷体_GB2312" w:hAnsi="宋体" w:cs="宋体"/>
                <w:kern w:val="0"/>
                <w:sz w:val="24"/>
              </w:rPr>
            </w:pPr>
            <w:r>
              <w:rPr>
                <w:rFonts w:ascii="楷体_GB2312" w:eastAsia="楷体_GB2312"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r>
      <w:tr w:rsidR="00EE4A08" w:rsidTr="00EE4A08">
        <w:trPr>
          <w:jc w:val="center"/>
        </w:trPr>
        <w:tc>
          <w:tcPr>
            <w:tcW w:w="616" w:type="dxa"/>
            <w:vMerge/>
            <w:tcBorders>
              <w:top w:val="nil"/>
              <w:left w:val="single" w:sz="8" w:space="0" w:color="auto"/>
              <w:bottom w:val="single" w:sz="8" w:space="0" w:color="auto"/>
              <w:right w:val="single" w:sz="8" w:space="0" w:color="auto"/>
            </w:tcBorders>
            <w:vAlign w:val="center"/>
          </w:tcPr>
          <w:p w:rsidR="00EE4A08" w:rsidRDefault="00EE4A08" w:rsidP="00EE4A08">
            <w:pPr>
              <w:widowControl/>
              <w:jc w:val="center"/>
              <w:rPr>
                <w:rFonts w:ascii="宋体" w:hAns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楷体_GB2312" w:eastAsia="楷体_GB2312" w:hAnsi="宋体" w:cs="宋体"/>
                <w:kern w:val="0"/>
                <w:sz w:val="24"/>
              </w:rPr>
            </w:pPr>
            <w:r>
              <w:rPr>
                <w:rFonts w:ascii="楷体_GB2312" w:eastAsia="楷体_GB2312"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3B4B10">
              <w:rPr>
                <w:rFonts w:asciiTheme="minorEastAsia" w:eastAsiaTheme="minorEastAsia" w:hAnsiTheme="minorEastAsia" w:cstheme="minorEastAsia" w:hint="eastAsia"/>
                <w:kern w:val="0"/>
                <w:sz w:val="20"/>
                <w:szCs w:val="20"/>
              </w:rPr>
              <w:t>0</w:t>
            </w:r>
          </w:p>
        </w:tc>
      </w:tr>
      <w:tr w:rsidR="00EE4A08" w:rsidTr="00EE4A08">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宋体" w:hAnsi="宋体" w:cs="宋体"/>
                <w:kern w:val="0"/>
                <w:sz w:val="24"/>
              </w:rPr>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9433DE">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9433DE">
              <w:rPr>
                <w:rFonts w:asciiTheme="minorEastAsia" w:eastAsiaTheme="minorEastAsia" w:hAnsiTheme="minorEastAsia" w:cstheme="minorEastAsia"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9433DE">
              <w:rPr>
                <w:rFonts w:asciiTheme="minorEastAsia" w:eastAsiaTheme="minorEastAsia" w:hAnsiTheme="minorEastAsia" w:cstheme="minorEastAsia"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9433DE">
              <w:rPr>
                <w:rFonts w:asciiTheme="minorEastAsia" w:eastAsiaTheme="minorEastAsia" w:hAnsiTheme="minorEastAsia" w:cstheme="minorEastAsia"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9433DE">
              <w:rPr>
                <w:rFonts w:asciiTheme="minorEastAsia" w:eastAsiaTheme="minorEastAsia" w:hAnsiTheme="minorEastAsia" w:cstheme="minorEastAsia"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jc w:val="center"/>
            </w:pPr>
            <w:r w:rsidRPr="009433DE">
              <w:rPr>
                <w:rFonts w:asciiTheme="minorEastAsia" w:eastAsiaTheme="minorEastAsia" w:hAnsiTheme="minorEastAsia" w:cstheme="minorEastAsia"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r>
    </w:tbl>
    <w:p w:rsidR="001C78D0" w:rsidRDefault="001C78D0" w:rsidP="00EE4A08">
      <w:pPr>
        <w:widowControl/>
        <w:shd w:val="clear" w:color="auto" w:fill="FFFFFF"/>
        <w:spacing w:beforeLines="100" w:afterLines="50"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四、政府信息公开行政复议、行政诉讼情况</w:t>
      </w:r>
    </w:p>
    <w:tbl>
      <w:tblPr>
        <w:tblW w:w="9071" w:type="dxa"/>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1C78D0" w:rsidTr="00EE4A08">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行政诉讼</w:t>
            </w:r>
          </w:p>
        </w:tc>
      </w:tr>
      <w:tr w:rsidR="001C78D0" w:rsidTr="00EE4A08">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复议后起诉</w:t>
            </w:r>
          </w:p>
        </w:tc>
      </w:tr>
      <w:tr w:rsidR="001C78D0" w:rsidTr="00EE4A08">
        <w:tc>
          <w:tcPr>
            <w:tcW w:w="0" w:type="auto"/>
            <w:vMerge/>
            <w:tcBorders>
              <w:top w:val="nil"/>
              <w:left w:val="single" w:sz="8" w:space="0" w:color="auto"/>
              <w:bottom w:val="single" w:sz="8" w:space="0" w:color="auto"/>
              <w:right w:val="single" w:sz="8" w:space="0" w:color="auto"/>
            </w:tcBorders>
            <w:vAlign w:val="center"/>
          </w:tcPr>
          <w:p w:rsidR="001C78D0" w:rsidRDefault="001C78D0" w:rsidP="00FA3672">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vAlign w:val="center"/>
          </w:tcPr>
          <w:p w:rsidR="001C78D0" w:rsidRDefault="001C78D0" w:rsidP="00FA3672">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vAlign w:val="center"/>
          </w:tcPr>
          <w:p w:rsidR="001C78D0" w:rsidRDefault="001C78D0" w:rsidP="00FA3672">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vAlign w:val="center"/>
          </w:tcPr>
          <w:p w:rsidR="001C78D0" w:rsidRDefault="001C78D0" w:rsidP="00FA3672">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vAlign w:val="center"/>
          </w:tcPr>
          <w:p w:rsidR="001C78D0" w:rsidRDefault="001C78D0" w:rsidP="00FA3672">
            <w:pPr>
              <w:widowControl/>
              <w:jc w:val="left"/>
              <w:rPr>
                <w:rFonts w:ascii="宋体" w:hAns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C78D0" w:rsidRDefault="001C78D0" w:rsidP="00FA3672">
            <w:pPr>
              <w:widowControl/>
              <w:jc w:val="center"/>
              <w:rPr>
                <w:rFonts w:ascii="宋体" w:hAnsi="宋体" w:cs="宋体"/>
                <w:kern w:val="0"/>
                <w:sz w:val="24"/>
              </w:rPr>
            </w:pPr>
            <w:r>
              <w:rPr>
                <w:rFonts w:ascii="宋体" w:hAnsi="宋体" w:cs="宋体" w:hint="eastAsia"/>
                <w:kern w:val="0"/>
                <w:sz w:val="20"/>
                <w:szCs w:val="20"/>
              </w:rPr>
              <w:t>总计</w:t>
            </w:r>
          </w:p>
        </w:tc>
      </w:tr>
      <w:tr w:rsidR="00EE4A08" w:rsidTr="00EE4A08">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DB1163">
              <w:rPr>
                <w:rFonts w:asciiTheme="minorEastAsia" w:eastAsiaTheme="minorEastAsia" w:hAnsiTheme="minorEastAsia" w:cstheme="minorEastAsia"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DB1163">
              <w:rPr>
                <w:rFonts w:asciiTheme="minorEastAsia" w:eastAsiaTheme="minorEastAsia" w:hAnsiTheme="minorEastAsia" w:cstheme="minorEastAsia"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DB1163">
              <w:rPr>
                <w:rFonts w:asciiTheme="minorEastAsia" w:eastAsiaTheme="minorEastAsia" w:hAnsiTheme="minorEastAsia" w:cstheme="minorEastAsia"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DB1163">
              <w:rPr>
                <w:rFonts w:asciiTheme="minorEastAsia" w:eastAsiaTheme="minorEastAsia" w:hAnsiTheme="minorEastAsia" w:cstheme="minorEastAsia"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tcPr>
          <w:p w:rsidR="00EE4A08" w:rsidRDefault="00EE4A08" w:rsidP="00EE4A08">
            <w:pPr>
              <w:jc w:val="center"/>
            </w:pPr>
            <w:r w:rsidRPr="009A3B96">
              <w:rPr>
                <w:rFonts w:asciiTheme="minorEastAsia" w:eastAsiaTheme="minorEastAsia" w:hAnsiTheme="minorEastAsia" w:cstheme="minorEastAsia"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EE4A08" w:rsidRDefault="00EE4A08" w:rsidP="00EE4A08">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0</w:t>
            </w:r>
          </w:p>
        </w:tc>
      </w:tr>
    </w:tbl>
    <w:p w:rsidR="001C78D0" w:rsidRDefault="001C78D0" w:rsidP="00EE4A08">
      <w:pPr>
        <w:widowControl/>
        <w:shd w:val="clear" w:color="auto" w:fill="FFFFFF"/>
        <w:spacing w:beforeLines="100"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五、存在的主要问题及改进情况</w:t>
      </w:r>
    </w:p>
    <w:p w:rsidR="001C78D0" w:rsidRDefault="001C78D0" w:rsidP="001C78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政府信息公开工作中，我局虽然取得了一定成绩，但与区政府的要求相比还存在一些不足和问题，其主要表现在思想认识还不够到位、公开内容还不够全面、监督制约机制还有待于进一步健全完善。在今后工作中，我局将抓好以下几项工作落实，以</w:t>
      </w:r>
      <w:r>
        <w:rPr>
          <w:rFonts w:ascii="仿宋_GB2312" w:eastAsia="仿宋_GB2312" w:hAnsi="仿宋_GB2312" w:cs="仿宋_GB2312" w:hint="eastAsia"/>
          <w:sz w:val="32"/>
          <w:szCs w:val="32"/>
        </w:rPr>
        <w:lastRenderedPageBreak/>
        <w:t>强化提升我局政务信息公开工作：</w:t>
      </w:r>
    </w:p>
    <w:p w:rsidR="001C78D0" w:rsidRDefault="001C78D0" w:rsidP="001C78D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（一）继续规范政务信息公开内容</w:t>
      </w:r>
    </w:p>
    <w:p w:rsidR="001C78D0" w:rsidRDefault="001C78D0" w:rsidP="001C78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严格按照区政府信息公开重点工作安排，对照商务信息公开内容，进一步扩大公开范围和内容。</w:t>
      </w:r>
    </w:p>
    <w:p w:rsidR="001C78D0" w:rsidRDefault="001C78D0" w:rsidP="001C78D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（二）不断加强信息平台建设维护</w:t>
      </w:r>
    </w:p>
    <w:p w:rsidR="001C78D0" w:rsidRDefault="001C78D0" w:rsidP="001C78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按照区政府相关工作要求，进一步完善</w:t>
      </w:r>
      <w:r>
        <w:rPr>
          <w:rFonts w:ascii="仿宋_GB2312" w:eastAsia="仿宋_GB2312" w:hAnsi="仿宋_GB2312" w:cs="仿宋_GB2312" w:hint="eastAsia"/>
          <w:kern w:val="0"/>
          <w:sz w:val="32"/>
          <w:szCs w:val="32"/>
        </w:rPr>
        <w:t>“东丽商务”官方新浪微博和“东丽商务”官方微信公众号的平台建设</w:t>
      </w:r>
      <w:r>
        <w:rPr>
          <w:rFonts w:ascii="仿宋_GB2312" w:eastAsia="仿宋_GB2312" w:hAnsi="仿宋_GB2312" w:cs="仿宋_GB2312" w:hint="eastAsia"/>
          <w:sz w:val="32"/>
          <w:szCs w:val="32"/>
        </w:rPr>
        <w:t>，增强网上互动功能，提高我局信息发布、查询数量和质量，方便群众了解、监督商务工作。</w:t>
      </w:r>
    </w:p>
    <w:p w:rsidR="001C78D0" w:rsidRDefault="001C78D0" w:rsidP="001C78D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（三）进一步加大监督检查力度</w:t>
      </w:r>
    </w:p>
    <w:p w:rsidR="001C78D0" w:rsidRDefault="001C78D0" w:rsidP="001C78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我局政务公开工作领导小组将定期或不定期对各科室政务公开情况进行检查，严格考核，并通报督查结果，以督促全局政务公开工作落实。</w:t>
      </w:r>
    </w:p>
    <w:p w:rsidR="001C78D0" w:rsidRDefault="001C78D0" w:rsidP="001C78D0">
      <w:pPr>
        <w:widowControl/>
        <w:shd w:val="clear" w:color="auto" w:fill="FFFFFF"/>
        <w:spacing w:after="240" w:line="580" w:lineRule="exact"/>
        <w:ind w:firstLine="480"/>
        <w:rPr>
          <w:rFonts w:ascii="黑体" w:eastAsia="黑体" w:hAnsi="宋体" w:cs="宋体"/>
          <w:bCs/>
          <w:kern w:val="0"/>
          <w:sz w:val="32"/>
          <w:szCs w:val="32"/>
        </w:rPr>
      </w:pPr>
      <w:r>
        <w:rPr>
          <w:rFonts w:ascii="黑体" w:eastAsia="黑体" w:hAnsi="宋体" w:cs="宋体" w:hint="eastAsia"/>
          <w:bCs/>
          <w:kern w:val="0"/>
          <w:sz w:val="32"/>
          <w:szCs w:val="32"/>
        </w:rPr>
        <w:t>六、其他需要报告的事项</w:t>
      </w:r>
    </w:p>
    <w:p w:rsidR="001C78D0" w:rsidRDefault="001C78D0" w:rsidP="001C78D0">
      <w:pPr>
        <w:spacing w:line="580" w:lineRule="exact"/>
        <w:ind w:right="210" w:firstLineChars="200" w:firstLine="640"/>
        <w:rPr>
          <w:rFonts w:ascii="仿宋_GB2312" w:eastAsia="仿宋_GB2312" w:hAnsi="Arial" w:cs="Arial"/>
          <w:sz w:val="32"/>
          <w:szCs w:val="32"/>
          <w:shd w:val="clear" w:color="auto" w:fill="FFFFFF"/>
        </w:rPr>
      </w:pPr>
      <w:r>
        <w:rPr>
          <w:rFonts w:ascii="仿宋_GB2312" w:eastAsia="仿宋_GB2312" w:hAnsi="仿宋_GB2312" w:cs="仿宋_GB2312" w:hint="eastAsia"/>
          <w:sz w:val="32"/>
          <w:szCs w:val="32"/>
        </w:rPr>
        <w:t>无其他需要报告的事项。</w:t>
      </w:r>
    </w:p>
    <w:p w:rsidR="001C78D0" w:rsidRDefault="001C78D0" w:rsidP="001C78D0">
      <w:pPr>
        <w:spacing w:line="560" w:lineRule="exact"/>
        <w:ind w:firstLineChars="200" w:firstLine="640"/>
        <w:rPr>
          <w:rFonts w:ascii="仿宋_GB2312" w:eastAsia="仿宋_GB2312" w:hAnsi="仿宋_GB2312" w:cs="仿宋_GB2312"/>
          <w:sz w:val="32"/>
          <w:szCs w:val="32"/>
        </w:rPr>
      </w:pPr>
    </w:p>
    <w:p w:rsidR="001C78D0" w:rsidRDefault="001C78D0" w:rsidP="001C78D0">
      <w:pPr>
        <w:spacing w:line="560" w:lineRule="exact"/>
        <w:ind w:firstLineChars="200" w:firstLine="640"/>
        <w:rPr>
          <w:rFonts w:ascii="仿宋_GB2312" w:eastAsia="仿宋_GB2312" w:hAnsi="仿宋_GB2312" w:cs="仿宋_GB2312"/>
          <w:sz w:val="32"/>
          <w:szCs w:val="32"/>
        </w:rPr>
      </w:pPr>
    </w:p>
    <w:p w:rsidR="001C78D0" w:rsidRDefault="001C78D0" w:rsidP="001C78D0">
      <w:pPr>
        <w:spacing w:line="560" w:lineRule="exact"/>
        <w:ind w:firstLineChars="200" w:firstLine="640"/>
        <w:rPr>
          <w:rFonts w:ascii="仿宋_GB2312" w:eastAsia="仿宋_GB2312" w:hAnsi="仿宋_GB2312" w:cs="仿宋_GB2312"/>
          <w:sz w:val="32"/>
          <w:szCs w:val="32"/>
        </w:rPr>
      </w:pPr>
    </w:p>
    <w:p w:rsidR="001C78D0" w:rsidRDefault="001C78D0" w:rsidP="001C78D0">
      <w:pPr>
        <w:spacing w:line="560" w:lineRule="exact"/>
        <w:ind w:firstLineChars="200" w:firstLine="640"/>
        <w:rPr>
          <w:rFonts w:ascii="仿宋_GB2312" w:eastAsia="仿宋_GB2312" w:hAnsi="仿宋_GB2312" w:cs="仿宋_GB2312"/>
          <w:sz w:val="32"/>
          <w:szCs w:val="32"/>
        </w:rPr>
      </w:pPr>
    </w:p>
    <w:p w:rsidR="001C78D0" w:rsidRDefault="001C78D0" w:rsidP="001C78D0">
      <w:pPr>
        <w:spacing w:line="560" w:lineRule="exact"/>
        <w:ind w:firstLineChars="200" w:firstLine="640"/>
        <w:rPr>
          <w:rFonts w:ascii="仿宋_GB2312" w:eastAsia="仿宋_GB2312" w:hAnsi="仿宋_GB2312" w:cs="仿宋_GB2312"/>
          <w:sz w:val="32"/>
          <w:szCs w:val="32"/>
        </w:rPr>
      </w:pPr>
    </w:p>
    <w:p w:rsidR="001C78D0" w:rsidRDefault="001C78D0" w:rsidP="001C78D0">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2020年2月28日</w:t>
      </w:r>
    </w:p>
    <w:p w:rsidR="00290CF7" w:rsidRDefault="00290CF7"/>
    <w:sectPr w:rsidR="00290CF7" w:rsidSect="00B362AF">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500" w:rsidRDefault="00275500" w:rsidP="00186BAF">
      <w:r>
        <w:separator/>
      </w:r>
    </w:p>
  </w:endnote>
  <w:endnote w:type="continuationSeparator" w:id="0">
    <w:p w:rsidR="00275500" w:rsidRDefault="00275500" w:rsidP="00186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2AF" w:rsidRDefault="00186BAF">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362AF" w:rsidRDefault="00186BAF">
                <w:pPr>
                  <w:pStyle w:val="a3"/>
                </w:pPr>
                <w:r>
                  <w:rPr>
                    <w:rFonts w:hint="eastAsia"/>
                  </w:rPr>
                  <w:fldChar w:fldCharType="begin"/>
                </w:r>
                <w:r w:rsidR="004D0ABF">
                  <w:rPr>
                    <w:rFonts w:hint="eastAsia"/>
                  </w:rPr>
                  <w:instrText xml:space="preserve"> PAGE  \* MERGEFORMAT </w:instrText>
                </w:r>
                <w:r>
                  <w:rPr>
                    <w:rFonts w:hint="eastAsia"/>
                  </w:rPr>
                  <w:fldChar w:fldCharType="separate"/>
                </w:r>
                <w:r w:rsidR="00EE4A08">
                  <w:rPr>
                    <w:noProof/>
                  </w:rPr>
                  <w:t>- 8 -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500" w:rsidRDefault="00275500" w:rsidP="00186BAF">
      <w:r>
        <w:separator/>
      </w:r>
    </w:p>
  </w:footnote>
  <w:footnote w:type="continuationSeparator" w:id="0">
    <w:p w:rsidR="00275500" w:rsidRDefault="00275500" w:rsidP="00186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8D0"/>
    <w:rsid w:val="00186BAF"/>
    <w:rsid w:val="001C78D0"/>
    <w:rsid w:val="001D2D56"/>
    <w:rsid w:val="00275500"/>
    <w:rsid w:val="00290CF7"/>
    <w:rsid w:val="004D0ABF"/>
    <w:rsid w:val="00EE4A08"/>
    <w:rsid w:val="00FA3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C78D0"/>
    <w:pPr>
      <w:tabs>
        <w:tab w:val="center" w:pos="4153"/>
        <w:tab w:val="right" w:pos="8306"/>
      </w:tabs>
      <w:snapToGrid w:val="0"/>
      <w:jc w:val="left"/>
    </w:pPr>
    <w:rPr>
      <w:sz w:val="18"/>
    </w:rPr>
  </w:style>
  <w:style w:type="character" w:customStyle="1" w:styleId="Char">
    <w:name w:val="页脚 Char"/>
    <w:basedOn w:val="a0"/>
    <w:link w:val="a3"/>
    <w:rsid w:val="001C78D0"/>
    <w:rPr>
      <w:rFonts w:ascii="Times New Roman" w:eastAsia="宋体" w:hAnsi="Times New Roman" w:cs="Times New Roman"/>
      <w:sz w:val="18"/>
      <w:szCs w:val="24"/>
    </w:rPr>
  </w:style>
  <w:style w:type="paragraph" w:styleId="a4">
    <w:name w:val="Normal (Web)"/>
    <w:basedOn w:val="a"/>
    <w:rsid w:val="001C78D0"/>
    <w:pPr>
      <w:spacing w:beforeAutospacing="1" w:afterAutospacing="1"/>
      <w:jc w:val="left"/>
    </w:pPr>
    <w:rPr>
      <w:kern w:val="0"/>
      <w:sz w:val="24"/>
    </w:rPr>
  </w:style>
  <w:style w:type="character" w:styleId="a5">
    <w:name w:val="Hyperlink"/>
    <w:basedOn w:val="a0"/>
    <w:rsid w:val="001C78D0"/>
    <w:rPr>
      <w:color w:val="0000FF"/>
      <w:u w:val="single"/>
    </w:rPr>
  </w:style>
  <w:style w:type="paragraph" w:customStyle="1" w:styleId="reader-word-layerreader-word-s1-7">
    <w:name w:val="reader-word-layer reader-word-s1-7"/>
    <w:basedOn w:val="a"/>
    <w:rsid w:val="001C78D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5ykj.com/Arti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Articl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政府办信息公开</dc:creator>
  <cp:lastModifiedBy>政府办信息公开</cp:lastModifiedBy>
  <cp:revision>2</cp:revision>
  <dcterms:created xsi:type="dcterms:W3CDTF">2020-03-04T03:20:00Z</dcterms:created>
  <dcterms:modified xsi:type="dcterms:W3CDTF">2020-03-04T07:57:00Z</dcterms:modified>
</cp:coreProperties>
</file>