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both"/>
        <w:rPr>
          <w:rFonts w:hint="eastAsia" w:ascii="黑体" w:hAnsi="黑体" w:eastAsia="黑体"/>
          <w:kern w:val="2"/>
          <w:sz w:val="32"/>
          <w:szCs w:val="24"/>
          <w:lang w:val="zh-CN"/>
        </w:rPr>
      </w:pPr>
    </w:p>
    <w:p>
      <w:pPr>
        <w:spacing w:beforeLines="0" w:afterLines="0" w:line="580" w:lineRule="exact"/>
        <w:jc w:val="center"/>
        <w:rPr>
          <w:rFonts w:hint="eastAsia" w:ascii="黑体" w:hAnsi="黑体" w:eastAsia="黑体"/>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天津市东丽区河长制事务中心</w:t>
      </w:r>
    </w:p>
    <w:p>
      <w:pPr>
        <w:spacing w:beforeLines="0" w:afterLines="0"/>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2023年度部门决算</w:t>
      </w: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rPr>
          <w:rFonts w:hint="eastAsia" w:ascii="黑体" w:hAnsi="黑体" w:eastAsia="黑体"/>
          <w:kern w:val="2"/>
          <w:sz w:val="30"/>
          <w:szCs w:val="24"/>
          <w:lang w:val="en-US"/>
        </w:rPr>
      </w:pPr>
      <w:r>
        <w:rPr>
          <w:rFonts w:hint="eastAsia" w:ascii="黑体" w:hAnsi="黑体" w:eastAsia="黑体"/>
          <w:kern w:val="2"/>
          <w:sz w:val="30"/>
          <w:szCs w:val="24"/>
          <w:lang w:val="en-US"/>
        </w:rPr>
        <w:br w:type="page"/>
      </w:r>
    </w:p>
    <w:p>
      <w:pPr>
        <w:spacing w:beforeLines="0" w:afterLines="0" w:line="600" w:lineRule="exact"/>
        <w:jc w:val="center"/>
        <w:rPr>
          <w:rFonts w:hint="eastAsia" w:ascii="黑体" w:hAnsi="黑体" w:eastAsia="黑体"/>
          <w:sz w:val="44"/>
          <w:szCs w:val="24"/>
          <w:lang w:val="zh-CN"/>
        </w:rPr>
      </w:pPr>
      <w:r>
        <w:rPr>
          <w:rFonts w:hint="eastAsia" w:ascii="黑体" w:hAnsi="黑体" w:eastAsia="黑体"/>
          <w:sz w:val="44"/>
          <w:szCs w:val="24"/>
          <w:lang w:val="zh-CN"/>
        </w:rPr>
        <w:t>目   录</w:t>
      </w:r>
    </w:p>
    <w:p>
      <w:pPr>
        <w:spacing w:beforeLines="0" w:afterLines="0" w:line="600" w:lineRule="exact"/>
        <w:rPr>
          <w:rFonts w:hint="eastAsia" w:ascii="黑体" w:hAnsi="黑体" w:eastAsia="黑体"/>
          <w:sz w:val="30"/>
          <w:szCs w:val="24"/>
          <w:lang w:val="zh-CN"/>
        </w:rPr>
      </w:pPr>
    </w:p>
    <w:p>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第一部分  概 况</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一、主要职责</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 w:hAnsi="仿宋" w:eastAsia="仿宋"/>
          <w:sz w:val="30"/>
          <w:szCs w:val="24"/>
          <w:lang w:val="zh-CN"/>
        </w:rPr>
        <w:t>二、机构设置</w:t>
      </w:r>
    </w:p>
    <w:p>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第二部分  2023年度部门决算表</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一、收入支出决算总表</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二、收入决算表（按功能分类列示）</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三、收入决算表（按单位列示）</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四、支出决算表</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五、财政拨款收入支出决算总表</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六、一般公共预算财政拨款支出决算表</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七、一般公共预算财政拨款基本支出决算表</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八、政府性基金预算财政拨款收入支出决算表</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九、国有资本经营预算财政拨款收入支出决算表</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十、财政拨款</w:t>
      </w:r>
      <w:r>
        <w:rPr>
          <w:rFonts w:hint="default" w:ascii="仿宋" w:hAnsi="仿宋" w:eastAsia="仿宋"/>
          <w:sz w:val="30"/>
          <w:szCs w:val="24"/>
          <w:lang w:val="zh-CN"/>
        </w:rPr>
        <w:t>“</w:t>
      </w:r>
      <w:r>
        <w:rPr>
          <w:rFonts w:hint="eastAsia" w:ascii="仿宋" w:hAnsi="仿宋" w:eastAsia="仿宋"/>
          <w:sz w:val="30"/>
          <w:szCs w:val="24"/>
          <w:lang w:val="zh-CN"/>
        </w:rPr>
        <w:t>三公</w:t>
      </w:r>
      <w:r>
        <w:rPr>
          <w:rFonts w:hint="default" w:ascii="仿宋" w:hAnsi="仿宋" w:eastAsia="仿宋"/>
          <w:sz w:val="30"/>
          <w:szCs w:val="24"/>
          <w:lang w:val="zh-CN"/>
        </w:rPr>
        <w:t>”</w:t>
      </w:r>
      <w:r>
        <w:rPr>
          <w:rFonts w:hint="eastAsia" w:ascii="仿宋" w:hAnsi="仿宋" w:eastAsia="仿宋"/>
          <w:sz w:val="30"/>
          <w:szCs w:val="24"/>
          <w:lang w:val="zh-CN"/>
        </w:rPr>
        <w:t>经费支出决算表</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十一、项目支出决算表</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十二、关于空表的说明</w:t>
      </w:r>
    </w:p>
    <w:p>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第三部分  2023年度部门决算情况说明</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一、收支决算总体情况说明</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二、收入决算情况说明</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三、支出决算情况说明</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四、财政拨款收支决算总体情况说明</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五、一般公共预算财政拨款支出决算情况说明</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六、一般公共预算财政拨款基本支出决算情况说明</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七、政府性基金预算财政拨款收支决算情况说明</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八、国有资本经营预算财政拨款收支决算情况说明</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九、财政拨款</w:t>
      </w:r>
      <w:r>
        <w:rPr>
          <w:rFonts w:hint="default" w:ascii="仿宋" w:hAnsi="仿宋" w:eastAsia="仿宋"/>
          <w:sz w:val="30"/>
          <w:szCs w:val="24"/>
          <w:lang w:val="zh-CN"/>
        </w:rPr>
        <w:t>“</w:t>
      </w:r>
      <w:r>
        <w:rPr>
          <w:rFonts w:hint="eastAsia" w:ascii="仿宋" w:hAnsi="仿宋" w:eastAsia="仿宋"/>
          <w:sz w:val="30"/>
          <w:szCs w:val="24"/>
          <w:lang w:val="zh-CN"/>
        </w:rPr>
        <w:t>三公</w:t>
      </w:r>
      <w:r>
        <w:rPr>
          <w:rFonts w:hint="default" w:ascii="仿宋" w:hAnsi="仿宋" w:eastAsia="仿宋"/>
          <w:sz w:val="30"/>
          <w:szCs w:val="24"/>
          <w:lang w:val="zh-CN"/>
        </w:rPr>
        <w:t>”</w:t>
      </w:r>
      <w:r>
        <w:rPr>
          <w:rFonts w:hint="eastAsia" w:ascii="仿宋" w:hAnsi="仿宋" w:eastAsia="仿宋"/>
          <w:sz w:val="30"/>
          <w:szCs w:val="24"/>
          <w:lang w:val="zh-CN"/>
        </w:rPr>
        <w:t>经费支出决算情况说明</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十、机关运行经费支出情况说明</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十一、政府采购支出情况说明</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十二、国有资产占有使用情况说明</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十三、预算绩效情况说明</w:t>
      </w:r>
    </w:p>
    <w:p>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十四、教育、医疗卫生、社会保障和就业、住房保障、涉农补贴等民生支出情况说明</w:t>
      </w:r>
    </w:p>
    <w:p>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第四部分  名词解释</w:t>
      </w:r>
    </w:p>
    <w:p>
      <w:pPr>
        <w:spacing w:beforeLines="0" w:afterLines="0" w:line="700" w:lineRule="exact"/>
        <w:rPr>
          <w:rFonts w:hint="eastAsia" w:ascii="黑体" w:hAnsi="黑体" w:eastAsia="黑体"/>
          <w:kern w:val="2"/>
          <w:sz w:val="30"/>
          <w:szCs w:val="24"/>
          <w:lang w:val="zh-CN"/>
        </w:rPr>
      </w:pPr>
      <w:r>
        <w:rPr>
          <w:rFonts w:hint="eastAsia" w:ascii="黑体" w:hAnsi="黑体" w:eastAsia="黑体"/>
          <w:kern w:val="2"/>
          <w:sz w:val="30"/>
          <w:szCs w:val="24"/>
          <w:lang w:val="zh-CN"/>
        </w:rPr>
        <w:br w:type="page"/>
      </w:r>
    </w:p>
    <w:p>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en-US"/>
        </w:rPr>
        <w:t>第一部分  概 况</w:t>
      </w:r>
    </w:p>
    <w:p>
      <w:pPr>
        <w:spacing w:beforeLines="0" w:afterLines="0" w:line="580" w:lineRule="exact"/>
        <w:rPr>
          <w:rFonts w:hint="default" w:ascii="Times New Roman" w:hAnsi="Times New Roman" w:eastAsia="Times New Roman"/>
          <w:kern w:val="2"/>
          <w:sz w:val="24"/>
          <w:szCs w:val="24"/>
          <w:lang w:val="zh-CN"/>
        </w:rPr>
      </w:pPr>
    </w:p>
    <w:p>
      <w:pPr>
        <w:pStyle w:val="3"/>
        <w:keepNext/>
        <w:keepLines/>
        <w:spacing w:beforeLines="0" w:afterLines="0" w:line="600" w:lineRule="exact"/>
        <w:ind w:firstLine="601"/>
        <w:rPr>
          <w:rFonts w:hint="eastAsia" w:ascii="黑体" w:hAnsi="黑体" w:eastAsia="黑体"/>
          <w:b/>
          <w:sz w:val="30"/>
          <w:szCs w:val="24"/>
          <w:lang w:val="zh-CN"/>
        </w:rPr>
      </w:pPr>
      <w:r>
        <w:rPr>
          <w:rFonts w:hint="eastAsia" w:ascii="黑体" w:hAnsi="黑体" w:eastAsia="黑体"/>
          <w:b/>
          <w:sz w:val="30"/>
          <w:szCs w:val="24"/>
          <w:lang w:val="zh-CN"/>
        </w:rPr>
        <w:t>一、主要职责</w:t>
      </w:r>
    </w:p>
    <w:p>
      <w:pPr>
        <w:keepNext w:val="0"/>
        <w:keepLines w:val="0"/>
        <w:widowControl/>
        <w:suppressLineNumbers w:val="0"/>
        <w:ind w:firstLine="600" w:firstLineChars="200"/>
        <w:jc w:val="left"/>
        <w:rPr>
          <w:rFonts w:hint="default" w:ascii="仿宋" w:hAnsi="仿宋" w:eastAsia="仿宋" w:cs="Times New Roman"/>
          <w:kern w:val="2"/>
          <w:sz w:val="30"/>
          <w:szCs w:val="24"/>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600" w:firstLineChars="200"/>
        <w:jc w:val="left"/>
        <w:textAlignment w:val="auto"/>
      </w:pPr>
      <w:r>
        <w:rPr>
          <w:rFonts w:hint="default" w:ascii="仿宋" w:hAnsi="仿宋" w:eastAsia="仿宋" w:cs="Times New Roman"/>
          <w:kern w:val="2"/>
          <w:sz w:val="30"/>
          <w:szCs w:val="24"/>
          <w:lang w:val="en-US" w:eastAsia="zh-CN"/>
        </w:rPr>
        <w:t>为全面推动落实河长制提供服务。承担本区河长制实施的具体事</w:t>
      </w:r>
      <w:r>
        <w:rPr>
          <w:rFonts w:hint="eastAsia" w:ascii="仿宋" w:hAnsi="仿宋" w:eastAsia="仿宋" w:cs="Times New Roman"/>
          <w:kern w:val="2"/>
          <w:sz w:val="30"/>
          <w:szCs w:val="24"/>
          <w:lang w:val="en-US" w:eastAsia="zh-CN"/>
        </w:rPr>
        <w:t>务性工作。</w:t>
      </w:r>
      <w:r>
        <w:rPr>
          <w:rFonts w:hint="eastAsia" w:ascii="仿宋" w:hAnsi="仿宋" w:eastAsia="仿宋" w:cs="仿宋"/>
          <w:color w:val="000000"/>
          <w:kern w:val="0"/>
          <w:sz w:val="24"/>
          <w:szCs w:val="24"/>
          <w:lang w:val="en-US" w:eastAsia="zh-CN" w:bidi="ar"/>
        </w:rPr>
        <w:t xml:space="preserve"> </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二、机构设置</w:t>
      </w:r>
    </w:p>
    <w:p>
      <w:pPr>
        <w:pStyle w:val="2"/>
        <w:keepNext/>
        <w:keepLines/>
        <w:spacing w:before="340" w:beforeLines="0" w:after="330" w:afterLines="0" w:line="600" w:lineRule="exact"/>
        <w:ind w:firstLine="600" w:firstLineChars="200"/>
        <w:jc w:val="both"/>
        <w:rPr>
          <w:rFonts w:hint="default" w:ascii="仿宋" w:hAnsi="仿宋" w:eastAsia="仿宋"/>
          <w:kern w:val="2"/>
          <w:sz w:val="30"/>
          <w:szCs w:val="24"/>
          <w:lang w:val="en-US" w:eastAsia="zh-CN"/>
        </w:rPr>
      </w:pPr>
      <w:r>
        <w:rPr>
          <w:rFonts w:hint="eastAsia" w:ascii="仿宋" w:hAnsi="仿宋" w:eastAsia="仿宋"/>
          <w:kern w:val="2"/>
          <w:sz w:val="30"/>
          <w:szCs w:val="24"/>
          <w:lang w:val="zh-CN"/>
        </w:rPr>
        <w:t>天津市东丽区河长制事务中心内设</w:t>
      </w:r>
      <w:r>
        <w:rPr>
          <w:rFonts w:hint="eastAsia" w:ascii="仿宋" w:hAnsi="仿宋" w:eastAsia="仿宋"/>
          <w:kern w:val="2"/>
          <w:sz w:val="30"/>
          <w:szCs w:val="24"/>
          <w:highlight w:val="none"/>
          <w:lang w:val="en-US" w:eastAsia="zh-CN"/>
        </w:rPr>
        <w:t>1</w:t>
      </w:r>
      <w:r>
        <w:rPr>
          <w:rFonts w:hint="eastAsia" w:ascii="仿宋" w:hAnsi="仿宋" w:eastAsia="仿宋"/>
          <w:kern w:val="2"/>
          <w:sz w:val="30"/>
          <w:szCs w:val="24"/>
          <w:lang w:val="zh-CN"/>
        </w:rPr>
        <w:t>个职能科室；</w:t>
      </w:r>
      <w:r>
        <w:rPr>
          <w:rFonts w:hint="eastAsia" w:ascii="仿宋" w:hAnsi="仿宋" w:eastAsia="仿宋"/>
          <w:kern w:val="2"/>
          <w:sz w:val="30"/>
          <w:szCs w:val="24"/>
          <w:lang w:val="en-US" w:eastAsia="zh-CN"/>
        </w:rPr>
        <w:t>下辖无预算单位。纳入</w:t>
      </w:r>
      <w:r>
        <w:rPr>
          <w:rFonts w:hint="eastAsia" w:ascii="仿宋" w:hAnsi="仿宋" w:eastAsia="仿宋"/>
          <w:kern w:val="2"/>
          <w:sz w:val="30"/>
          <w:szCs w:val="24"/>
          <w:lang w:val="zh-CN"/>
        </w:rPr>
        <w:t>天津市东丽区河长制事务中心</w:t>
      </w:r>
      <w:r>
        <w:rPr>
          <w:rFonts w:hint="eastAsia" w:ascii="仿宋" w:hAnsi="仿宋" w:eastAsia="仿宋"/>
          <w:kern w:val="2"/>
          <w:sz w:val="30"/>
          <w:szCs w:val="24"/>
          <w:lang w:val="en-US" w:eastAsia="zh-CN"/>
        </w:rPr>
        <w:t>2023年度部门决算编制范围的单位包括：</w:t>
      </w:r>
      <w:r>
        <w:rPr>
          <w:rFonts w:hint="eastAsia" w:ascii="仿宋" w:hAnsi="仿宋" w:eastAsia="仿宋"/>
          <w:kern w:val="2"/>
          <w:sz w:val="30"/>
          <w:szCs w:val="24"/>
          <w:lang w:val="zh-CN"/>
        </w:rPr>
        <w:t>天津市东丽区河长制事务中心。</w:t>
      </w:r>
    </w:p>
    <w:p>
      <w:pPr>
        <w:pStyle w:val="2"/>
        <w:keepNext/>
        <w:keepLines/>
        <w:spacing w:before="340" w:beforeLines="0" w:after="330" w:afterLines="0" w:line="600" w:lineRule="exact"/>
        <w:ind w:firstLine="600" w:firstLineChars="200"/>
        <w:jc w:val="both"/>
        <w:rPr>
          <w:rFonts w:hint="eastAsia" w:ascii="仿宋" w:hAnsi="仿宋" w:eastAsia="仿宋"/>
          <w:kern w:val="2"/>
          <w:sz w:val="30"/>
          <w:szCs w:val="24"/>
          <w:lang w:val="zh-CN"/>
        </w:rPr>
      </w:pPr>
    </w:p>
    <w:p>
      <w:pPr>
        <w:pStyle w:val="2"/>
        <w:keepNext/>
        <w:keepLines/>
        <w:spacing w:before="340" w:beforeLines="0" w:after="330" w:afterLines="0" w:line="600" w:lineRule="exact"/>
        <w:ind w:firstLine="600" w:firstLineChars="200"/>
        <w:jc w:val="both"/>
        <w:rPr>
          <w:rFonts w:hint="eastAsia" w:ascii="仿宋" w:hAnsi="仿宋" w:eastAsia="仿宋"/>
          <w:kern w:val="2"/>
          <w:sz w:val="30"/>
          <w:szCs w:val="24"/>
          <w:lang w:val="en-US" w:eastAsia="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both"/>
        <w:rPr>
          <w:rFonts w:hint="eastAsia" w:ascii="黑体" w:hAnsi="黑体" w:eastAsia="黑体"/>
          <w:kern w:val="2"/>
          <w:sz w:val="30"/>
          <w:szCs w:val="24"/>
          <w:lang w:val="zh-CN"/>
        </w:rPr>
      </w:pPr>
    </w:p>
    <w:p>
      <w:pPr>
        <w:spacing w:beforeLines="0" w:afterLines="0" w:line="360" w:lineRule="atLeast"/>
        <w:jc w:val="both"/>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pStyle w:val="2"/>
        <w:keepNext/>
        <w:keepLines/>
        <w:spacing w:beforeLines="0" w:afterLines="0" w:line="600" w:lineRule="exact"/>
        <w:jc w:val="both"/>
        <w:rPr>
          <w:rFonts w:hint="eastAsia" w:ascii="方正小标宋简体" w:hAnsi="方正小标宋简体" w:eastAsia="方正小标宋简体"/>
          <w:b/>
          <w:kern w:val="44"/>
          <w:sz w:val="44"/>
          <w:szCs w:val="24"/>
          <w:lang w:val="zh-CN"/>
        </w:rPr>
      </w:pPr>
    </w:p>
    <w:p>
      <w:pPr>
        <w:pStyle w:val="2"/>
        <w:keepNext/>
        <w:keepLines/>
        <w:spacing w:beforeLines="0" w:afterLines="0" w:line="600" w:lineRule="exact"/>
        <w:jc w:val="both"/>
        <w:rPr>
          <w:rFonts w:hint="eastAsia" w:ascii="方正小标宋简体" w:hAnsi="方正小标宋简体" w:eastAsia="方正小标宋简体"/>
          <w:b/>
          <w:kern w:val="44"/>
          <w:sz w:val="44"/>
          <w:szCs w:val="24"/>
          <w:lang w:val="zh-CN"/>
        </w:rPr>
      </w:pPr>
    </w:p>
    <w:p>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zh-CN"/>
        </w:rPr>
        <w:t xml:space="preserve">第二部分 </w:t>
      </w:r>
      <w:r>
        <w:rPr>
          <w:rFonts w:hint="eastAsia" w:ascii="方正小标宋简体" w:hAnsi="方正小标宋简体" w:eastAsia="方正小标宋简体"/>
          <w:b/>
          <w:kern w:val="44"/>
          <w:sz w:val="44"/>
          <w:szCs w:val="24"/>
          <w:lang w:val="en-US"/>
        </w:rPr>
        <w:t xml:space="preserve"> 2023年度部门决算表</w:t>
      </w:r>
    </w:p>
    <w:p>
      <w:pPr>
        <w:spacing w:beforeLines="0" w:afterLines="0"/>
        <w:rPr>
          <w:rFonts w:hint="default" w:ascii="Times New Roman" w:hAnsi="Times New Roman" w:eastAsia="Times New Roman"/>
          <w:sz w:val="24"/>
          <w:szCs w:val="24"/>
          <w:lang w:val="en-US"/>
        </w:rPr>
      </w:pP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一、《收入支出决算总表》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八、《政府性基金预算财政拨款收入支出决算表》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九、《国有资本经营预算财政拨款收入支出决算表》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十、《财政拨款</w:t>
      </w:r>
      <w:r>
        <w:rPr>
          <w:rFonts w:hint="default" w:ascii="黑体" w:hAnsi="黑体" w:eastAsia="黑体"/>
          <w:sz w:val="30"/>
          <w:szCs w:val="24"/>
          <w:lang w:val="en-US"/>
        </w:rPr>
        <w:t>“</w:t>
      </w:r>
      <w:r>
        <w:rPr>
          <w:rFonts w:hint="eastAsia" w:ascii="黑体" w:hAnsi="黑体" w:eastAsia="黑体"/>
          <w:sz w:val="30"/>
          <w:szCs w:val="24"/>
          <w:lang w:val="en-US"/>
        </w:rPr>
        <w:t>三公</w:t>
      </w:r>
      <w:r>
        <w:rPr>
          <w:rFonts w:hint="default" w:ascii="黑体" w:hAnsi="黑体" w:eastAsia="黑体"/>
          <w:sz w:val="30"/>
          <w:szCs w:val="24"/>
          <w:lang w:val="en-US"/>
        </w:rPr>
        <w:t>”</w:t>
      </w:r>
      <w:r>
        <w:rPr>
          <w:rFonts w:hint="eastAsia" w:ascii="黑体" w:hAnsi="黑体" w:eastAsia="黑体"/>
          <w:sz w:val="30"/>
          <w:szCs w:val="24"/>
          <w:lang w:val="en-US"/>
        </w:rPr>
        <w:t>经费支出决算表》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十一、《项目支出决算表》</w:t>
      </w:r>
    </w:p>
    <w:p>
      <w:pPr>
        <w:spacing w:beforeLines="0" w:afterLines="0" w:line="800" w:lineRule="exact"/>
        <w:rPr>
          <w:rFonts w:hint="eastAsia" w:ascii="楷体" w:hAnsi="楷体" w:eastAsia="楷体"/>
          <w:sz w:val="30"/>
          <w:szCs w:val="24"/>
          <w:lang w:val="en-US"/>
        </w:rPr>
      </w:pPr>
      <w:r>
        <w:rPr>
          <w:rFonts w:hint="eastAsia" w:ascii="楷体" w:hAnsi="楷体" w:eastAsia="楷体"/>
          <w:sz w:val="30"/>
          <w:szCs w:val="24"/>
          <w:lang w:val="en-US"/>
        </w:rPr>
        <w:t>注：以上决算公开表均作为附表，附于决算公开说明文档后。</w:t>
      </w:r>
    </w:p>
    <w:p>
      <w:pPr>
        <w:spacing w:beforeLines="0" w:afterLines="0" w:line="600" w:lineRule="exact"/>
        <w:rPr>
          <w:rFonts w:hint="default" w:ascii="Times New Roman" w:hAnsi="Times New Roman" w:eastAsia="Times New Roman"/>
          <w:sz w:val="24"/>
          <w:szCs w:val="24"/>
          <w:lang w:val="en-US"/>
        </w:rPr>
      </w:pPr>
    </w:p>
    <w:p>
      <w:pPr>
        <w:pStyle w:val="3"/>
        <w:keepNext/>
        <w:keepLines/>
        <w:spacing w:beforeLines="0" w:afterLines="0" w:line="640" w:lineRule="exact"/>
        <w:ind w:firstLine="600"/>
        <w:rPr>
          <w:rFonts w:hint="eastAsia" w:ascii="仿宋" w:hAnsi="仿宋" w:eastAsia="仿宋"/>
          <w:sz w:val="30"/>
          <w:szCs w:val="24"/>
          <w:lang w:val="en-US"/>
        </w:rPr>
      </w:pPr>
      <w:r>
        <w:rPr>
          <w:rFonts w:hint="eastAsia" w:ascii="黑体" w:hAnsi="黑体" w:eastAsia="黑体"/>
          <w:sz w:val="30"/>
          <w:szCs w:val="24"/>
          <w:lang w:val="en-US"/>
        </w:rPr>
        <w:t>十二、关于空表的说明</w:t>
      </w:r>
    </w:p>
    <w:p>
      <w:pPr>
        <w:spacing w:beforeLines="0" w:afterLines="0" w:line="640" w:lineRule="exact"/>
        <w:ind w:firstLine="600"/>
        <w:rPr>
          <w:rFonts w:hint="eastAsia" w:ascii="仿宋" w:hAnsi="仿宋" w:eastAsia="仿宋"/>
          <w:sz w:val="30"/>
          <w:szCs w:val="24"/>
          <w:lang w:val="en-US"/>
        </w:rPr>
      </w:pPr>
      <w:r>
        <w:rPr>
          <w:rFonts w:hint="eastAsia" w:ascii="仿宋" w:hAnsi="仿宋" w:eastAsia="仿宋"/>
          <w:sz w:val="30"/>
          <w:szCs w:val="24"/>
          <w:lang w:val="en-US" w:eastAsia="zh-CN"/>
        </w:rPr>
        <w:t>1</w:t>
      </w:r>
      <w:r>
        <w:rPr>
          <w:rFonts w:hint="eastAsia" w:ascii="仿宋" w:hAnsi="仿宋" w:eastAsia="仿宋"/>
          <w:sz w:val="30"/>
          <w:szCs w:val="24"/>
          <w:lang w:val="en-US"/>
        </w:rPr>
        <w:t>.</w:t>
      </w:r>
      <w:r>
        <w:rPr>
          <w:rFonts w:hint="eastAsia" w:ascii="仿宋" w:hAnsi="仿宋" w:eastAsia="仿宋"/>
          <w:kern w:val="2"/>
          <w:sz w:val="30"/>
          <w:szCs w:val="24"/>
          <w:lang w:val="zh-CN"/>
        </w:rPr>
        <w:t>天津市东丽区河长制事务中心</w:t>
      </w:r>
      <w:r>
        <w:rPr>
          <w:rFonts w:hint="eastAsia" w:ascii="仿宋" w:hAnsi="仿宋" w:eastAsia="仿宋"/>
          <w:kern w:val="2"/>
          <w:sz w:val="30"/>
          <w:szCs w:val="24"/>
          <w:lang w:val="en-US"/>
        </w:rPr>
        <w:t>2023年度政府性基金预算财政拨款收入支出决算表为空表。</w:t>
      </w:r>
    </w:p>
    <w:p>
      <w:pPr>
        <w:spacing w:beforeLines="0" w:afterLines="0" w:line="640" w:lineRule="exact"/>
        <w:ind w:firstLine="600"/>
        <w:rPr>
          <w:rFonts w:hint="eastAsia" w:ascii="仿宋" w:hAnsi="仿宋" w:eastAsia="仿宋"/>
          <w:sz w:val="30"/>
          <w:szCs w:val="24"/>
          <w:lang w:val="en-US"/>
        </w:rPr>
      </w:pPr>
      <w:r>
        <w:rPr>
          <w:rFonts w:hint="eastAsia" w:ascii="仿宋" w:hAnsi="仿宋" w:eastAsia="仿宋"/>
          <w:sz w:val="30"/>
          <w:szCs w:val="24"/>
          <w:lang w:val="en-US" w:eastAsia="zh-CN"/>
        </w:rPr>
        <w:t>2</w:t>
      </w:r>
      <w:r>
        <w:rPr>
          <w:rFonts w:hint="eastAsia" w:ascii="仿宋" w:hAnsi="仿宋" w:eastAsia="仿宋"/>
          <w:sz w:val="30"/>
          <w:szCs w:val="24"/>
          <w:lang w:val="en-US"/>
        </w:rPr>
        <w:t>.</w:t>
      </w:r>
      <w:r>
        <w:rPr>
          <w:rFonts w:hint="eastAsia" w:ascii="仿宋" w:hAnsi="仿宋" w:eastAsia="仿宋"/>
          <w:kern w:val="2"/>
          <w:sz w:val="30"/>
          <w:szCs w:val="24"/>
          <w:lang w:val="zh-CN"/>
        </w:rPr>
        <w:t>天津市东丽区河长制事务中心</w:t>
      </w:r>
      <w:r>
        <w:rPr>
          <w:rFonts w:hint="eastAsia" w:ascii="仿宋" w:hAnsi="仿宋" w:eastAsia="仿宋"/>
          <w:kern w:val="2"/>
          <w:sz w:val="30"/>
          <w:szCs w:val="24"/>
          <w:lang w:val="en-US"/>
        </w:rPr>
        <w:t>2023年度国有资本经营预算财政拨款收入支出决算表为空表。</w:t>
      </w:r>
    </w:p>
    <w:p>
      <w:pPr>
        <w:spacing w:beforeLines="0" w:afterLines="0" w:line="640" w:lineRule="exact"/>
        <w:ind w:firstLine="600"/>
        <w:rPr>
          <w:rFonts w:hint="eastAsia" w:ascii="仿宋" w:hAnsi="仿宋" w:eastAsia="仿宋"/>
          <w:kern w:val="2"/>
          <w:sz w:val="30"/>
          <w:szCs w:val="24"/>
          <w:lang w:val="en-US"/>
        </w:rPr>
      </w:pPr>
      <w:r>
        <w:rPr>
          <w:rFonts w:hint="eastAsia" w:ascii="仿宋" w:hAnsi="仿宋" w:eastAsia="仿宋"/>
          <w:sz w:val="30"/>
          <w:szCs w:val="24"/>
          <w:lang w:val="en-US" w:eastAsia="zh-CN"/>
        </w:rPr>
        <w:t>3</w:t>
      </w:r>
      <w:r>
        <w:rPr>
          <w:rFonts w:hint="eastAsia" w:ascii="仿宋" w:hAnsi="仿宋" w:eastAsia="仿宋"/>
          <w:sz w:val="30"/>
          <w:szCs w:val="24"/>
          <w:lang w:val="en-US"/>
        </w:rPr>
        <w:t>.</w:t>
      </w:r>
      <w:r>
        <w:rPr>
          <w:rFonts w:hint="eastAsia" w:ascii="仿宋" w:hAnsi="仿宋" w:eastAsia="仿宋"/>
          <w:kern w:val="2"/>
          <w:sz w:val="30"/>
          <w:szCs w:val="24"/>
          <w:lang w:val="zh-CN"/>
        </w:rPr>
        <w:t>天津市东丽区河长制事务中心</w:t>
      </w:r>
      <w:r>
        <w:rPr>
          <w:rFonts w:hint="eastAsia" w:ascii="仿宋" w:hAnsi="仿宋" w:eastAsia="仿宋"/>
          <w:kern w:val="2"/>
          <w:sz w:val="30"/>
          <w:szCs w:val="24"/>
          <w:lang w:val="en-US"/>
        </w:rPr>
        <w:t>2023年度财政拨款</w:t>
      </w:r>
      <w:r>
        <w:rPr>
          <w:rFonts w:hint="default" w:ascii="仿宋" w:hAnsi="仿宋" w:eastAsia="仿宋"/>
          <w:kern w:val="2"/>
          <w:sz w:val="30"/>
          <w:szCs w:val="24"/>
          <w:lang w:val="en-US"/>
        </w:rPr>
        <w:t>“</w:t>
      </w:r>
      <w:r>
        <w:rPr>
          <w:rFonts w:hint="eastAsia" w:ascii="仿宋" w:hAnsi="仿宋" w:eastAsia="仿宋"/>
          <w:kern w:val="2"/>
          <w:sz w:val="30"/>
          <w:szCs w:val="24"/>
          <w:lang w:val="en-US"/>
        </w:rPr>
        <w:t>三公</w:t>
      </w:r>
      <w:r>
        <w:rPr>
          <w:rFonts w:hint="default" w:ascii="仿宋" w:hAnsi="仿宋" w:eastAsia="仿宋"/>
          <w:kern w:val="2"/>
          <w:sz w:val="30"/>
          <w:szCs w:val="24"/>
          <w:lang w:val="en-US"/>
        </w:rPr>
        <w:t>”</w:t>
      </w:r>
      <w:r>
        <w:rPr>
          <w:rFonts w:hint="eastAsia" w:ascii="仿宋" w:hAnsi="仿宋" w:eastAsia="仿宋"/>
          <w:kern w:val="2"/>
          <w:sz w:val="30"/>
          <w:szCs w:val="24"/>
          <w:lang w:val="en-US"/>
        </w:rPr>
        <w:t>经费支出决算表为空表。</w:t>
      </w:r>
    </w:p>
    <w:p>
      <w:pPr>
        <w:spacing w:beforeLines="0" w:afterLines="0" w:line="640" w:lineRule="exact"/>
        <w:ind w:firstLine="600"/>
        <w:rPr>
          <w:rFonts w:hint="eastAsia" w:ascii="仿宋" w:hAnsi="仿宋" w:eastAsia="仿宋"/>
          <w:kern w:val="2"/>
          <w:sz w:val="30"/>
          <w:szCs w:val="24"/>
          <w:lang w:val="en-US"/>
        </w:rPr>
      </w:pPr>
    </w:p>
    <w:p>
      <w:pPr>
        <w:spacing w:beforeLines="0" w:afterLines="0" w:line="640" w:lineRule="exact"/>
        <w:ind w:firstLine="600"/>
        <w:rPr>
          <w:rFonts w:hint="eastAsia" w:ascii="仿宋" w:hAnsi="仿宋" w:eastAsia="仿宋"/>
          <w:kern w:val="2"/>
          <w:sz w:val="30"/>
          <w:szCs w:val="24"/>
          <w:lang w:val="en-US"/>
        </w:rPr>
      </w:pPr>
    </w:p>
    <w:p>
      <w:pPr>
        <w:spacing w:beforeLines="0" w:afterLines="0" w:line="640" w:lineRule="exact"/>
        <w:ind w:firstLine="600"/>
        <w:rPr>
          <w:rFonts w:hint="eastAsia" w:ascii="仿宋" w:hAnsi="仿宋" w:eastAsia="仿宋"/>
          <w:kern w:val="2"/>
          <w:sz w:val="30"/>
          <w:szCs w:val="24"/>
          <w:lang w:val="en-US"/>
        </w:rPr>
      </w:pPr>
    </w:p>
    <w:p>
      <w:pPr>
        <w:spacing w:beforeLines="0" w:afterLines="0" w:line="640" w:lineRule="exact"/>
        <w:ind w:firstLine="600"/>
        <w:rPr>
          <w:rFonts w:hint="eastAsia" w:ascii="仿宋" w:hAnsi="仿宋" w:eastAsia="仿宋"/>
          <w:kern w:val="2"/>
          <w:sz w:val="30"/>
          <w:szCs w:val="24"/>
          <w:lang w:val="en-US"/>
        </w:rPr>
      </w:pPr>
    </w:p>
    <w:p>
      <w:pPr>
        <w:spacing w:beforeLines="0" w:afterLines="0" w:line="640" w:lineRule="exact"/>
        <w:ind w:firstLine="600"/>
        <w:rPr>
          <w:rFonts w:hint="eastAsia" w:ascii="仿宋" w:hAnsi="仿宋" w:eastAsia="仿宋"/>
          <w:kern w:val="2"/>
          <w:sz w:val="30"/>
          <w:szCs w:val="24"/>
          <w:lang w:val="en-US"/>
        </w:rPr>
      </w:pPr>
    </w:p>
    <w:p>
      <w:pPr>
        <w:spacing w:beforeLines="0" w:afterLines="0" w:line="640" w:lineRule="exact"/>
        <w:ind w:firstLine="600"/>
        <w:rPr>
          <w:rFonts w:hint="eastAsia" w:ascii="仿宋" w:hAnsi="仿宋" w:eastAsia="仿宋"/>
          <w:kern w:val="2"/>
          <w:sz w:val="30"/>
          <w:szCs w:val="24"/>
          <w:lang w:val="en-US"/>
        </w:rPr>
      </w:pPr>
    </w:p>
    <w:p>
      <w:pPr>
        <w:spacing w:beforeLines="0" w:afterLines="0" w:line="640" w:lineRule="exact"/>
        <w:ind w:firstLine="600"/>
        <w:rPr>
          <w:rFonts w:hint="eastAsia" w:ascii="仿宋" w:hAnsi="仿宋" w:eastAsia="仿宋"/>
          <w:kern w:val="2"/>
          <w:sz w:val="30"/>
          <w:szCs w:val="24"/>
          <w:lang w:val="en-US"/>
        </w:rPr>
      </w:pPr>
    </w:p>
    <w:p>
      <w:pPr>
        <w:spacing w:beforeLines="0" w:afterLines="0" w:line="640" w:lineRule="exact"/>
        <w:ind w:firstLine="600"/>
        <w:rPr>
          <w:rFonts w:hint="eastAsia" w:ascii="仿宋" w:hAnsi="仿宋" w:eastAsia="仿宋"/>
          <w:kern w:val="2"/>
          <w:sz w:val="30"/>
          <w:szCs w:val="24"/>
          <w:lang w:val="en-US"/>
        </w:rPr>
      </w:pPr>
    </w:p>
    <w:p>
      <w:pPr>
        <w:spacing w:beforeLines="0" w:afterLines="0" w:line="640" w:lineRule="exact"/>
        <w:ind w:firstLine="600"/>
        <w:rPr>
          <w:rFonts w:hint="eastAsia" w:ascii="仿宋" w:hAnsi="仿宋" w:eastAsia="仿宋"/>
          <w:kern w:val="2"/>
          <w:sz w:val="30"/>
          <w:szCs w:val="24"/>
          <w:lang w:val="en-US"/>
        </w:rPr>
      </w:pPr>
    </w:p>
    <w:p>
      <w:pPr>
        <w:spacing w:beforeLines="0" w:afterLines="0" w:line="640" w:lineRule="exact"/>
        <w:ind w:firstLine="600"/>
        <w:rPr>
          <w:rFonts w:hint="eastAsia" w:ascii="仿宋" w:hAnsi="仿宋" w:eastAsia="仿宋"/>
          <w:kern w:val="2"/>
          <w:sz w:val="30"/>
          <w:szCs w:val="24"/>
          <w:lang w:val="en-US"/>
        </w:rPr>
      </w:pPr>
    </w:p>
    <w:p>
      <w:pPr>
        <w:spacing w:beforeLines="0" w:afterLines="0" w:line="640" w:lineRule="exact"/>
        <w:ind w:firstLine="600"/>
        <w:rPr>
          <w:rFonts w:hint="eastAsia" w:ascii="仿宋" w:hAnsi="仿宋" w:eastAsia="仿宋"/>
          <w:kern w:val="2"/>
          <w:sz w:val="30"/>
          <w:szCs w:val="24"/>
          <w:lang w:val="en-US"/>
        </w:rPr>
      </w:pPr>
    </w:p>
    <w:p>
      <w:pPr>
        <w:spacing w:beforeLines="0" w:afterLines="0" w:line="640" w:lineRule="exact"/>
        <w:ind w:firstLine="600"/>
        <w:rPr>
          <w:rFonts w:hint="eastAsia" w:ascii="仿宋" w:hAnsi="仿宋" w:eastAsia="仿宋"/>
          <w:kern w:val="2"/>
          <w:sz w:val="30"/>
          <w:szCs w:val="24"/>
          <w:lang w:val="en-US"/>
        </w:rPr>
      </w:pPr>
    </w:p>
    <w:p>
      <w:pPr>
        <w:spacing w:beforeLines="0" w:afterLines="0" w:line="640" w:lineRule="exact"/>
        <w:ind w:firstLine="600"/>
        <w:rPr>
          <w:rFonts w:hint="eastAsia" w:ascii="仿宋" w:hAnsi="仿宋" w:eastAsia="仿宋"/>
          <w:kern w:val="2"/>
          <w:sz w:val="30"/>
          <w:szCs w:val="24"/>
          <w:lang w:val="en-US"/>
        </w:rPr>
      </w:pPr>
    </w:p>
    <w:p>
      <w:pPr>
        <w:spacing w:beforeLines="0" w:afterLines="0" w:line="640" w:lineRule="exact"/>
        <w:ind w:firstLine="600"/>
        <w:rPr>
          <w:rFonts w:hint="eastAsia" w:ascii="仿宋" w:hAnsi="仿宋" w:eastAsia="仿宋"/>
          <w:kern w:val="2"/>
          <w:sz w:val="30"/>
          <w:szCs w:val="24"/>
          <w:lang w:val="en-US"/>
        </w:rPr>
      </w:pPr>
    </w:p>
    <w:p>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en-US"/>
        </w:rPr>
        <w:t>第三部分  2023年度部门决算情况说明</w:t>
      </w:r>
    </w:p>
    <w:p>
      <w:pPr>
        <w:spacing w:beforeLines="0" w:afterLines="0" w:line="580" w:lineRule="exact"/>
        <w:ind w:firstLine="600"/>
        <w:rPr>
          <w:rFonts w:hint="eastAsia" w:ascii="黑体" w:hAnsi="黑体" w:eastAsia="黑体"/>
          <w:kern w:val="2"/>
          <w:sz w:val="30"/>
          <w:szCs w:val="24"/>
          <w:lang w:val="zh-CN"/>
        </w:rPr>
      </w:pP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一、收入支出决算总体情况说明</w:t>
      </w:r>
    </w:p>
    <w:p>
      <w:pPr>
        <w:spacing w:beforeLines="0" w:afterLines="0" w:line="580" w:lineRule="exact"/>
        <w:ind w:firstLine="602"/>
        <w:rPr>
          <w:rFonts w:hint="eastAsia" w:ascii="仿宋" w:hAnsi="仿宋" w:eastAsia="仿宋"/>
          <w:sz w:val="30"/>
          <w:szCs w:val="24"/>
          <w:lang w:val="zh-CN"/>
        </w:rPr>
      </w:pPr>
      <w:r>
        <w:rPr>
          <w:rFonts w:hint="eastAsia" w:ascii="仿宋" w:hAnsi="仿宋" w:eastAsia="仿宋"/>
          <w:sz w:val="30"/>
          <w:szCs w:val="24"/>
          <w:lang w:val="zh-CN"/>
        </w:rPr>
        <w:t>天津市东丽区河长制事务中心2023年度收入、支出决算总计</w:t>
      </w:r>
      <w:r>
        <w:rPr>
          <w:rFonts w:hint="eastAsia" w:ascii="仿宋" w:hAnsi="仿宋" w:eastAsia="仿宋"/>
          <w:kern w:val="2"/>
          <w:sz w:val="30"/>
          <w:szCs w:val="24"/>
          <w:lang w:val="zh-CN"/>
        </w:rPr>
        <w:t>3,229,079.22</w:t>
      </w:r>
      <w:r>
        <w:rPr>
          <w:rFonts w:hint="eastAsia" w:ascii="仿宋" w:hAnsi="仿宋" w:eastAsia="仿宋"/>
          <w:sz w:val="30"/>
          <w:szCs w:val="24"/>
          <w:lang w:val="en-US"/>
        </w:rPr>
        <w:t>元，与2022年度相比，收、支总计各</w:t>
      </w:r>
      <w:r>
        <w:rPr>
          <w:rFonts w:hint="eastAsia" w:ascii="仿宋" w:hAnsi="仿宋" w:eastAsia="仿宋"/>
          <w:kern w:val="2"/>
          <w:sz w:val="30"/>
          <w:szCs w:val="24"/>
          <w:lang w:val="en-US"/>
        </w:rPr>
        <w:t>增加393,679.85</w:t>
      </w:r>
      <w:r>
        <w:rPr>
          <w:rFonts w:hint="eastAsia" w:ascii="仿宋" w:hAnsi="仿宋" w:eastAsia="仿宋"/>
          <w:sz w:val="30"/>
          <w:szCs w:val="24"/>
          <w:lang w:val="en-US"/>
        </w:rPr>
        <w:t>元</w:t>
      </w:r>
      <w:r>
        <w:rPr>
          <w:rFonts w:hint="eastAsia" w:ascii="仿宋" w:hAnsi="仿宋" w:eastAsia="仿宋"/>
          <w:kern w:val="2"/>
          <w:sz w:val="30"/>
          <w:szCs w:val="24"/>
          <w:lang w:val="en-US"/>
        </w:rPr>
        <w:t>，增长13.88%，</w:t>
      </w:r>
      <w:r>
        <w:rPr>
          <w:rFonts w:hint="eastAsia" w:ascii="仿宋" w:hAnsi="仿宋" w:eastAsia="仿宋"/>
          <w:sz w:val="30"/>
          <w:szCs w:val="24"/>
          <w:highlight w:val="none"/>
          <w:lang w:val="zh-CN"/>
        </w:rPr>
        <w:t>主要原因是</w:t>
      </w:r>
      <w:r>
        <w:rPr>
          <w:rFonts w:hint="eastAsia" w:ascii="仿宋" w:hAnsi="仿宋" w:eastAsia="仿宋"/>
          <w:sz w:val="30"/>
          <w:szCs w:val="24"/>
          <w:highlight w:val="none"/>
          <w:lang w:val="en-US" w:eastAsia="zh-CN"/>
        </w:rPr>
        <w:t>项目收入支出增加</w:t>
      </w:r>
      <w:r>
        <w:rPr>
          <w:rFonts w:hint="eastAsia" w:ascii="仿宋" w:hAnsi="仿宋" w:eastAsia="仿宋"/>
          <w:sz w:val="30"/>
          <w:szCs w:val="24"/>
          <w:highlight w:val="none"/>
          <w:lang w:val="zh-CN"/>
        </w:rPr>
        <w:t>。</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w:t>
      </w:r>
      <w:r>
        <w:rPr>
          <w:rFonts w:hint="eastAsia" w:ascii="黑体" w:hAnsi="黑体" w:eastAsia="黑体"/>
          <w:b/>
          <w:sz w:val="30"/>
          <w:szCs w:val="24"/>
          <w:lang w:val="en-US"/>
        </w:rPr>
        <w:t>收入决算情况</w:t>
      </w:r>
      <w:r>
        <w:rPr>
          <w:rFonts w:hint="eastAsia" w:ascii="黑体" w:hAnsi="黑体" w:eastAsia="黑体"/>
          <w:b/>
          <w:sz w:val="30"/>
          <w:szCs w:val="24"/>
          <w:lang w:val="zh-CN"/>
        </w:rPr>
        <w:t>说明</w:t>
      </w:r>
    </w:p>
    <w:p>
      <w:pPr>
        <w:spacing w:beforeLines="0" w:afterLines="0" w:line="600" w:lineRule="exact"/>
        <w:ind w:firstLine="600"/>
        <w:rPr>
          <w:rFonts w:hint="eastAsia" w:ascii="仿宋" w:hAnsi="仿宋" w:eastAsia="仿宋"/>
          <w:kern w:val="2"/>
          <w:sz w:val="30"/>
          <w:szCs w:val="24"/>
          <w:lang w:val="en-US"/>
        </w:rPr>
      </w:pPr>
      <w:r>
        <w:rPr>
          <w:rFonts w:hint="eastAsia" w:ascii="仿宋" w:hAnsi="仿宋" w:eastAsia="仿宋"/>
          <w:kern w:val="2"/>
          <w:sz w:val="30"/>
          <w:szCs w:val="24"/>
          <w:lang w:val="zh-CN"/>
        </w:rPr>
        <w:t>天津市东丽区河长制事务中心2023年度本年收入合计3,229,079.22</w:t>
      </w:r>
      <w:r>
        <w:rPr>
          <w:rFonts w:hint="eastAsia" w:ascii="仿宋" w:hAnsi="仿宋" w:eastAsia="仿宋"/>
          <w:kern w:val="2"/>
          <w:sz w:val="30"/>
          <w:szCs w:val="24"/>
          <w:lang w:val="en-US"/>
        </w:rPr>
        <w:t>元，与2022年度相比增加393,679.85元，</w:t>
      </w:r>
      <w:r>
        <w:rPr>
          <w:rFonts w:hint="eastAsia" w:ascii="仿宋" w:hAnsi="仿宋" w:eastAsia="仿宋"/>
          <w:sz w:val="30"/>
          <w:szCs w:val="24"/>
          <w:highlight w:val="none"/>
          <w:lang w:val="zh-CN"/>
        </w:rPr>
        <w:t>主要原因是</w:t>
      </w:r>
      <w:r>
        <w:rPr>
          <w:rFonts w:hint="eastAsia" w:ascii="仿宋" w:hAnsi="仿宋" w:eastAsia="仿宋"/>
          <w:sz w:val="30"/>
          <w:szCs w:val="24"/>
          <w:highlight w:val="none"/>
          <w:lang w:val="en-US" w:eastAsia="zh-CN"/>
        </w:rPr>
        <w:t>项目收入增加</w:t>
      </w:r>
      <w:r>
        <w:rPr>
          <w:rFonts w:hint="eastAsia" w:ascii="仿宋" w:hAnsi="仿宋" w:eastAsia="仿宋"/>
          <w:sz w:val="30"/>
          <w:szCs w:val="24"/>
          <w:highlight w:val="none"/>
          <w:lang w:val="zh-CN"/>
        </w:rPr>
        <w:t>。</w:t>
      </w:r>
      <w:r>
        <w:rPr>
          <w:rFonts w:hint="eastAsia" w:ascii="仿宋" w:hAnsi="仿宋" w:eastAsia="仿宋"/>
          <w:kern w:val="2"/>
          <w:sz w:val="30"/>
          <w:szCs w:val="24"/>
          <w:lang w:val="en-US"/>
        </w:rPr>
        <w:t>其中：</w:t>
      </w:r>
      <w:r>
        <w:rPr>
          <w:rFonts w:hint="eastAsia" w:ascii="仿宋" w:hAnsi="仿宋" w:eastAsia="仿宋"/>
          <w:kern w:val="2"/>
          <w:sz w:val="30"/>
          <w:szCs w:val="24"/>
          <w:lang w:val="zh-CN"/>
        </w:rPr>
        <w:t>一般公共预算财政拨款收入3,229,019.29元，占100.00%；其他收入59.93元，占0.00%。</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zh-CN"/>
        </w:rPr>
        <w:t>三、支出</w:t>
      </w:r>
      <w:r>
        <w:rPr>
          <w:rFonts w:hint="eastAsia" w:ascii="黑体" w:hAnsi="黑体" w:eastAsia="黑体"/>
          <w:b/>
          <w:sz w:val="30"/>
          <w:szCs w:val="24"/>
          <w:lang w:val="en-US"/>
        </w:rPr>
        <w:t>决算情况说明</w:t>
      </w:r>
    </w:p>
    <w:p>
      <w:pPr>
        <w:spacing w:beforeLines="0" w:afterLines="0" w:line="580" w:lineRule="exact"/>
        <w:ind w:firstLine="600"/>
        <w:rPr>
          <w:rFonts w:hint="eastAsia" w:ascii="仿宋" w:hAnsi="仿宋" w:eastAsia="仿宋"/>
          <w:kern w:val="2"/>
          <w:sz w:val="30"/>
          <w:szCs w:val="24"/>
          <w:lang w:val="en-US"/>
        </w:rPr>
      </w:pPr>
      <w:r>
        <w:rPr>
          <w:rFonts w:hint="eastAsia" w:ascii="仿宋" w:hAnsi="仿宋" w:eastAsia="仿宋"/>
          <w:kern w:val="2"/>
          <w:sz w:val="30"/>
          <w:szCs w:val="24"/>
          <w:lang w:val="en-US"/>
        </w:rPr>
        <w:t>天津市东丽区河长制事务中心2023年度本年支出合计3,229,019.29元，与2022年度相比增加393,932.64元，</w:t>
      </w:r>
      <w:r>
        <w:rPr>
          <w:rFonts w:hint="eastAsia" w:ascii="仿宋" w:hAnsi="仿宋" w:eastAsia="仿宋"/>
          <w:sz w:val="30"/>
          <w:szCs w:val="24"/>
          <w:highlight w:val="none"/>
          <w:lang w:val="zh-CN"/>
        </w:rPr>
        <w:t>主要原因是</w:t>
      </w:r>
      <w:r>
        <w:rPr>
          <w:rFonts w:hint="eastAsia" w:ascii="仿宋" w:hAnsi="仿宋" w:eastAsia="仿宋"/>
          <w:sz w:val="30"/>
          <w:szCs w:val="24"/>
          <w:highlight w:val="none"/>
          <w:lang w:val="en-US" w:eastAsia="zh-CN"/>
        </w:rPr>
        <w:t>项目支出增加</w:t>
      </w:r>
      <w:r>
        <w:rPr>
          <w:rFonts w:hint="eastAsia" w:ascii="仿宋" w:hAnsi="仿宋" w:eastAsia="仿宋"/>
          <w:sz w:val="30"/>
          <w:szCs w:val="24"/>
          <w:highlight w:val="none"/>
          <w:lang w:val="zh-CN"/>
        </w:rPr>
        <w:t>。</w:t>
      </w:r>
      <w:r>
        <w:rPr>
          <w:rFonts w:hint="eastAsia" w:ascii="仿宋" w:hAnsi="仿宋" w:eastAsia="仿宋"/>
          <w:kern w:val="2"/>
          <w:sz w:val="30"/>
          <w:szCs w:val="24"/>
          <w:lang w:val="en-US"/>
        </w:rPr>
        <w:t>其中：</w:t>
      </w:r>
      <w:r>
        <w:rPr>
          <w:rFonts w:hint="eastAsia" w:ascii="仿宋" w:hAnsi="仿宋" w:eastAsia="仿宋"/>
          <w:kern w:val="2"/>
          <w:sz w:val="30"/>
          <w:szCs w:val="24"/>
          <w:lang w:val="zh-CN"/>
        </w:rPr>
        <w:t>基本支出2,518,264.29元，占77.99%；项目支出710,755.00元，占22.01%。</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四、财政拨款收支决算总体情况说明</w:t>
      </w:r>
    </w:p>
    <w:p>
      <w:pPr>
        <w:spacing w:beforeLines="0" w:afterLines="0" w:line="580" w:lineRule="exact"/>
        <w:ind w:firstLine="600"/>
        <w:rPr>
          <w:rFonts w:hint="eastAsia" w:ascii="仿宋" w:hAnsi="仿宋" w:eastAsia="仿宋"/>
          <w:kern w:val="2"/>
          <w:sz w:val="30"/>
          <w:szCs w:val="24"/>
          <w:lang w:val="en-US"/>
        </w:rPr>
      </w:pPr>
      <w:r>
        <w:rPr>
          <w:rFonts w:hint="eastAsia" w:ascii="仿宋" w:hAnsi="仿宋" w:eastAsia="仿宋"/>
          <w:kern w:val="2"/>
          <w:sz w:val="30"/>
          <w:szCs w:val="24"/>
          <w:lang w:val="en-US"/>
        </w:rPr>
        <w:t>天津市东丽区河长制事务中心2023年度财政拨款收入、支出决算总计</w:t>
      </w:r>
      <w:r>
        <w:rPr>
          <w:rFonts w:hint="eastAsia" w:ascii="仿宋" w:hAnsi="仿宋" w:eastAsia="仿宋"/>
          <w:kern w:val="2"/>
          <w:sz w:val="30"/>
          <w:szCs w:val="24"/>
          <w:lang w:val="zh-CN"/>
        </w:rPr>
        <w:t>3,229,019.29</w:t>
      </w:r>
      <w:r>
        <w:rPr>
          <w:rFonts w:hint="eastAsia" w:ascii="仿宋" w:hAnsi="仿宋" w:eastAsia="仿宋"/>
          <w:kern w:val="2"/>
          <w:sz w:val="30"/>
          <w:szCs w:val="24"/>
          <w:lang w:val="en-US"/>
        </w:rPr>
        <w:t>元，与2022年度相比，财政拨款收、支总计各增加393,932.64元，增长13.89%，</w:t>
      </w:r>
      <w:r>
        <w:rPr>
          <w:rFonts w:hint="eastAsia" w:ascii="仿宋" w:hAnsi="仿宋" w:eastAsia="仿宋"/>
          <w:sz w:val="30"/>
          <w:szCs w:val="24"/>
          <w:highlight w:val="none"/>
          <w:lang w:val="zh-CN"/>
        </w:rPr>
        <w:t>主要原因是</w:t>
      </w:r>
      <w:r>
        <w:rPr>
          <w:rFonts w:hint="eastAsia" w:ascii="仿宋" w:hAnsi="仿宋" w:eastAsia="仿宋"/>
          <w:sz w:val="30"/>
          <w:szCs w:val="24"/>
          <w:highlight w:val="none"/>
          <w:lang w:val="en-US" w:eastAsia="zh-CN"/>
        </w:rPr>
        <w:t>项目收入支出增加</w:t>
      </w:r>
      <w:r>
        <w:rPr>
          <w:rFonts w:hint="eastAsia" w:ascii="仿宋" w:hAnsi="仿宋" w:eastAsia="仿宋"/>
          <w:sz w:val="30"/>
          <w:szCs w:val="24"/>
          <w:highlight w:val="none"/>
          <w:lang w:val="zh-CN"/>
        </w:rPr>
        <w:t>。</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五、一般公共预算财政拨款支出决算情况说明</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（一）总体情况</w:t>
      </w:r>
    </w:p>
    <w:p>
      <w:pPr>
        <w:spacing w:beforeLines="0" w:afterLines="0" w:line="580" w:lineRule="exact"/>
        <w:ind w:firstLine="600"/>
        <w:rPr>
          <w:rFonts w:hint="eastAsia" w:ascii="仿宋" w:hAnsi="仿宋" w:eastAsia="仿宋"/>
          <w:sz w:val="30"/>
          <w:szCs w:val="24"/>
          <w:lang w:val="en-US"/>
        </w:rPr>
      </w:pPr>
      <w:r>
        <w:rPr>
          <w:rFonts w:hint="eastAsia" w:ascii="仿宋" w:hAnsi="仿宋" w:eastAsia="仿宋"/>
          <w:kern w:val="2"/>
          <w:sz w:val="30"/>
          <w:szCs w:val="24"/>
          <w:lang w:val="en-US"/>
        </w:rPr>
        <w:t>天津市东丽区河长制事务中心2023年度部门决算一般公共预算财政拨款支出</w:t>
      </w:r>
      <w:r>
        <w:rPr>
          <w:rFonts w:hint="eastAsia" w:ascii="仿宋" w:hAnsi="仿宋" w:eastAsia="仿宋"/>
          <w:kern w:val="2"/>
          <w:sz w:val="30"/>
          <w:szCs w:val="24"/>
          <w:lang w:val="zh-CN"/>
        </w:rPr>
        <w:t>合</w:t>
      </w:r>
      <w:r>
        <w:rPr>
          <w:rFonts w:hint="eastAsia" w:ascii="仿宋" w:hAnsi="仿宋" w:eastAsia="仿宋"/>
          <w:kern w:val="2"/>
          <w:sz w:val="30"/>
          <w:szCs w:val="24"/>
          <w:lang w:val="en-US"/>
        </w:rPr>
        <w:t>计3,229,019.29元，占本年支出合计的100.00%，与2022年度相比，增加393,932.64元，增长13.89%，</w:t>
      </w:r>
      <w:r>
        <w:rPr>
          <w:rFonts w:hint="eastAsia" w:ascii="仿宋" w:hAnsi="仿宋" w:eastAsia="仿宋"/>
          <w:sz w:val="30"/>
          <w:szCs w:val="24"/>
          <w:highlight w:val="none"/>
          <w:lang w:val="zh-CN"/>
        </w:rPr>
        <w:t>主要原因是</w:t>
      </w:r>
      <w:r>
        <w:rPr>
          <w:rFonts w:hint="eastAsia" w:ascii="仿宋" w:hAnsi="仿宋" w:eastAsia="仿宋"/>
          <w:sz w:val="30"/>
          <w:szCs w:val="24"/>
          <w:highlight w:val="none"/>
          <w:lang w:val="en-US" w:eastAsia="zh-CN"/>
        </w:rPr>
        <w:t>项目支出增加</w:t>
      </w:r>
      <w:r>
        <w:rPr>
          <w:rFonts w:hint="eastAsia" w:ascii="仿宋" w:hAnsi="仿宋" w:eastAsia="仿宋"/>
          <w:sz w:val="30"/>
          <w:szCs w:val="24"/>
          <w:highlight w:val="none"/>
          <w:lang w:val="zh-CN"/>
        </w:rPr>
        <w:t>。</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（二）</w:t>
      </w:r>
      <w:r>
        <w:rPr>
          <w:rFonts w:hint="eastAsia" w:ascii="楷体" w:hAnsi="楷体" w:eastAsia="楷体"/>
          <w:b/>
          <w:sz w:val="30"/>
          <w:szCs w:val="24"/>
          <w:lang w:val="zh-CN"/>
        </w:rPr>
        <w:t>支出结构</w:t>
      </w:r>
      <w:r>
        <w:rPr>
          <w:rFonts w:hint="eastAsia" w:ascii="楷体" w:hAnsi="楷体" w:eastAsia="楷体"/>
          <w:b/>
          <w:sz w:val="30"/>
          <w:szCs w:val="24"/>
          <w:lang w:val="en-US"/>
        </w:rPr>
        <w:t>情况</w:t>
      </w:r>
    </w:p>
    <w:p>
      <w:pPr>
        <w:spacing w:beforeLines="0" w:afterLines="0" w:line="600" w:lineRule="exact"/>
        <w:ind w:firstLine="720"/>
        <w:rPr>
          <w:rFonts w:hint="eastAsia" w:ascii="仿宋" w:hAnsi="仿宋" w:eastAsia="仿宋"/>
          <w:kern w:val="2"/>
          <w:sz w:val="30"/>
          <w:szCs w:val="24"/>
          <w:lang w:val="zh-CN"/>
        </w:rPr>
      </w:pPr>
      <w:r>
        <w:rPr>
          <w:rFonts w:hint="eastAsia" w:ascii="仿宋" w:hAnsi="仿宋" w:eastAsia="仿宋"/>
          <w:kern w:val="2"/>
          <w:sz w:val="30"/>
          <w:szCs w:val="24"/>
          <w:lang w:val="en-US"/>
        </w:rPr>
        <w:t>2023年度一般公共预算财政拨款支出3,229,019.29元，</w:t>
      </w:r>
      <w:r>
        <w:rPr>
          <w:rFonts w:hint="eastAsia" w:ascii="仿宋" w:hAnsi="仿宋" w:eastAsia="仿宋"/>
          <w:sz w:val="30"/>
          <w:szCs w:val="24"/>
          <w:lang w:val="en-US"/>
        </w:rPr>
        <w:t>主要用于以下方面：</w:t>
      </w:r>
      <w:r>
        <w:rPr>
          <w:rFonts w:hint="eastAsia" w:ascii="仿宋" w:hAnsi="仿宋" w:eastAsia="仿宋"/>
          <w:kern w:val="2"/>
          <w:sz w:val="30"/>
          <w:szCs w:val="24"/>
          <w:lang w:val="zh-CN"/>
        </w:rPr>
        <w:t>社会保障和就业支出247,847.04元，占7.68%；卫生健康支出9,816.00元，占0.30%；农林水支出2,971,356.25元，占92.02%。</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（三）具体情况</w:t>
      </w:r>
    </w:p>
    <w:p>
      <w:pPr>
        <w:spacing w:beforeLines="0" w:afterLines="0" w:line="600" w:lineRule="exact"/>
        <w:ind w:firstLine="600"/>
        <w:rPr>
          <w:rFonts w:hint="eastAsia" w:ascii="仿宋" w:hAnsi="仿宋" w:eastAsia="仿宋"/>
          <w:sz w:val="30"/>
          <w:szCs w:val="24"/>
          <w:lang w:val="en-US"/>
        </w:rPr>
      </w:pPr>
      <w:r>
        <w:rPr>
          <w:rFonts w:hint="eastAsia" w:ascii="仿宋" w:hAnsi="仿宋" w:eastAsia="仿宋"/>
          <w:sz w:val="30"/>
          <w:szCs w:val="24"/>
          <w:lang w:val="en-US"/>
        </w:rPr>
        <w:t>2023年度一般公共预算财政拨款支出年初预算为</w:t>
      </w:r>
      <w:r>
        <w:rPr>
          <w:rFonts w:hint="eastAsia" w:ascii="仿宋" w:hAnsi="仿宋" w:eastAsia="仿宋"/>
          <w:kern w:val="2"/>
          <w:sz w:val="30"/>
          <w:szCs w:val="24"/>
          <w:lang w:val="en-US"/>
        </w:rPr>
        <w:t>3,541,886.35</w:t>
      </w:r>
      <w:r>
        <w:rPr>
          <w:rFonts w:hint="eastAsia" w:ascii="仿宋" w:hAnsi="仿宋" w:eastAsia="仿宋"/>
          <w:sz w:val="30"/>
          <w:szCs w:val="24"/>
          <w:lang w:val="en-US"/>
        </w:rPr>
        <w:t>元，支出决算为</w:t>
      </w:r>
      <w:r>
        <w:rPr>
          <w:rFonts w:hint="eastAsia" w:ascii="仿宋" w:hAnsi="仿宋" w:eastAsia="仿宋"/>
          <w:kern w:val="2"/>
          <w:sz w:val="30"/>
          <w:szCs w:val="24"/>
          <w:lang w:val="en-US"/>
        </w:rPr>
        <w:t>3,229,019.29</w:t>
      </w:r>
      <w:r>
        <w:rPr>
          <w:rFonts w:hint="eastAsia" w:ascii="仿宋" w:hAnsi="仿宋" w:eastAsia="仿宋"/>
          <w:sz w:val="30"/>
          <w:szCs w:val="24"/>
          <w:lang w:val="en-US"/>
        </w:rPr>
        <w:t>元，完成年初预算的</w:t>
      </w:r>
      <w:r>
        <w:rPr>
          <w:rFonts w:hint="eastAsia" w:ascii="仿宋" w:hAnsi="仿宋" w:eastAsia="仿宋"/>
          <w:kern w:val="2"/>
          <w:sz w:val="30"/>
          <w:szCs w:val="24"/>
          <w:lang w:val="en-US"/>
        </w:rPr>
        <w:t>91.17</w:t>
      </w:r>
      <w:r>
        <w:rPr>
          <w:rFonts w:hint="eastAsia" w:ascii="仿宋" w:hAnsi="仿宋" w:eastAsia="仿宋"/>
          <w:sz w:val="30"/>
          <w:szCs w:val="24"/>
          <w:lang w:val="en-US"/>
        </w:rPr>
        <w:t>%。其中：</w:t>
      </w:r>
    </w:p>
    <w:p>
      <w:pPr>
        <w:spacing w:beforeLines="0" w:afterLines="0" w:line="600" w:lineRule="exact"/>
        <w:ind w:firstLine="600"/>
        <w:rPr>
          <w:rFonts w:hint="eastAsia" w:ascii="仿宋" w:hAnsi="仿宋" w:eastAsia="仿宋"/>
          <w:sz w:val="30"/>
          <w:szCs w:val="24"/>
          <w:lang w:val="en-US" w:eastAsia="zh-CN"/>
        </w:rPr>
      </w:pPr>
      <w:r>
        <w:rPr>
          <w:rFonts w:hint="eastAsia" w:ascii="仿宋" w:hAnsi="仿宋" w:eastAsia="仿宋"/>
          <w:sz w:val="30"/>
          <w:szCs w:val="24"/>
          <w:lang w:val="en-US" w:eastAsia="zh-CN"/>
        </w:rPr>
        <w:t>1.</w:t>
      </w:r>
      <w:r>
        <w:rPr>
          <w:rFonts w:hint="eastAsia" w:ascii="仿宋" w:hAnsi="仿宋" w:eastAsia="仿宋"/>
          <w:sz w:val="30"/>
          <w:szCs w:val="24"/>
          <w:lang w:val="en-US"/>
        </w:rPr>
        <w:t>社会保障和就业支出(类)行政事业单位养老支出(款)机关事业单位基本养老保险缴费支出(项)年初预算为165,200.00元，支出决算为165,231.36元，完成年初预算的100.02%，决算数大于年初预算数的主要原因是</w:t>
      </w:r>
      <w:r>
        <w:rPr>
          <w:rFonts w:hint="eastAsia" w:ascii="仿宋" w:hAnsi="仿宋" w:eastAsia="仿宋"/>
          <w:sz w:val="30"/>
          <w:szCs w:val="24"/>
          <w:lang w:val="en-US" w:eastAsia="zh-CN"/>
        </w:rPr>
        <w:t>核算四舍五入差额。</w:t>
      </w:r>
    </w:p>
    <w:p>
      <w:pPr>
        <w:spacing w:beforeLines="0" w:afterLines="0" w:line="600" w:lineRule="exact"/>
        <w:ind w:firstLine="600"/>
        <w:rPr>
          <w:rFonts w:hint="eastAsia" w:ascii="仿宋" w:hAnsi="仿宋" w:eastAsia="仿宋"/>
          <w:sz w:val="30"/>
          <w:szCs w:val="24"/>
          <w:lang w:val="en-US" w:eastAsia="zh-CN"/>
        </w:rPr>
      </w:pPr>
      <w:r>
        <w:rPr>
          <w:rFonts w:hint="eastAsia" w:ascii="仿宋" w:hAnsi="仿宋" w:eastAsia="仿宋"/>
          <w:sz w:val="30"/>
          <w:szCs w:val="24"/>
          <w:lang w:val="en-US" w:eastAsia="zh-CN"/>
        </w:rPr>
        <w:t>2.</w:t>
      </w:r>
      <w:r>
        <w:rPr>
          <w:rFonts w:hint="eastAsia" w:ascii="仿宋" w:hAnsi="仿宋" w:eastAsia="仿宋"/>
          <w:sz w:val="30"/>
          <w:szCs w:val="24"/>
          <w:lang w:val="en-US"/>
        </w:rPr>
        <w:t>社会保障和就业支出(类)行政事业单位养老支出(款)机关事业单位职业年金缴费支出(项)年初预算为82,600.00元，支出决算为82,615.68元，完成年初预算的100.02%，决算数大于年初预算数的主要原因是</w:t>
      </w:r>
      <w:r>
        <w:rPr>
          <w:rFonts w:hint="eastAsia" w:ascii="仿宋" w:hAnsi="仿宋" w:eastAsia="仿宋"/>
          <w:sz w:val="30"/>
          <w:szCs w:val="24"/>
          <w:lang w:val="en-US" w:eastAsia="zh-CN"/>
        </w:rPr>
        <w:t>核算四舍五入差额。</w:t>
      </w:r>
    </w:p>
    <w:p>
      <w:pPr>
        <w:spacing w:beforeLines="0" w:afterLines="0" w:line="600" w:lineRule="exact"/>
        <w:ind w:firstLine="600"/>
        <w:rPr>
          <w:rFonts w:hint="eastAsia" w:ascii="仿宋" w:hAnsi="仿宋" w:eastAsia="仿宋"/>
          <w:sz w:val="30"/>
          <w:szCs w:val="24"/>
          <w:lang w:val="en-US" w:eastAsia="zh-CN"/>
        </w:rPr>
      </w:pPr>
      <w:r>
        <w:rPr>
          <w:rFonts w:hint="eastAsia" w:ascii="仿宋" w:hAnsi="仿宋" w:eastAsia="仿宋"/>
          <w:sz w:val="30"/>
          <w:szCs w:val="24"/>
          <w:lang w:val="en-US" w:eastAsia="zh-CN"/>
        </w:rPr>
        <w:t>3.</w:t>
      </w:r>
      <w:r>
        <w:rPr>
          <w:rFonts w:hint="eastAsia" w:ascii="仿宋" w:hAnsi="仿宋" w:eastAsia="仿宋"/>
          <w:sz w:val="30"/>
          <w:szCs w:val="24"/>
          <w:lang w:val="en-US"/>
        </w:rPr>
        <w:t>卫生健康支出(类)行政事业单位医疗(款)事业单位医疗(项)年初预算为108,400.00元，支出决算为9,816.00元，完成年初预算的9.06%，决算数小于年初预算数的主要原因是</w:t>
      </w:r>
      <w:r>
        <w:rPr>
          <w:rFonts w:hint="eastAsia" w:ascii="仿宋" w:hAnsi="仿宋" w:eastAsia="仿宋"/>
          <w:sz w:val="30"/>
          <w:szCs w:val="24"/>
          <w:lang w:val="en-US" w:eastAsia="zh-CN"/>
        </w:rPr>
        <w:t>年中科目调整。</w:t>
      </w:r>
    </w:p>
    <w:p>
      <w:pPr>
        <w:spacing w:beforeLines="0" w:afterLines="0" w:line="600" w:lineRule="exact"/>
        <w:ind w:firstLine="600"/>
        <w:rPr>
          <w:rFonts w:hint="eastAsia" w:ascii="仿宋" w:hAnsi="仿宋" w:eastAsia="仿宋"/>
          <w:sz w:val="30"/>
          <w:szCs w:val="24"/>
          <w:lang w:val="en-US" w:eastAsia="zh-CN"/>
        </w:rPr>
      </w:pPr>
      <w:r>
        <w:rPr>
          <w:rFonts w:hint="eastAsia" w:ascii="仿宋" w:hAnsi="仿宋" w:eastAsia="仿宋"/>
          <w:sz w:val="30"/>
          <w:szCs w:val="24"/>
          <w:lang w:val="en-US" w:eastAsia="zh-CN"/>
        </w:rPr>
        <w:t>4.</w:t>
      </w:r>
      <w:r>
        <w:rPr>
          <w:rFonts w:hint="eastAsia" w:ascii="仿宋" w:hAnsi="仿宋" w:eastAsia="仿宋"/>
          <w:sz w:val="30"/>
          <w:szCs w:val="24"/>
          <w:lang w:val="en-US"/>
        </w:rPr>
        <w:t>农林水支出(类)水利(款)水利行业业务管理(项)年初预算为2,193,200.00元，支出决算为2,260,601.25元，完成年初预算的103.07%，决算数大于年初预算数的主要原因是</w:t>
      </w:r>
      <w:r>
        <w:rPr>
          <w:rFonts w:hint="eastAsia" w:ascii="仿宋" w:hAnsi="仿宋" w:eastAsia="仿宋"/>
          <w:sz w:val="30"/>
          <w:szCs w:val="24"/>
          <w:lang w:val="en-US" w:eastAsia="zh-CN"/>
        </w:rPr>
        <w:t>人员变动。</w:t>
      </w:r>
    </w:p>
    <w:p>
      <w:pPr>
        <w:spacing w:beforeLines="0" w:afterLines="0" w:line="600" w:lineRule="exact"/>
        <w:ind w:firstLine="600"/>
        <w:rPr>
          <w:rFonts w:hint="default" w:ascii="仿宋" w:hAnsi="仿宋" w:eastAsia="仿宋"/>
          <w:sz w:val="30"/>
          <w:szCs w:val="24"/>
          <w:lang w:val="en-US" w:eastAsia="zh-CN"/>
        </w:rPr>
      </w:pPr>
      <w:r>
        <w:rPr>
          <w:rFonts w:hint="eastAsia" w:ascii="仿宋" w:hAnsi="仿宋" w:eastAsia="仿宋"/>
          <w:sz w:val="30"/>
          <w:szCs w:val="24"/>
          <w:lang w:val="en-US" w:eastAsia="zh-CN"/>
        </w:rPr>
        <w:t>5.</w:t>
      </w:r>
      <w:r>
        <w:rPr>
          <w:rFonts w:hint="eastAsia" w:ascii="仿宋" w:hAnsi="仿宋" w:eastAsia="仿宋"/>
          <w:sz w:val="30"/>
          <w:szCs w:val="24"/>
          <w:lang w:val="en-US"/>
        </w:rPr>
        <w:t>农林水支出(类)水利(款)水资源节约管理与保护(项)年初预算为992,500.00元，支出决算为710,755.00元，完成年初预算的71.61%，决算数小于年初预算数的主要原因是</w:t>
      </w:r>
      <w:r>
        <w:rPr>
          <w:rFonts w:hint="eastAsia" w:ascii="仿宋" w:hAnsi="仿宋" w:eastAsia="仿宋"/>
          <w:sz w:val="30"/>
          <w:szCs w:val="24"/>
          <w:lang w:val="en-US" w:eastAsia="zh-CN"/>
        </w:rPr>
        <w:t>压减一般性支出。</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六、一般公共预算财政拨款基本支出决算情况说明</w:t>
      </w:r>
    </w:p>
    <w:p>
      <w:pPr>
        <w:spacing w:beforeLines="0" w:afterLines="0" w:line="580" w:lineRule="exact"/>
        <w:ind w:firstLine="600"/>
        <w:rPr>
          <w:rFonts w:hint="eastAsia" w:ascii="仿宋" w:hAnsi="仿宋" w:eastAsia="仿宋"/>
          <w:sz w:val="30"/>
          <w:szCs w:val="24"/>
          <w:lang w:val="en-US"/>
        </w:rPr>
      </w:pPr>
      <w:r>
        <w:rPr>
          <w:rFonts w:hint="eastAsia" w:ascii="仿宋" w:hAnsi="仿宋" w:eastAsia="仿宋"/>
          <w:kern w:val="2"/>
          <w:sz w:val="30"/>
          <w:szCs w:val="24"/>
          <w:lang w:val="en-US"/>
        </w:rPr>
        <w:t>天津市东丽区河长制事务中心2023年度部门决算一般公共预算财政拨款基本支出合计2,518,264.29元，与2022年度相比增加223,917.64元，</w:t>
      </w:r>
      <w:r>
        <w:rPr>
          <w:rFonts w:hint="eastAsia" w:ascii="仿宋" w:hAnsi="仿宋" w:eastAsia="仿宋"/>
          <w:sz w:val="30"/>
          <w:szCs w:val="24"/>
          <w:highlight w:val="none"/>
          <w:lang w:val="en-US"/>
        </w:rPr>
        <w:t>主要原因是</w:t>
      </w:r>
      <w:r>
        <w:rPr>
          <w:rFonts w:hint="eastAsia" w:ascii="仿宋" w:hAnsi="仿宋" w:eastAsia="仿宋"/>
          <w:kern w:val="2"/>
          <w:sz w:val="30"/>
          <w:szCs w:val="24"/>
          <w:highlight w:val="none"/>
          <w:lang w:val="zh-CN"/>
        </w:rPr>
        <w:t>：</w:t>
      </w:r>
      <w:r>
        <w:rPr>
          <w:rFonts w:hint="eastAsia" w:ascii="仿宋" w:hAnsi="仿宋" w:eastAsia="仿宋"/>
          <w:kern w:val="2"/>
          <w:sz w:val="30"/>
          <w:szCs w:val="24"/>
          <w:highlight w:val="none"/>
          <w:lang w:val="en-US" w:eastAsia="zh-CN"/>
        </w:rPr>
        <w:t>薪级工资增加及人员变化</w:t>
      </w:r>
      <w:r>
        <w:rPr>
          <w:rFonts w:hint="eastAsia" w:ascii="仿宋" w:hAnsi="仿宋" w:eastAsia="仿宋"/>
          <w:kern w:val="2"/>
          <w:sz w:val="30"/>
          <w:szCs w:val="24"/>
          <w:highlight w:val="none"/>
          <w:lang w:val="en-US"/>
        </w:rPr>
        <w:t>。</w:t>
      </w:r>
      <w:r>
        <w:rPr>
          <w:rFonts w:hint="eastAsia" w:ascii="仿宋" w:hAnsi="仿宋" w:eastAsia="仿宋"/>
          <w:sz w:val="30"/>
          <w:szCs w:val="24"/>
          <w:lang w:val="en-US"/>
        </w:rPr>
        <w:t>其中：</w:t>
      </w:r>
    </w:p>
    <w:p>
      <w:pPr>
        <w:spacing w:beforeLines="0" w:afterLines="0" w:line="580" w:lineRule="exact"/>
        <w:ind w:firstLine="600"/>
        <w:rPr>
          <w:rFonts w:hint="eastAsia" w:ascii="仿宋" w:hAnsi="仿宋" w:eastAsia="仿宋"/>
          <w:sz w:val="30"/>
          <w:szCs w:val="24"/>
          <w:lang w:val="en-US"/>
        </w:rPr>
      </w:pPr>
      <w:r>
        <w:rPr>
          <w:rFonts w:hint="eastAsia" w:ascii="仿宋" w:hAnsi="仿宋" w:eastAsia="仿宋"/>
          <w:sz w:val="30"/>
          <w:szCs w:val="24"/>
          <w:lang w:val="en-US"/>
        </w:rPr>
        <w:t>人员经费</w:t>
      </w:r>
      <w:r>
        <w:rPr>
          <w:rFonts w:hint="eastAsia" w:ascii="仿宋" w:hAnsi="仿宋" w:eastAsia="仿宋"/>
          <w:kern w:val="2"/>
          <w:sz w:val="30"/>
          <w:szCs w:val="24"/>
          <w:lang w:val="en-US"/>
        </w:rPr>
        <w:t>2,289,926.28</w:t>
      </w:r>
      <w:r>
        <w:rPr>
          <w:rFonts w:hint="eastAsia" w:ascii="仿宋" w:hAnsi="仿宋" w:eastAsia="仿宋"/>
          <w:sz w:val="30"/>
          <w:szCs w:val="24"/>
          <w:lang w:val="en-US"/>
        </w:rPr>
        <w:t>元，主要包括基本工资、津贴补贴、绩效工资、机关事业单位基本养老保险缴费、职业年金缴费、职工基本医疗保险缴费、其他社会保障缴费、住房公积金、医疗费、其他工资福利支出、奖励金。</w:t>
      </w:r>
    </w:p>
    <w:p>
      <w:pPr>
        <w:spacing w:beforeLines="0" w:afterLines="0" w:line="580" w:lineRule="exact"/>
        <w:ind w:firstLine="600"/>
        <w:rPr>
          <w:rFonts w:hint="eastAsia" w:ascii="仿宋" w:hAnsi="仿宋" w:eastAsia="仿宋"/>
          <w:kern w:val="2"/>
          <w:sz w:val="30"/>
          <w:szCs w:val="24"/>
          <w:lang w:val="en-US"/>
        </w:rPr>
      </w:pPr>
      <w:r>
        <w:rPr>
          <w:rFonts w:hint="eastAsia" w:ascii="仿宋" w:hAnsi="仿宋" w:eastAsia="仿宋"/>
          <w:sz w:val="30"/>
          <w:szCs w:val="24"/>
          <w:lang w:val="en-US"/>
        </w:rPr>
        <w:t>公用经费</w:t>
      </w:r>
      <w:r>
        <w:rPr>
          <w:rFonts w:hint="eastAsia" w:ascii="仿宋" w:hAnsi="仿宋" w:eastAsia="仿宋"/>
          <w:kern w:val="2"/>
          <w:sz w:val="30"/>
          <w:szCs w:val="24"/>
          <w:lang w:val="en-US"/>
        </w:rPr>
        <w:t>228,338.01</w:t>
      </w:r>
      <w:r>
        <w:rPr>
          <w:rFonts w:hint="eastAsia" w:ascii="仿宋" w:hAnsi="仿宋" w:eastAsia="仿宋"/>
          <w:sz w:val="30"/>
          <w:szCs w:val="24"/>
          <w:lang w:val="en-US"/>
        </w:rPr>
        <w:t>元，主要包括办公费、手续费、水费、电费、邮电费、维修(护)费、培训费、工会经费、福利费、税金及附加费用、其他商品和服务支出。</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七、政府性基金预算财政拨款收支决算情况说明</w:t>
      </w:r>
    </w:p>
    <w:p>
      <w:pPr>
        <w:spacing w:beforeLines="0" w:afterLines="0" w:line="580" w:lineRule="exact"/>
        <w:ind w:firstLine="600"/>
        <w:rPr>
          <w:rFonts w:hint="eastAsia" w:ascii="仿宋" w:hAnsi="仿宋" w:eastAsia="仿宋"/>
          <w:sz w:val="30"/>
          <w:szCs w:val="24"/>
          <w:lang w:val="en-US"/>
        </w:rPr>
      </w:pPr>
      <w:r>
        <w:rPr>
          <w:rFonts w:hint="eastAsia" w:ascii="仿宋" w:hAnsi="仿宋" w:eastAsia="仿宋"/>
          <w:sz w:val="30"/>
          <w:szCs w:val="24"/>
          <w:lang w:val="en-US"/>
        </w:rPr>
        <w:t>天津市</w:t>
      </w:r>
      <w:r>
        <w:rPr>
          <w:rFonts w:hint="eastAsia" w:ascii="仿宋" w:hAnsi="仿宋" w:eastAsia="仿宋"/>
          <w:sz w:val="30"/>
          <w:szCs w:val="24"/>
          <w:lang w:val="en-US" w:eastAsia="zh-CN"/>
        </w:rPr>
        <w:t>河长制事务中心</w:t>
      </w:r>
      <w:r>
        <w:rPr>
          <w:rFonts w:hint="eastAsia" w:ascii="仿宋" w:hAnsi="仿宋" w:eastAsia="仿宋"/>
          <w:sz w:val="30"/>
          <w:szCs w:val="24"/>
          <w:lang w:val="en-US"/>
        </w:rPr>
        <w:t>2023年度无政府性基金预算财政拨款收入、支出和结转结余。</w:t>
      </w:r>
    </w:p>
    <w:p>
      <w:pPr>
        <w:spacing w:beforeLines="0" w:afterLines="0" w:line="600" w:lineRule="exact"/>
        <w:ind w:firstLine="600"/>
        <w:rPr>
          <w:rFonts w:hint="eastAsia" w:ascii="黑体" w:hAnsi="黑体" w:eastAsia="黑体"/>
          <w:b/>
          <w:sz w:val="30"/>
          <w:szCs w:val="24"/>
          <w:lang w:val="en-US"/>
        </w:rPr>
      </w:pPr>
      <w:r>
        <w:rPr>
          <w:rFonts w:hint="eastAsia" w:ascii="黑体" w:hAnsi="黑体" w:eastAsia="黑体"/>
          <w:b/>
          <w:sz w:val="30"/>
          <w:szCs w:val="24"/>
          <w:lang w:val="en-US"/>
        </w:rPr>
        <w:t>八、国有资本经营预算财政拨款收支决算情况说明</w:t>
      </w:r>
    </w:p>
    <w:p>
      <w:pPr>
        <w:spacing w:beforeLines="0" w:afterLines="0" w:line="60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天津市</w:t>
      </w:r>
      <w:r>
        <w:rPr>
          <w:rFonts w:hint="eastAsia" w:ascii="仿宋" w:hAnsi="仿宋" w:eastAsia="仿宋"/>
          <w:color w:val="auto"/>
          <w:sz w:val="30"/>
          <w:szCs w:val="24"/>
          <w:lang w:val="en-US" w:eastAsia="zh-CN"/>
        </w:rPr>
        <w:t>河长制事务中心</w:t>
      </w:r>
      <w:r>
        <w:rPr>
          <w:rFonts w:hint="eastAsia" w:ascii="仿宋" w:hAnsi="仿宋" w:eastAsia="仿宋"/>
          <w:color w:val="auto"/>
          <w:sz w:val="30"/>
          <w:szCs w:val="24"/>
          <w:lang w:val="en-US"/>
        </w:rPr>
        <w:t>2023年度无国有资本经营预算财政拨款收入、支出和结转结余。</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九、财政拨款</w:t>
      </w:r>
      <w:r>
        <w:rPr>
          <w:rFonts w:hint="default" w:ascii="黑体" w:hAnsi="黑体" w:eastAsia="黑体"/>
          <w:b/>
          <w:color w:val="auto"/>
          <w:sz w:val="30"/>
          <w:szCs w:val="24"/>
          <w:lang w:val="en-US"/>
        </w:rPr>
        <w:t>“</w:t>
      </w:r>
      <w:r>
        <w:rPr>
          <w:rFonts w:hint="eastAsia" w:ascii="黑体" w:hAnsi="黑体" w:eastAsia="黑体"/>
          <w:b/>
          <w:color w:val="auto"/>
          <w:sz w:val="30"/>
          <w:szCs w:val="24"/>
          <w:lang w:val="en-US"/>
        </w:rPr>
        <w:t>三公</w:t>
      </w:r>
      <w:r>
        <w:rPr>
          <w:rFonts w:hint="default" w:ascii="黑体" w:hAnsi="黑体" w:eastAsia="黑体"/>
          <w:b/>
          <w:color w:val="auto"/>
          <w:sz w:val="30"/>
          <w:szCs w:val="24"/>
          <w:lang w:val="en-US"/>
        </w:rPr>
        <w:t>”</w:t>
      </w:r>
      <w:r>
        <w:rPr>
          <w:rFonts w:hint="eastAsia" w:ascii="黑体" w:hAnsi="黑体" w:eastAsia="黑体"/>
          <w:b/>
          <w:color w:val="auto"/>
          <w:sz w:val="30"/>
          <w:szCs w:val="24"/>
          <w:lang w:val="en-US"/>
        </w:rPr>
        <w:t>经费</w:t>
      </w:r>
      <w:r>
        <w:rPr>
          <w:rFonts w:hint="eastAsia" w:ascii="黑体" w:hAnsi="黑体" w:eastAsia="黑体"/>
          <w:b/>
          <w:color w:val="auto"/>
          <w:sz w:val="30"/>
          <w:szCs w:val="24"/>
          <w:lang w:val="zh-CN"/>
        </w:rPr>
        <w:t>支出决算</w:t>
      </w:r>
      <w:r>
        <w:rPr>
          <w:rFonts w:hint="eastAsia" w:ascii="黑体" w:hAnsi="黑体" w:eastAsia="黑体"/>
          <w:b/>
          <w:color w:val="auto"/>
          <w:sz w:val="30"/>
          <w:szCs w:val="24"/>
          <w:lang w:val="en-US"/>
        </w:rPr>
        <w:t>情况说明</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楷体" w:hAnsi="楷体" w:eastAsia="楷体"/>
          <w:b/>
          <w:color w:val="auto"/>
          <w:sz w:val="30"/>
          <w:szCs w:val="24"/>
          <w:lang w:val="en-US"/>
        </w:rPr>
        <w:t>（一）总体情况</w:t>
      </w:r>
    </w:p>
    <w:p>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2023年财政拨款</w:t>
      </w:r>
      <w:r>
        <w:rPr>
          <w:rFonts w:hint="default" w:ascii="仿宋" w:hAnsi="仿宋" w:eastAsia="仿宋"/>
          <w:color w:val="auto"/>
          <w:sz w:val="30"/>
          <w:szCs w:val="24"/>
          <w:lang w:val="en-US"/>
        </w:rPr>
        <w:t>“</w:t>
      </w:r>
      <w:r>
        <w:rPr>
          <w:rFonts w:hint="eastAsia" w:ascii="仿宋" w:hAnsi="仿宋" w:eastAsia="仿宋"/>
          <w:color w:val="auto"/>
          <w:sz w:val="30"/>
          <w:szCs w:val="24"/>
          <w:lang w:val="en-US"/>
        </w:rPr>
        <w:t>三公</w:t>
      </w:r>
      <w:r>
        <w:rPr>
          <w:rFonts w:hint="default" w:ascii="仿宋" w:hAnsi="仿宋" w:eastAsia="仿宋"/>
          <w:color w:val="auto"/>
          <w:sz w:val="30"/>
          <w:szCs w:val="24"/>
          <w:lang w:val="en-US"/>
        </w:rPr>
        <w:t>”</w:t>
      </w:r>
      <w:r>
        <w:rPr>
          <w:rFonts w:hint="eastAsia" w:ascii="仿宋" w:hAnsi="仿宋" w:eastAsia="仿宋"/>
          <w:color w:val="auto"/>
          <w:sz w:val="30"/>
          <w:szCs w:val="24"/>
          <w:lang w:val="en-US"/>
        </w:rPr>
        <w:t>经费预算0.00元，支出决算0.00元，与2023年</w:t>
      </w:r>
      <w:r>
        <w:rPr>
          <w:rFonts w:hint="eastAsia" w:ascii="仿宋" w:hAnsi="仿宋" w:eastAsia="仿宋"/>
          <w:color w:val="auto"/>
          <w:sz w:val="30"/>
          <w:szCs w:val="24"/>
          <w:lang w:val="zh-CN"/>
        </w:rPr>
        <w:t>预</w:t>
      </w:r>
      <w:r>
        <w:rPr>
          <w:rFonts w:hint="eastAsia" w:ascii="仿宋" w:hAnsi="仿宋" w:eastAsia="仿宋"/>
          <w:color w:val="auto"/>
          <w:sz w:val="30"/>
          <w:szCs w:val="24"/>
          <w:lang w:val="en-US"/>
        </w:rPr>
        <w:t>算相比持平；较上年持平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w:t>
      </w:r>
      <w:r>
        <w:rPr>
          <w:rFonts w:hint="eastAsia" w:ascii="仿宋" w:hAnsi="仿宋" w:eastAsia="仿宋"/>
          <w:color w:val="auto"/>
          <w:sz w:val="30"/>
          <w:szCs w:val="24"/>
          <w:lang w:val="en-US" w:eastAsia="zh-CN"/>
        </w:rPr>
        <w:t>且较</w:t>
      </w:r>
      <w:r>
        <w:rPr>
          <w:rFonts w:hint="eastAsia" w:ascii="仿宋" w:hAnsi="仿宋" w:eastAsia="仿宋"/>
          <w:color w:val="auto"/>
          <w:sz w:val="30"/>
          <w:szCs w:val="24"/>
          <w:highlight w:val="none"/>
          <w:lang w:val="en-US"/>
        </w:rPr>
        <w:t>上年持平的主要原因是</w:t>
      </w:r>
      <w:r>
        <w:rPr>
          <w:rFonts w:hint="eastAsia" w:ascii="仿宋" w:hAnsi="仿宋" w:eastAsia="仿宋"/>
          <w:color w:val="auto"/>
          <w:sz w:val="30"/>
          <w:szCs w:val="24"/>
          <w:highlight w:val="none"/>
          <w:lang w:val="en-US" w:eastAsia="zh-CN"/>
        </w:rPr>
        <w:t>本年度未用财政拨款经费列支“三公”经费</w:t>
      </w:r>
      <w:r>
        <w:rPr>
          <w:rFonts w:hint="eastAsia" w:ascii="仿宋" w:hAnsi="仿宋" w:eastAsia="仿宋"/>
          <w:color w:val="auto"/>
          <w:sz w:val="30"/>
          <w:szCs w:val="24"/>
          <w:highlight w:val="none"/>
          <w:lang w:val="en-US"/>
        </w:rPr>
        <w:t>。</w:t>
      </w:r>
    </w:p>
    <w:p>
      <w:pPr>
        <w:pStyle w:val="3"/>
        <w:keepNext/>
        <w:keepLines/>
        <w:spacing w:beforeLines="0" w:afterLines="0" w:line="600" w:lineRule="exact"/>
        <w:ind w:firstLine="602"/>
        <w:rPr>
          <w:rFonts w:hint="eastAsia" w:ascii="黑体" w:hAnsi="黑体" w:eastAsia="黑体"/>
          <w:color w:val="auto"/>
          <w:sz w:val="30"/>
          <w:szCs w:val="24"/>
          <w:lang w:val="en-US"/>
        </w:rPr>
      </w:pPr>
      <w:r>
        <w:rPr>
          <w:rFonts w:hint="eastAsia" w:ascii="楷体" w:hAnsi="楷体" w:eastAsia="楷体"/>
          <w:b/>
          <w:color w:val="auto"/>
          <w:sz w:val="30"/>
          <w:szCs w:val="24"/>
          <w:lang w:val="en-US"/>
        </w:rPr>
        <w:t>（二）具体情况</w:t>
      </w:r>
    </w:p>
    <w:p>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1.因公出国（境）费预算0.00元，支出决算0.00元，与预算相比持平；较上年持平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w:t>
      </w:r>
      <w:r>
        <w:rPr>
          <w:rFonts w:hint="eastAsia" w:ascii="仿宋" w:hAnsi="仿宋" w:eastAsia="仿宋"/>
          <w:color w:val="auto"/>
          <w:sz w:val="30"/>
          <w:szCs w:val="24"/>
          <w:lang w:val="en-US" w:eastAsia="zh-CN"/>
        </w:rPr>
        <w:t>且</w:t>
      </w:r>
      <w:r>
        <w:rPr>
          <w:rFonts w:hint="eastAsia" w:ascii="仿宋" w:hAnsi="仿宋" w:eastAsia="仿宋"/>
          <w:color w:val="auto"/>
          <w:sz w:val="30"/>
          <w:szCs w:val="24"/>
          <w:highlight w:val="none"/>
          <w:lang w:val="en-US"/>
        </w:rPr>
        <w:t>较上年持平的主要原因是</w:t>
      </w:r>
      <w:r>
        <w:rPr>
          <w:rFonts w:hint="eastAsia" w:ascii="仿宋" w:hAnsi="仿宋" w:eastAsia="仿宋"/>
          <w:color w:val="auto"/>
          <w:sz w:val="30"/>
          <w:szCs w:val="24"/>
          <w:highlight w:val="none"/>
          <w:lang w:val="en-US" w:eastAsia="zh-CN"/>
        </w:rPr>
        <w:t>本年度未用财政拨款经费列支</w:t>
      </w:r>
      <w:r>
        <w:rPr>
          <w:rFonts w:hint="eastAsia" w:ascii="仿宋" w:hAnsi="仿宋" w:eastAsia="仿宋"/>
          <w:color w:val="auto"/>
          <w:sz w:val="30"/>
          <w:szCs w:val="24"/>
          <w:lang w:val="en-US"/>
        </w:rPr>
        <w:t>因公出国（境）费。</w:t>
      </w:r>
    </w:p>
    <w:p>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 xml:space="preserve">2023年本单位组织的出国团组0个，出国0人次。 </w:t>
      </w:r>
    </w:p>
    <w:p>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2.公务用车购置及运行维护费预算0.00元，支出决算0.00元，与预算相比持平；较上年持平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highlight w:val="none"/>
          <w:lang w:val="en-US"/>
        </w:rPr>
        <w:t>决算数等于预算数</w:t>
      </w:r>
      <w:r>
        <w:rPr>
          <w:rFonts w:hint="eastAsia" w:ascii="仿宋" w:hAnsi="仿宋" w:eastAsia="仿宋"/>
          <w:color w:val="auto"/>
          <w:sz w:val="30"/>
          <w:szCs w:val="24"/>
          <w:highlight w:val="none"/>
          <w:lang w:val="en-US" w:eastAsia="zh-CN"/>
        </w:rPr>
        <w:t>且</w:t>
      </w:r>
      <w:r>
        <w:rPr>
          <w:rFonts w:hint="eastAsia" w:ascii="仿宋" w:hAnsi="仿宋" w:eastAsia="仿宋"/>
          <w:color w:val="auto"/>
          <w:sz w:val="30"/>
          <w:szCs w:val="24"/>
          <w:highlight w:val="none"/>
          <w:lang w:val="en-US"/>
        </w:rPr>
        <w:t>较上年持平的主要原因是</w:t>
      </w:r>
      <w:r>
        <w:rPr>
          <w:rFonts w:hint="eastAsia" w:ascii="仿宋" w:hAnsi="仿宋" w:eastAsia="仿宋"/>
          <w:color w:val="auto"/>
          <w:sz w:val="30"/>
          <w:szCs w:val="24"/>
          <w:highlight w:val="none"/>
          <w:lang w:val="en-US" w:eastAsia="zh-CN"/>
        </w:rPr>
        <w:t>本年度未用财政拨款经费列支</w:t>
      </w:r>
      <w:r>
        <w:rPr>
          <w:rFonts w:hint="eastAsia" w:ascii="仿宋" w:hAnsi="仿宋" w:eastAsia="仿宋"/>
          <w:color w:val="auto"/>
          <w:sz w:val="30"/>
          <w:szCs w:val="24"/>
          <w:lang w:val="en-US"/>
        </w:rPr>
        <w:t>公务用车购置及运行维护费。</w:t>
      </w:r>
      <w:r>
        <w:rPr>
          <w:rFonts w:hint="eastAsia" w:ascii="仿宋" w:hAnsi="仿宋" w:eastAsia="仿宋"/>
          <w:color w:val="auto"/>
          <w:kern w:val="2"/>
          <w:sz w:val="30"/>
          <w:szCs w:val="24"/>
          <w:lang w:val="en-US"/>
        </w:rPr>
        <w:t>其中：</w:t>
      </w:r>
    </w:p>
    <w:p>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公务用车运行维护费预算0.00元，支出决算0.00元，与预算相比持平；较上年持平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决算数等于预算数的</w:t>
      </w:r>
      <w:r>
        <w:rPr>
          <w:rFonts w:hint="eastAsia" w:ascii="仿宋" w:hAnsi="仿宋" w:eastAsia="仿宋"/>
          <w:color w:val="auto"/>
          <w:sz w:val="30"/>
          <w:szCs w:val="24"/>
          <w:highlight w:val="none"/>
          <w:lang w:val="en-US" w:eastAsia="zh-CN"/>
        </w:rPr>
        <w:t>且</w:t>
      </w:r>
      <w:r>
        <w:rPr>
          <w:rFonts w:hint="eastAsia" w:ascii="仿宋" w:hAnsi="仿宋" w:eastAsia="仿宋"/>
          <w:color w:val="auto"/>
          <w:sz w:val="30"/>
          <w:szCs w:val="24"/>
          <w:highlight w:val="none"/>
          <w:lang w:val="en-US"/>
        </w:rPr>
        <w:t>较上年持平的主要原因是</w:t>
      </w:r>
      <w:r>
        <w:rPr>
          <w:rFonts w:hint="eastAsia" w:ascii="仿宋" w:hAnsi="仿宋" w:eastAsia="仿宋"/>
          <w:color w:val="auto"/>
          <w:sz w:val="30"/>
          <w:szCs w:val="24"/>
          <w:highlight w:val="none"/>
          <w:lang w:val="en-US" w:eastAsia="zh-CN"/>
        </w:rPr>
        <w:t>本年度未用财政拨款经费列支</w:t>
      </w:r>
      <w:r>
        <w:rPr>
          <w:rFonts w:hint="eastAsia" w:ascii="仿宋" w:hAnsi="仿宋" w:eastAsia="仿宋"/>
          <w:color w:val="auto"/>
          <w:sz w:val="30"/>
          <w:szCs w:val="24"/>
          <w:lang w:val="en-US"/>
        </w:rPr>
        <w:t>公务用车运行维护费。截至2023年12月31日，使用财政拨款开支运行维护费的公务用车保有量为0辆。</w:t>
      </w:r>
    </w:p>
    <w:p>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公务用车购置费预算0.00元，支出决算0.00元，与预算相比持平；较上年持平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w:t>
      </w:r>
      <w:r>
        <w:rPr>
          <w:rFonts w:hint="eastAsia" w:ascii="仿宋" w:hAnsi="仿宋" w:eastAsia="仿宋"/>
          <w:color w:val="auto"/>
          <w:sz w:val="30"/>
          <w:szCs w:val="24"/>
          <w:lang w:val="en-US" w:eastAsia="zh-CN"/>
        </w:rPr>
        <w:t>且</w:t>
      </w:r>
      <w:r>
        <w:rPr>
          <w:rFonts w:hint="eastAsia" w:ascii="仿宋" w:hAnsi="仿宋" w:eastAsia="仿宋"/>
          <w:color w:val="auto"/>
          <w:sz w:val="30"/>
          <w:szCs w:val="24"/>
          <w:highlight w:val="none"/>
          <w:lang w:val="en-US"/>
        </w:rPr>
        <w:t>较上年持平的主要原因是</w:t>
      </w:r>
      <w:r>
        <w:rPr>
          <w:rFonts w:hint="eastAsia" w:ascii="仿宋" w:hAnsi="仿宋" w:eastAsia="仿宋"/>
          <w:color w:val="auto"/>
          <w:sz w:val="30"/>
          <w:szCs w:val="24"/>
          <w:highlight w:val="none"/>
          <w:lang w:val="en-US" w:eastAsia="zh-CN"/>
        </w:rPr>
        <w:t>本年度未用财政拨款经费列支</w:t>
      </w:r>
      <w:r>
        <w:rPr>
          <w:rFonts w:hint="eastAsia" w:ascii="仿宋" w:hAnsi="仿宋" w:eastAsia="仿宋"/>
          <w:color w:val="auto"/>
          <w:sz w:val="30"/>
          <w:szCs w:val="24"/>
          <w:lang w:val="en-US"/>
        </w:rPr>
        <w:t>公务用车购置费。</w:t>
      </w:r>
    </w:p>
    <w:p>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2023年购置公务用车0辆。</w:t>
      </w:r>
    </w:p>
    <w:p>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3.公务接待费预算0.00元，支出决算0.00元，与预算相比持平；较上年持平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决算数等于预算数的</w:t>
      </w:r>
      <w:r>
        <w:rPr>
          <w:rFonts w:hint="eastAsia" w:ascii="仿宋" w:hAnsi="仿宋" w:eastAsia="仿宋"/>
          <w:color w:val="auto"/>
          <w:sz w:val="30"/>
          <w:szCs w:val="24"/>
          <w:highlight w:val="none"/>
          <w:lang w:val="en-US" w:eastAsia="zh-CN"/>
        </w:rPr>
        <w:t>且</w:t>
      </w:r>
      <w:r>
        <w:rPr>
          <w:rFonts w:hint="eastAsia" w:ascii="仿宋" w:hAnsi="仿宋" w:eastAsia="仿宋"/>
          <w:color w:val="auto"/>
          <w:sz w:val="30"/>
          <w:szCs w:val="24"/>
          <w:highlight w:val="none"/>
          <w:lang w:val="en-US"/>
        </w:rPr>
        <w:t>较上年持平的主要原因是</w:t>
      </w:r>
      <w:r>
        <w:rPr>
          <w:rFonts w:hint="eastAsia" w:ascii="仿宋" w:hAnsi="仿宋" w:eastAsia="仿宋"/>
          <w:color w:val="auto"/>
          <w:sz w:val="30"/>
          <w:szCs w:val="24"/>
          <w:highlight w:val="none"/>
          <w:lang w:val="en-US" w:eastAsia="zh-CN"/>
        </w:rPr>
        <w:t>本年度未用财政拨款经费列支</w:t>
      </w:r>
      <w:r>
        <w:rPr>
          <w:rFonts w:hint="eastAsia" w:ascii="仿宋" w:hAnsi="仿宋" w:eastAsia="仿宋"/>
          <w:color w:val="auto"/>
          <w:sz w:val="30"/>
          <w:szCs w:val="24"/>
          <w:lang w:val="en-US"/>
        </w:rPr>
        <w:t>公务接待费。</w:t>
      </w:r>
    </w:p>
    <w:p>
      <w:pPr>
        <w:spacing w:beforeLines="0" w:afterLines="0" w:line="580" w:lineRule="exact"/>
        <w:ind w:firstLine="600"/>
        <w:rPr>
          <w:rFonts w:hint="eastAsia" w:ascii="仿宋" w:hAnsi="仿宋" w:eastAsia="仿宋"/>
          <w:color w:val="auto"/>
          <w:kern w:val="2"/>
          <w:sz w:val="30"/>
          <w:szCs w:val="24"/>
          <w:lang w:val="en-US"/>
        </w:rPr>
      </w:pPr>
      <w:r>
        <w:rPr>
          <w:rFonts w:hint="eastAsia" w:ascii="仿宋" w:hAnsi="仿宋" w:eastAsia="仿宋"/>
          <w:color w:val="auto"/>
          <w:sz w:val="30"/>
          <w:szCs w:val="24"/>
          <w:lang w:val="en-US"/>
        </w:rPr>
        <w:t>2023年本单位国内公务接待0批次，0人次；其中，外事接待0批次，0人次。</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十、机关运行经费支出情况说明</w:t>
      </w:r>
    </w:p>
    <w:p>
      <w:pPr>
        <w:spacing w:beforeLines="0" w:afterLines="0" w:line="58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天津市</w:t>
      </w:r>
      <w:r>
        <w:rPr>
          <w:rFonts w:hint="eastAsia" w:ascii="仿宋" w:hAnsi="仿宋" w:eastAsia="仿宋"/>
          <w:color w:val="auto"/>
          <w:sz w:val="30"/>
          <w:szCs w:val="24"/>
          <w:lang w:val="en-US" w:eastAsia="zh-CN"/>
        </w:rPr>
        <w:t>东丽区河长制事务中心</w:t>
      </w:r>
      <w:r>
        <w:rPr>
          <w:rFonts w:hint="eastAsia" w:ascii="仿宋" w:hAnsi="仿宋" w:eastAsia="仿宋"/>
          <w:color w:val="auto"/>
          <w:sz w:val="30"/>
          <w:szCs w:val="24"/>
          <w:lang w:val="en-US"/>
        </w:rPr>
        <w:t>2023年度无机关运行经费。</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十一、政府采购支出情况说明</w:t>
      </w:r>
    </w:p>
    <w:p>
      <w:pPr>
        <w:spacing w:beforeLines="0" w:afterLines="0" w:line="58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天津市</w:t>
      </w:r>
      <w:r>
        <w:rPr>
          <w:rFonts w:hint="eastAsia" w:ascii="仿宋" w:hAnsi="仿宋" w:eastAsia="仿宋"/>
          <w:color w:val="auto"/>
          <w:sz w:val="30"/>
          <w:szCs w:val="24"/>
          <w:lang w:val="en-US" w:eastAsia="zh-CN"/>
        </w:rPr>
        <w:t>东丽区河长制事务中心</w:t>
      </w:r>
      <w:r>
        <w:rPr>
          <w:rFonts w:hint="eastAsia" w:ascii="仿宋" w:hAnsi="仿宋" w:eastAsia="仿宋"/>
          <w:color w:val="auto"/>
          <w:sz w:val="30"/>
          <w:szCs w:val="24"/>
          <w:lang w:val="en-US"/>
        </w:rPr>
        <w:t>2023年度无政府采购支出。</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十二、</w:t>
      </w:r>
      <w:r>
        <w:rPr>
          <w:rFonts w:hint="eastAsia" w:ascii="黑体" w:hAnsi="黑体" w:eastAsia="黑体"/>
          <w:b/>
          <w:color w:val="auto"/>
          <w:sz w:val="30"/>
          <w:szCs w:val="24"/>
          <w:lang w:val="en-US"/>
        </w:rPr>
        <w:t>国有资产占有使用情况说明</w:t>
      </w:r>
    </w:p>
    <w:p>
      <w:pPr>
        <w:spacing w:beforeLines="0" w:afterLines="0" w:line="60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天津市</w:t>
      </w:r>
      <w:r>
        <w:rPr>
          <w:rFonts w:hint="eastAsia" w:ascii="仿宋" w:hAnsi="仿宋" w:eastAsia="仿宋"/>
          <w:color w:val="auto"/>
          <w:sz w:val="30"/>
          <w:szCs w:val="24"/>
          <w:lang w:val="en-US" w:eastAsia="zh-CN"/>
        </w:rPr>
        <w:t>东丽区河长制事务中心</w:t>
      </w:r>
      <w:r>
        <w:rPr>
          <w:rFonts w:hint="eastAsia" w:ascii="仿宋" w:hAnsi="仿宋" w:eastAsia="仿宋"/>
          <w:color w:val="auto"/>
          <w:sz w:val="30"/>
          <w:szCs w:val="24"/>
          <w:lang w:val="en-US"/>
        </w:rPr>
        <w:t>2023年度无国有资产占有使用情况。</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十三、</w:t>
      </w:r>
      <w:r>
        <w:rPr>
          <w:rFonts w:hint="eastAsia" w:ascii="黑体" w:hAnsi="黑体" w:eastAsia="黑体"/>
          <w:b/>
          <w:color w:val="auto"/>
          <w:sz w:val="30"/>
          <w:szCs w:val="24"/>
          <w:lang w:val="en-US"/>
        </w:rPr>
        <w:t>预算绩效情况说明</w:t>
      </w:r>
    </w:p>
    <w:p>
      <w:pPr>
        <w:keepNext/>
        <w:keepLines/>
        <w:spacing w:beforeLines="0" w:afterLines="0" w:line="600" w:lineRule="exact"/>
        <w:ind w:firstLine="600"/>
        <w:jc w:val="both"/>
        <w:rPr>
          <w:rFonts w:hint="eastAsia" w:ascii="仿宋" w:hAnsi="仿宋" w:eastAsia="仿宋"/>
          <w:color w:val="auto"/>
          <w:sz w:val="30"/>
          <w:szCs w:val="24"/>
          <w:lang w:val="en-US"/>
        </w:rPr>
      </w:pPr>
      <w:r>
        <w:rPr>
          <w:rFonts w:hint="eastAsia" w:ascii="仿宋" w:hAnsi="仿宋" w:eastAsia="仿宋"/>
          <w:color w:val="auto"/>
          <w:sz w:val="30"/>
          <w:szCs w:val="24"/>
          <w:lang w:val="en-US"/>
        </w:rPr>
        <w:t>根据预算绩效管理要求，</w:t>
      </w:r>
      <w:r>
        <w:rPr>
          <w:rFonts w:hint="eastAsia" w:ascii="仿宋" w:hAnsi="仿宋" w:eastAsia="仿宋"/>
          <w:color w:val="000000"/>
          <w:sz w:val="30"/>
          <w:szCs w:val="24"/>
          <w:lang w:val="en-US"/>
        </w:rPr>
        <w:t>天津市东丽区河长制事务中心</w:t>
      </w:r>
      <w:r>
        <w:rPr>
          <w:rFonts w:hint="eastAsia" w:ascii="仿宋" w:hAnsi="仿宋" w:eastAsia="仿宋"/>
          <w:color w:val="auto"/>
          <w:sz w:val="30"/>
          <w:szCs w:val="24"/>
          <w:lang w:val="en-US"/>
        </w:rPr>
        <w:t>2023年度已对</w:t>
      </w:r>
      <w:r>
        <w:rPr>
          <w:rFonts w:hint="eastAsia" w:ascii="仿宋" w:hAnsi="仿宋" w:eastAsia="仿宋"/>
          <w:color w:val="auto"/>
          <w:sz w:val="30"/>
          <w:szCs w:val="24"/>
          <w:highlight w:val="none"/>
          <w:lang w:val="en-US" w:eastAsia="zh-CN"/>
        </w:rPr>
        <w:t>1</w:t>
      </w:r>
      <w:r>
        <w:rPr>
          <w:rFonts w:hint="eastAsia" w:ascii="仿宋" w:hAnsi="仿宋" w:eastAsia="仿宋"/>
          <w:color w:val="auto"/>
          <w:sz w:val="30"/>
          <w:szCs w:val="24"/>
          <w:lang w:val="en-US"/>
        </w:rPr>
        <w:t>个项目开展绩效自评，涉及金额</w:t>
      </w:r>
      <w:r>
        <w:rPr>
          <w:rFonts w:hint="eastAsia" w:ascii="仿宋" w:hAnsi="仿宋" w:eastAsia="仿宋"/>
          <w:color w:val="auto"/>
          <w:sz w:val="30"/>
          <w:szCs w:val="24"/>
          <w:highlight w:val="none"/>
          <w:lang w:val="en-US" w:eastAsia="zh-CN"/>
        </w:rPr>
        <w:t>710755</w:t>
      </w:r>
      <w:r>
        <w:rPr>
          <w:rFonts w:hint="eastAsia" w:ascii="仿宋" w:hAnsi="仿宋" w:eastAsia="仿宋"/>
          <w:color w:val="auto"/>
          <w:sz w:val="30"/>
          <w:szCs w:val="24"/>
          <w:lang w:val="en-US"/>
        </w:rPr>
        <w:t>元，自评结果已随部门决算一并公开。</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十四、</w:t>
      </w:r>
      <w:r>
        <w:rPr>
          <w:rFonts w:hint="eastAsia" w:ascii="黑体" w:hAnsi="黑体" w:eastAsia="黑体"/>
          <w:b/>
          <w:color w:val="auto"/>
          <w:sz w:val="30"/>
          <w:szCs w:val="24"/>
          <w:lang w:val="en-US"/>
        </w:rPr>
        <w:t>教育、医疗卫生、社会保障和就业、住房保障、涉农补贴等民生支出情况说明</w:t>
      </w:r>
    </w:p>
    <w:p>
      <w:pPr>
        <w:spacing w:beforeLines="0" w:afterLines="0" w:line="600" w:lineRule="exact"/>
        <w:ind w:firstLine="600"/>
        <w:rPr>
          <w:rFonts w:hint="eastAsia" w:ascii="仿宋_GB2312" w:hAnsi="仿宋_GB2312" w:eastAsia="仿宋_GB2312"/>
          <w:b/>
          <w:color w:val="000000"/>
          <w:sz w:val="30"/>
          <w:szCs w:val="24"/>
          <w:lang w:val="en-US"/>
        </w:rPr>
      </w:pPr>
      <w:r>
        <w:rPr>
          <w:rFonts w:hint="eastAsia" w:ascii="仿宋" w:hAnsi="仿宋" w:eastAsia="仿宋"/>
          <w:color w:val="000000"/>
          <w:sz w:val="30"/>
          <w:szCs w:val="24"/>
          <w:lang w:val="en-US"/>
        </w:rPr>
        <w:t>天津市东丽区河长制事务中</w:t>
      </w:r>
      <w:r>
        <w:rPr>
          <w:rFonts w:hint="eastAsia" w:ascii="仿宋" w:hAnsi="仿宋" w:eastAsia="仿宋"/>
          <w:color w:val="000000"/>
          <w:sz w:val="30"/>
          <w:szCs w:val="24"/>
          <w:lang w:val="en-US" w:eastAsia="zh-CN"/>
        </w:rPr>
        <w:t>不属于乡、镇（街道</w:t>
      </w:r>
      <w:bookmarkStart w:id="0" w:name="_GoBack"/>
      <w:bookmarkEnd w:id="0"/>
      <w:r>
        <w:rPr>
          <w:rFonts w:hint="eastAsia" w:ascii="仿宋" w:hAnsi="仿宋" w:eastAsia="仿宋"/>
          <w:color w:val="000000"/>
          <w:sz w:val="30"/>
          <w:szCs w:val="24"/>
          <w:lang w:val="en-US" w:eastAsia="zh-CN"/>
        </w:rPr>
        <w:t>）级单位，</w:t>
      </w:r>
      <w:r>
        <w:rPr>
          <w:rFonts w:hint="eastAsia" w:ascii="仿宋" w:hAnsi="仿宋" w:eastAsia="仿宋"/>
          <w:color w:val="000000"/>
          <w:kern w:val="2"/>
          <w:sz w:val="30"/>
          <w:szCs w:val="24"/>
          <w:lang w:val="zh-CN"/>
        </w:rPr>
        <w:t>不涉及公开2023年度教育、医疗卫生、社会保障和就业、住房保障、涉农补贴等民生支出情况</w:t>
      </w:r>
      <w:r>
        <w:rPr>
          <w:rFonts w:hint="eastAsia" w:ascii="仿宋" w:hAnsi="仿宋" w:eastAsia="仿宋"/>
          <w:color w:val="auto"/>
          <w:sz w:val="30"/>
          <w:szCs w:val="24"/>
          <w:lang w:val="en-US"/>
        </w:rPr>
        <w:t>。</w:t>
      </w:r>
    </w:p>
    <w:p>
      <w:pPr>
        <w:spacing w:beforeLines="0" w:afterLines="0"/>
        <w:rPr>
          <w:rFonts w:hint="eastAsia" w:ascii="仿宋_GB2312" w:hAnsi="仿宋_GB2312" w:eastAsia="仿宋_GB2312"/>
          <w:b/>
          <w:color w:val="000000"/>
          <w:sz w:val="30"/>
          <w:szCs w:val="24"/>
          <w:lang w:val="en-US"/>
        </w:rPr>
      </w:pPr>
      <w:r>
        <w:rPr>
          <w:rFonts w:hint="eastAsia" w:ascii="仿宋_GB2312" w:hAnsi="仿宋_GB2312" w:eastAsia="仿宋_GB2312"/>
          <w:b/>
          <w:color w:val="000000"/>
          <w:sz w:val="30"/>
          <w:szCs w:val="24"/>
          <w:lang w:val="en-US"/>
        </w:rPr>
        <w:br w:type="page"/>
      </w:r>
    </w:p>
    <w:p>
      <w:pPr>
        <w:pStyle w:val="2"/>
        <w:keepNext/>
        <w:keepLines/>
        <w:spacing w:beforeLines="0" w:afterLines="0" w:line="600" w:lineRule="exact"/>
        <w:jc w:val="center"/>
        <w:rPr>
          <w:rFonts w:hint="eastAsia" w:ascii="方正小标宋简体" w:hAnsi="方正小标宋简体" w:eastAsia="方正小标宋简体"/>
          <w:b/>
          <w:color w:val="auto"/>
          <w:kern w:val="44"/>
          <w:sz w:val="44"/>
          <w:szCs w:val="24"/>
          <w:lang w:val="en-US"/>
        </w:rPr>
      </w:pPr>
      <w:r>
        <w:rPr>
          <w:rFonts w:hint="eastAsia" w:ascii="方正小标宋简体" w:hAnsi="方正小标宋简体" w:eastAsia="方正小标宋简体"/>
          <w:b/>
          <w:color w:val="auto"/>
          <w:kern w:val="44"/>
          <w:sz w:val="44"/>
          <w:szCs w:val="24"/>
          <w:lang w:val="en-US"/>
        </w:rPr>
        <w:t>第四部分  名词解释</w:t>
      </w:r>
    </w:p>
    <w:p>
      <w:pPr>
        <w:spacing w:beforeLines="0" w:afterLines="0" w:line="600" w:lineRule="exact"/>
        <w:ind w:firstLine="600"/>
        <w:rPr>
          <w:rFonts w:hint="eastAsia" w:ascii="仿宋_GB2312" w:hAnsi="仿宋_GB2312" w:eastAsia="仿宋_GB2312"/>
          <w:color w:val="auto"/>
          <w:sz w:val="30"/>
          <w:szCs w:val="24"/>
          <w:lang w:val="en-US"/>
        </w:rPr>
      </w:pPr>
    </w:p>
    <w:p>
      <w:pPr>
        <w:spacing w:beforeLines="0" w:afterLines="0" w:line="60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1</w:t>
      </w:r>
      <w:r>
        <w:rPr>
          <w:rFonts w:hint="eastAsia" w:ascii="仿宋" w:hAnsi="仿宋" w:eastAsia="仿宋"/>
          <w:color w:val="auto"/>
          <w:sz w:val="24"/>
          <w:szCs w:val="24"/>
          <w:lang w:val="en-US"/>
        </w:rPr>
        <w:t>.</w:t>
      </w:r>
      <w:r>
        <w:rPr>
          <w:rFonts w:hint="eastAsia" w:ascii="仿宋" w:hAnsi="仿宋" w:eastAsia="仿宋"/>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beforeLines="0" w:afterLines="0" w:line="60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beforeLines="0" w:afterLines="0" w:line="600" w:lineRule="exact"/>
        <w:ind w:firstLine="600"/>
        <w:rPr>
          <w:rFonts w:hint="eastAsia" w:ascii="仿宋" w:hAnsi="仿宋" w:eastAsia="仿宋"/>
          <w:color w:val="auto"/>
          <w:sz w:val="24"/>
          <w:szCs w:val="24"/>
          <w:lang w:val="zh-CN"/>
        </w:rPr>
      </w:pPr>
      <w:r>
        <w:rPr>
          <w:rFonts w:hint="eastAsia" w:ascii="仿宋" w:hAnsi="仿宋" w:eastAsia="仿宋"/>
          <w:color w:val="auto"/>
          <w:sz w:val="30"/>
          <w:szCs w:val="24"/>
          <w:lang w:val="en-US"/>
        </w:rPr>
        <w:t>3.</w:t>
      </w:r>
      <w:r>
        <w:rPr>
          <w:rFonts w:hint="default" w:ascii="仿宋" w:hAnsi="仿宋" w:eastAsia="仿宋"/>
          <w:color w:val="auto"/>
          <w:sz w:val="30"/>
          <w:szCs w:val="24"/>
          <w:lang w:val="en-US"/>
        </w:rPr>
        <w:t>“</w:t>
      </w:r>
      <w:r>
        <w:rPr>
          <w:rFonts w:hint="eastAsia" w:ascii="仿宋" w:hAnsi="仿宋" w:eastAsia="仿宋"/>
          <w:color w:val="auto"/>
          <w:sz w:val="30"/>
          <w:szCs w:val="24"/>
          <w:lang w:val="en-US"/>
        </w:rPr>
        <w:t>三公</w:t>
      </w:r>
      <w:r>
        <w:rPr>
          <w:rFonts w:hint="default" w:ascii="仿宋" w:hAnsi="仿宋" w:eastAsia="仿宋"/>
          <w:color w:val="auto"/>
          <w:sz w:val="30"/>
          <w:szCs w:val="24"/>
          <w:lang w:val="en-US"/>
        </w:rPr>
        <w:t>”</w:t>
      </w:r>
      <w:r>
        <w:rPr>
          <w:rFonts w:hint="eastAsia" w:ascii="仿宋" w:hAnsi="仿宋" w:eastAsia="仿宋"/>
          <w:color w:val="auto"/>
          <w:sz w:val="30"/>
          <w:szCs w:val="24"/>
          <w:lang w:val="en-US"/>
        </w:rPr>
        <w:t xml:space="preserve">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   </w:t>
      </w:r>
    </w:p>
    <w:p>
      <w:pPr>
        <w:spacing w:beforeLines="0" w:afterLines="0"/>
        <w:rPr>
          <w:rFonts w:hint="eastAsia" w:ascii="黑体" w:hAnsi="黑体" w:eastAsia="黑体"/>
          <w:color w:val="auto"/>
          <w:kern w:val="2"/>
          <w:sz w:val="32"/>
          <w:szCs w:val="24"/>
          <w:lang w:val="zh-CN"/>
        </w:rPr>
      </w:pPr>
    </w:p>
    <w:p>
      <w:pPr>
        <w:spacing w:beforeLines="0" w:afterLines="0"/>
        <w:rPr>
          <w:rFonts w:hint="eastAsia" w:ascii="黑体" w:hAnsi="黑体" w:eastAsia="黑体"/>
          <w:color w:val="auto"/>
          <w:kern w:val="2"/>
          <w:sz w:val="32"/>
          <w:szCs w:val="24"/>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true"/>
  <w:drawingGridHorizontalOrigin w:val="1701"/>
  <w:drawingGridVerticalOrigin w:val="1984"/>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YjNhZGFjNGZjN2U0NDhiNTExZTRhNmQxMDJmMmQifQ=="/>
  </w:docVars>
  <w:rsids>
    <w:rsidRoot w:val="00172A27"/>
    <w:rsid w:val="00645991"/>
    <w:rsid w:val="0C1C3218"/>
    <w:rsid w:val="0F164219"/>
    <w:rsid w:val="15EC6DB6"/>
    <w:rsid w:val="24DB0622"/>
    <w:rsid w:val="2A6B59EA"/>
    <w:rsid w:val="2F394E7A"/>
    <w:rsid w:val="348D796D"/>
    <w:rsid w:val="3E4D1EA3"/>
    <w:rsid w:val="47FB1C56"/>
    <w:rsid w:val="5B2F480F"/>
    <w:rsid w:val="5B435A44"/>
    <w:rsid w:val="5DCD7847"/>
    <w:rsid w:val="639D5F0D"/>
    <w:rsid w:val="648462E6"/>
    <w:rsid w:val="65DF2084"/>
    <w:rsid w:val="67332E10"/>
    <w:rsid w:val="68E048D2"/>
    <w:rsid w:val="718B3849"/>
    <w:rsid w:val="75BC2223"/>
    <w:rsid w:val="76595CC4"/>
    <w:rsid w:val="EFF6E0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5">
    <w:name w:val="Default Paragraph Font"/>
    <w:semiHidden/>
    <w:unhideWhenUsed/>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3753</Words>
  <Characters>4413</Characters>
  <TotalTime>28</TotalTime>
  <ScaleCrop>false</ScaleCrop>
  <LinksUpToDate>false</LinksUpToDate>
  <CharactersWithSpaces>4439</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2024-09-20T11:12:00Z</dcterms:created>
  <dc:creator>Administrator.WIN-SBSB3QFQ0BM</dc:creator>
  <cp:lastModifiedBy>cx</cp:lastModifiedBy>
  <dcterms:modified xsi:type="dcterms:W3CDTF">2024-09-25T10:42:02Z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3645058C951B45D68DFB14D018016AF2_13</vt:lpwstr>
  </property>
</Properties>
</file>