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天津市东丽区卫生健康委员会</w:t>
      </w:r>
    </w:p>
    <w:p>
      <w:pPr>
        <w:widowControl/>
        <w:shd w:val="clear" w:color="auto" w:fill="FFFFFF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2023年政府信息公开工作年度报告</w:t>
      </w:r>
    </w:p>
    <w:p>
      <w:pPr>
        <w:widowControl/>
        <w:shd w:val="clear" w:color="auto" w:fill="FFFFFF"/>
        <w:ind w:firstLine="640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3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2023年，</w:t>
      </w:r>
      <w:bookmarkStart w:id="0" w:name="_Hlk15650481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东丽区卫生健康委员会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断加强组织领导，完善体制机制，深化政府信息公开内容，以政务网为基础，以提升政务公开质量为抓手，通过多途径、多形式及时公开发布各类信息，加强政策解读、重点领域信息公开等工作，切实保障公众知情权、参与权、表达权和监督权，引导社会各界全面了解东丽卫健发展形势。</w:t>
      </w:r>
    </w:p>
    <w:p>
      <w:pPr>
        <w:widowControl/>
        <w:shd w:val="clear" w:color="auto" w:fill="FFFFFF"/>
        <w:ind w:firstLine="64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（一）主动公开工作情况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一是积极做好政府信息主动公开。东丽区卫生健康委员会依托</w:t>
      </w:r>
      <w:bookmarkStart w:id="1" w:name="_Hlk156502475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</w:t>
      </w:r>
      <w:bookmarkStart w:id="2" w:name="_Hlk15650233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政府门户网站</w:t>
      </w:r>
      <w:bookmarkEnd w:id="1"/>
      <w:bookmarkEnd w:id="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及“健康东丽”微信公众号，及时做好动态更新和政策解读，满足公众对卫生健康领域信息的需求。印发的主动公开文件均按要求及时公开发布。</w:t>
      </w:r>
    </w:p>
    <w:p>
      <w:pPr>
        <w:widowControl/>
        <w:shd w:val="clear" w:color="auto" w:fill="FFFFFF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二是严格落实国家、天津市、东丽区以及区市场监管部门联合“双随机”抽查计划，认真开展各项“双随机”监督及监测任务，并及时向社会公开，持续规范卫生监督执法工作，接受社会监督。</w:t>
      </w:r>
    </w:p>
    <w:p>
      <w:pPr>
        <w:widowControl/>
        <w:shd w:val="clear" w:color="auto" w:fill="FFFFFF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三是机构及人员信息。在政府门户网站及时更新委领导班子成员分工调整情况；依法依规在天津市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人才网站、区政府门户网站及时公开、公示专业技术人员考录有关信息。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四是部门预决算信息。按照财政局统一部署，主动公开东丽区卫生健康委员会202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年度部门预算和202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年度部门决算，加强对所属预算单位预决算公开工作指导，委预算单位按时完成202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年度部门预算和20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年度部门决算公开。</w:t>
      </w:r>
    </w:p>
    <w:p>
      <w:pPr>
        <w:widowControl/>
        <w:shd w:val="clear" w:color="auto" w:fill="FFFFFF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（二）依申请公开工作情况</w:t>
      </w:r>
    </w:p>
    <w:p>
      <w:pPr>
        <w:widowControl/>
        <w:shd w:val="clear" w:color="auto" w:fill="FFFFFF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2023年，东丽区卫生健康委员会依申请公开信息的事项14件，均在法定期限内予以办结，未发生政府信息公开行政复议、行政诉讼。</w:t>
      </w:r>
    </w:p>
    <w:p>
      <w:pPr>
        <w:widowControl/>
        <w:numPr>
          <w:ilvl w:val="0"/>
          <w:numId w:val="1"/>
        </w:numPr>
        <w:shd w:val="clear" w:color="auto" w:fill="FFFFFF"/>
        <w:ind w:firstLine="64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政府信息管理</w:t>
      </w:r>
    </w:p>
    <w:p>
      <w:pPr>
        <w:widowControl/>
        <w:shd w:val="clear" w:color="auto" w:fill="FFFFFF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东丽区卫生健康委员会严格按照“公开为原则，不公开为例外”原则，明确专人负责区政府门户网站区卫生健康委版块日常维护，做好网站日常管理、信息采集和发布工作，严格落实信息公开审查机制，进一步完善了政府信息公开配套制度，确保信息发布的规范性、及时性、准确性和保密性。</w:t>
      </w:r>
    </w:p>
    <w:p>
      <w:pPr>
        <w:widowControl/>
        <w:shd w:val="clear" w:color="auto" w:fill="FFFFFF"/>
        <w:ind w:firstLine="64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（四）监督保障</w:t>
      </w:r>
    </w:p>
    <w:p>
      <w:pPr>
        <w:widowControl/>
        <w:shd w:val="clear" w:color="auto" w:fill="FFFFFF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东丽区卫生健康委员会高度重视网上信息发布工作，对发布信息严格把关，按照“谁报送谁负责，谁审核谁负责”的原则，建立严格的信息审核机制。信息公开前，严格落实文件起草人、科室负责人、分管领导层层签字把关，确保信息的安全性、真实性、准确性。</w:t>
      </w:r>
    </w:p>
    <w:p>
      <w:pPr>
        <w:widowControl/>
        <w:shd w:val="clear" w:color="auto" w:fill="FFFFFF"/>
        <w:ind w:firstLine="64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widowControl/>
        <w:shd w:val="clear" w:color="auto" w:fill="FFFFFF"/>
        <w:ind w:firstLine="64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114"/>
        <w:gridCol w:w="2716"/>
        <w:gridCol w:w="717"/>
        <w:gridCol w:w="714"/>
        <w:gridCol w:w="714"/>
        <w:gridCol w:w="714"/>
        <w:gridCol w:w="714"/>
        <w:gridCol w:w="714"/>
        <w:gridCol w:w="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ind w:firstLine="48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br w:type="textWrapping"/>
      </w:r>
    </w:p>
    <w:p>
      <w:pPr>
        <w:widowControl/>
        <w:numPr>
          <w:ilvl w:val="0"/>
          <w:numId w:val="2"/>
        </w:numPr>
        <w:shd w:val="clear" w:color="auto" w:fill="FFFFFF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存在的主要问题及改进情况</w:t>
      </w:r>
    </w:p>
    <w:p>
      <w:pPr>
        <w:widowControl/>
        <w:shd w:val="clear" w:color="auto" w:fill="FFFFFF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（一）存在问题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2023年，东丽区卫生健康委员会按照政府信息公开条例在政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信息公开方面做了一些工作，取得了一定成效，但与信息公开工作要求还存在一定差距，一是依申请公开办理有待进一步提升，二是信息公开的及时性、准确性和全面性有待进一步加强。</w:t>
      </w:r>
    </w:p>
    <w:p>
      <w:pPr>
        <w:widowControl/>
        <w:shd w:val="clear" w:color="auto" w:fill="FFFFFF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（二）改进情况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一是进一步强化政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信息公开和服务意识。聚焦群众关注的热点问题，丰富信息内容，提升信息发布质量。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二是进一步加强对政务公开工作的学习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宣传力度，加强《中华人民共和国政府信息公开条例》《中华人民共和国行政复议法》等法律法规培训学习，提升依申请公开事项办理水平，切实做好政府信息公开工作。</w:t>
      </w:r>
    </w:p>
    <w:p>
      <w:pPr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本年度未收取信息处理费，无其他需要报告的事项。</w:t>
      </w: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B4EEC"/>
    <w:multiLevelType w:val="singleLevel"/>
    <w:tmpl w:val="25FB4EE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FEC55E"/>
    <w:multiLevelType w:val="singleLevel"/>
    <w:tmpl w:val="66FEC55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OWI5ZGQ2YjE4YzAyZWE0MTFkMTU2ZGZjOTBiZTIifQ=="/>
  </w:docVars>
  <w:rsids>
    <w:rsidRoot w:val="00A7766E"/>
    <w:rsid w:val="000176B9"/>
    <w:rsid w:val="00143F55"/>
    <w:rsid w:val="00154F92"/>
    <w:rsid w:val="001652C6"/>
    <w:rsid w:val="00366D2B"/>
    <w:rsid w:val="0043566E"/>
    <w:rsid w:val="005A7C38"/>
    <w:rsid w:val="006E1018"/>
    <w:rsid w:val="00811ACF"/>
    <w:rsid w:val="00866712"/>
    <w:rsid w:val="00A7766E"/>
    <w:rsid w:val="00AB7247"/>
    <w:rsid w:val="00AF3C60"/>
    <w:rsid w:val="00B0547B"/>
    <w:rsid w:val="00B26886"/>
    <w:rsid w:val="00C917C2"/>
    <w:rsid w:val="00E45C1A"/>
    <w:rsid w:val="07101279"/>
    <w:rsid w:val="0E9F3663"/>
    <w:rsid w:val="21E750FD"/>
    <w:rsid w:val="23805466"/>
    <w:rsid w:val="2E3A4EC0"/>
    <w:rsid w:val="2E4B3B69"/>
    <w:rsid w:val="641E1CDD"/>
    <w:rsid w:val="6AF546F6"/>
    <w:rsid w:val="775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384</Words>
  <Characters>2195</Characters>
  <Lines>18</Lines>
  <Paragraphs>5</Paragraphs>
  <TotalTime>9</TotalTime>
  <ScaleCrop>false</ScaleCrop>
  <LinksUpToDate>false</LinksUpToDate>
  <CharactersWithSpaces>2574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2024-01-09T02:37:00Z</dcterms:created>
  <dc:creator>lenovo</dc:creator>
  <cp:lastModifiedBy>Angel</cp:lastModifiedBy>
  <cp:lastPrinted>2024-01-19T00:41:00Z</cp:lastPrinted>
  <dcterms:modified xsi:type="dcterms:W3CDTF">2024-01-24T03:05:57Z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F8C4AA5900AC40A882C129780DC82B1D_12</vt:lpwstr>
  </property>
</Properties>
</file>