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BF30AF">
      <w:pPr>
        <w:spacing w:beforeLines="0" w:afterLines="0" w:line="600" w:lineRule="exact"/>
        <w:jc w:val="both"/>
        <w:rPr>
          <w:rFonts w:hint="eastAsia" w:ascii="黑体" w:hAnsi="黑体" w:eastAsia="黑体"/>
          <w:kern w:val="2"/>
          <w:sz w:val="32"/>
          <w:szCs w:val="24"/>
          <w:lang w:val="zh-CN"/>
        </w:rPr>
      </w:pPr>
    </w:p>
    <w:p w14:paraId="7F9FC3A9">
      <w:pPr>
        <w:spacing w:beforeLines="0" w:afterLines="0" w:line="580" w:lineRule="exact"/>
        <w:jc w:val="center"/>
        <w:rPr>
          <w:rFonts w:hint="eastAsia" w:ascii="黑体" w:hAnsi="黑体" w:eastAsia="黑体"/>
          <w:kern w:val="2"/>
          <w:sz w:val="44"/>
          <w:szCs w:val="24"/>
          <w:lang w:val="zh-CN"/>
        </w:rPr>
      </w:pPr>
    </w:p>
    <w:p w14:paraId="5BA50BBC">
      <w:pPr>
        <w:spacing w:beforeLines="0" w:afterLines="0" w:line="580" w:lineRule="exact"/>
        <w:jc w:val="center"/>
        <w:rPr>
          <w:rFonts w:hint="default" w:ascii="Times New Roman" w:hAnsi="Times New Roman" w:eastAsia="Times New Roman"/>
          <w:kern w:val="2"/>
          <w:sz w:val="44"/>
          <w:szCs w:val="24"/>
          <w:lang w:val="zh-CN"/>
        </w:rPr>
      </w:pPr>
    </w:p>
    <w:p w14:paraId="35030746">
      <w:pPr>
        <w:spacing w:beforeLines="0" w:afterLines="0" w:line="580" w:lineRule="exact"/>
        <w:jc w:val="center"/>
        <w:rPr>
          <w:rFonts w:hint="default" w:ascii="Times New Roman" w:hAnsi="Times New Roman" w:eastAsia="Times New Roman"/>
          <w:kern w:val="2"/>
          <w:sz w:val="44"/>
          <w:szCs w:val="24"/>
          <w:lang w:val="zh-CN"/>
        </w:rPr>
      </w:pPr>
    </w:p>
    <w:p w14:paraId="5BCBC82B">
      <w:pPr>
        <w:spacing w:beforeLines="0" w:afterLines="0" w:line="580" w:lineRule="exact"/>
        <w:jc w:val="center"/>
        <w:rPr>
          <w:rFonts w:hint="default" w:ascii="Times New Roman" w:hAnsi="Times New Roman" w:eastAsia="Times New Roman"/>
          <w:kern w:val="2"/>
          <w:sz w:val="44"/>
          <w:szCs w:val="24"/>
          <w:lang w:val="zh-CN"/>
        </w:rPr>
      </w:pPr>
    </w:p>
    <w:p w14:paraId="665E0D9B">
      <w:pPr>
        <w:spacing w:beforeLines="0" w:afterLines="0" w:line="580" w:lineRule="exact"/>
        <w:jc w:val="center"/>
        <w:rPr>
          <w:rFonts w:hint="default" w:ascii="Times New Roman" w:hAnsi="Times New Roman" w:eastAsia="Times New Roman"/>
          <w:kern w:val="2"/>
          <w:sz w:val="44"/>
          <w:szCs w:val="24"/>
          <w:lang w:val="zh-CN"/>
        </w:rPr>
      </w:pPr>
    </w:p>
    <w:p w14:paraId="099D4DF0">
      <w:pPr>
        <w:spacing w:beforeLines="0" w:afterLines="0" w:line="580" w:lineRule="exact"/>
        <w:jc w:val="center"/>
        <w:rPr>
          <w:rFonts w:hint="default" w:ascii="Times New Roman" w:hAnsi="Times New Roman" w:eastAsia="Times New Roman"/>
          <w:kern w:val="2"/>
          <w:sz w:val="44"/>
          <w:szCs w:val="24"/>
          <w:lang w:val="zh-CN"/>
        </w:rPr>
      </w:pPr>
    </w:p>
    <w:p w14:paraId="6BEA338F">
      <w:pPr>
        <w:spacing w:beforeLines="0" w:afterLines="0" w:line="580" w:lineRule="exact"/>
        <w:jc w:val="center"/>
        <w:rPr>
          <w:rFonts w:hint="default" w:ascii="Times New Roman" w:hAnsi="Times New Roman" w:eastAsia="Times New Roman"/>
          <w:kern w:val="2"/>
          <w:sz w:val="44"/>
          <w:szCs w:val="24"/>
          <w:lang w:val="zh-CN"/>
        </w:rPr>
      </w:pPr>
    </w:p>
    <w:p w14:paraId="3BF40CA2">
      <w:pPr>
        <w:spacing w:beforeLines="0" w:afterLines="0" w:line="580" w:lineRule="exact"/>
        <w:jc w:val="center"/>
        <w:rPr>
          <w:rFonts w:hint="default" w:ascii="Times New Roman" w:hAnsi="Times New Roman" w:eastAsia="Times New Roman"/>
          <w:kern w:val="2"/>
          <w:sz w:val="44"/>
          <w:szCs w:val="24"/>
          <w:lang w:val="zh-CN"/>
        </w:rPr>
      </w:pPr>
    </w:p>
    <w:p w14:paraId="6AE989ED">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天津市东丽区疾病预防控制中心2023年度部门决算</w:t>
      </w:r>
    </w:p>
    <w:p w14:paraId="511CFAFC">
      <w:pPr>
        <w:spacing w:beforeLines="0" w:afterLines="0" w:line="580" w:lineRule="exact"/>
        <w:jc w:val="center"/>
        <w:rPr>
          <w:rFonts w:hint="eastAsia" w:ascii="黑体" w:hAnsi="黑体" w:eastAsia="黑体"/>
          <w:kern w:val="2"/>
          <w:sz w:val="30"/>
          <w:szCs w:val="24"/>
          <w:lang w:val="en-US"/>
        </w:rPr>
      </w:pPr>
    </w:p>
    <w:p w14:paraId="65C3E0C2">
      <w:pPr>
        <w:spacing w:beforeLines="0" w:afterLines="0" w:line="580" w:lineRule="exact"/>
        <w:jc w:val="center"/>
        <w:rPr>
          <w:rFonts w:hint="eastAsia" w:ascii="黑体" w:hAnsi="黑体" w:eastAsia="黑体"/>
          <w:kern w:val="2"/>
          <w:sz w:val="30"/>
          <w:szCs w:val="24"/>
          <w:lang w:val="en-US"/>
        </w:rPr>
      </w:pPr>
    </w:p>
    <w:p w14:paraId="773A9A7F">
      <w:pPr>
        <w:spacing w:beforeLines="0" w:afterLines="0" w:line="580" w:lineRule="exact"/>
        <w:jc w:val="center"/>
        <w:rPr>
          <w:rFonts w:hint="eastAsia" w:ascii="黑体" w:hAnsi="黑体" w:eastAsia="黑体"/>
          <w:kern w:val="2"/>
          <w:sz w:val="30"/>
          <w:szCs w:val="24"/>
          <w:lang w:val="en-US"/>
        </w:rPr>
      </w:pPr>
    </w:p>
    <w:p w14:paraId="519DC26D">
      <w:pPr>
        <w:spacing w:beforeLines="0" w:afterLines="0" w:line="580" w:lineRule="exact"/>
        <w:jc w:val="center"/>
        <w:rPr>
          <w:rFonts w:hint="eastAsia" w:ascii="黑体" w:hAnsi="黑体" w:eastAsia="黑体"/>
          <w:kern w:val="2"/>
          <w:sz w:val="30"/>
          <w:szCs w:val="24"/>
          <w:lang w:val="en-US"/>
        </w:rPr>
      </w:pPr>
    </w:p>
    <w:p w14:paraId="072FD12D">
      <w:pPr>
        <w:spacing w:beforeLines="0" w:afterLines="0" w:line="580" w:lineRule="exact"/>
        <w:jc w:val="center"/>
        <w:rPr>
          <w:rFonts w:hint="eastAsia" w:ascii="黑体" w:hAnsi="黑体" w:eastAsia="黑体"/>
          <w:kern w:val="2"/>
          <w:sz w:val="30"/>
          <w:szCs w:val="24"/>
          <w:lang w:val="en-US"/>
        </w:rPr>
      </w:pPr>
    </w:p>
    <w:p w14:paraId="6CCCC39A">
      <w:pPr>
        <w:spacing w:beforeLines="0" w:afterLines="0"/>
        <w:rPr>
          <w:rFonts w:hint="eastAsia" w:ascii="黑体" w:hAnsi="黑体" w:eastAsia="黑体"/>
          <w:kern w:val="2"/>
          <w:sz w:val="30"/>
          <w:szCs w:val="24"/>
          <w:lang w:val="en-US"/>
        </w:rPr>
      </w:pPr>
      <w:r>
        <w:rPr>
          <w:rFonts w:hint="eastAsia" w:ascii="黑体" w:hAnsi="黑体" w:eastAsia="黑体"/>
          <w:kern w:val="2"/>
          <w:sz w:val="30"/>
          <w:szCs w:val="24"/>
          <w:lang w:val="en-US"/>
        </w:rPr>
        <w:br w:type="page"/>
      </w:r>
    </w:p>
    <w:p w14:paraId="6C609567">
      <w:pPr>
        <w:spacing w:beforeLines="0" w:afterLines="0" w:line="600" w:lineRule="exact"/>
        <w:jc w:val="center"/>
        <w:rPr>
          <w:rFonts w:hint="eastAsia" w:ascii="黑体" w:hAnsi="黑体" w:eastAsia="黑体"/>
          <w:sz w:val="44"/>
          <w:szCs w:val="24"/>
          <w:lang w:val="zh-CN"/>
        </w:rPr>
      </w:pPr>
      <w:r>
        <w:rPr>
          <w:rFonts w:hint="eastAsia" w:ascii="黑体" w:hAnsi="黑体" w:eastAsia="黑体"/>
          <w:sz w:val="44"/>
          <w:szCs w:val="24"/>
          <w:lang w:val="zh-CN"/>
        </w:rPr>
        <w:t>目   录</w:t>
      </w:r>
    </w:p>
    <w:p w14:paraId="64BFF8A3">
      <w:pPr>
        <w:spacing w:beforeLines="0" w:afterLines="0" w:line="600" w:lineRule="exact"/>
        <w:rPr>
          <w:rFonts w:hint="eastAsia" w:ascii="黑体" w:hAnsi="黑体" w:eastAsia="黑体"/>
          <w:sz w:val="30"/>
          <w:szCs w:val="24"/>
          <w:lang w:val="zh-CN"/>
        </w:rPr>
      </w:pPr>
    </w:p>
    <w:p w14:paraId="051C889F">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第一部分  概 况</w:t>
      </w:r>
    </w:p>
    <w:p w14:paraId="54643FF5">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一、主要职责</w:t>
      </w:r>
    </w:p>
    <w:p w14:paraId="1C429D4A">
      <w:pPr>
        <w:tabs>
          <w:tab w:val="right" w:leader="dot" w:pos="8306"/>
        </w:tabs>
        <w:spacing w:beforeLines="0" w:afterLines="0" w:line="700" w:lineRule="exact"/>
        <w:ind w:left="220"/>
        <w:rPr>
          <w:rFonts w:hint="default" w:ascii="Times New Roman" w:hAnsi="Times New Roman" w:eastAsia="Times New Roman"/>
          <w:sz w:val="30"/>
          <w:szCs w:val="24"/>
          <w:lang w:val="zh-CN"/>
        </w:rPr>
      </w:pPr>
      <w:r>
        <w:rPr>
          <w:rFonts w:hint="eastAsia" w:ascii="仿宋" w:hAnsi="仿宋" w:eastAsia="仿宋"/>
          <w:sz w:val="30"/>
          <w:szCs w:val="24"/>
          <w:lang w:val="zh-CN"/>
        </w:rPr>
        <w:t>二、机构设置</w:t>
      </w:r>
    </w:p>
    <w:p w14:paraId="16BDADDE">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第二部分  2023年度部门决算表</w:t>
      </w:r>
    </w:p>
    <w:p w14:paraId="109DB258">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一、收入支出决算总表</w:t>
      </w:r>
    </w:p>
    <w:p w14:paraId="1B0AB595">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二、收入决算表（按功能分类列示）</w:t>
      </w:r>
    </w:p>
    <w:p w14:paraId="06889206">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三、收入决算表（按单位列示）</w:t>
      </w:r>
    </w:p>
    <w:p w14:paraId="75F8653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四、支出决算表</w:t>
      </w:r>
    </w:p>
    <w:p w14:paraId="09F18B36">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五、财政拨款收入支出决算总表</w:t>
      </w:r>
    </w:p>
    <w:p w14:paraId="4B8EDA56">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六、一般公共预算财政拨款支出决算表</w:t>
      </w:r>
    </w:p>
    <w:p w14:paraId="46C3A608">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七、一般公共预算财政拨款基本支出决算表</w:t>
      </w:r>
    </w:p>
    <w:p w14:paraId="59F83D8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八、政府性基金预算财政拨款收入支出决算表</w:t>
      </w:r>
    </w:p>
    <w:p w14:paraId="06CF122B">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九、国有资本经营预算财政拨款收入支出决算表</w:t>
      </w:r>
    </w:p>
    <w:p w14:paraId="5E398B6B">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十、财政拨款“三公”经费支出决算表</w:t>
      </w:r>
    </w:p>
    <w:p w14:paraId="023662B6">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十一、项目支出决算表</w:t>
      </w:r>
    </w:p>
    <w:p w14:paraId="2588D00B">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十二、关于空表的说明</w:t>
      </w:r>
    </w:p>
    <w:p w14:paraId="09DF80DA">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第三部分  2023年度部门决算情况说明</w:t>
      </w:r>
    </w:p>
    <w:p w14:paraId="48B86E09">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一、收支决算总体情况说明</w:t>
      </w:r>
    </w:p>
    <w:p w14:paraId="5A524C53">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二、收入决算情况说明</w:t>
      </w:r>
    </w:p>
    <w:p w14:paraId="4A0D2759">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三、支出决算情况说明</w:t>
      </w:r>
    </w:p>
    <w:p w14:paraId="35D54EB3">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四、财政拨款收支决算总体情况说明</w:t>
      </w:r>
    </w:p>
    <w:p w14:paraId="105C7F8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五、一般公共预算财政拨款支出决算情况说明</w:t>
      </w:r>
    </w:p>
    <w:p w14:paraId="7A1220A3">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六、一般公共预算财政拨款基本支出决算情况说明</w:t>
      </w:r>
    </w:p>
    <w:p w14:paraId="3BC06BAD">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七、政府性基金预算财政拨款收支决算情况说明</w:t>
      </w:r>
    </w:p>
    <w:p w14:paraId="11E1CFE1">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八、国有资本经营预算财政拨款收支决算情况说明</w:t>
      </w:r>
    </w:p>
    <w:p w14:paraId="5653372B">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九、财政拨款“三公”经费支出决算情况说明</w:t>
      </w:r>
    </w:p>
    <w:p w14:paraId="3DF5B1D8">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十、机关运行经费支出情况说明</w:t>
      </w:r>
    </w:p>
    <w:p w14:paraId="684C2AED">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十一、政府采购支出情况说明</w:t>
      </w:r>
    </w:p>
    <w:p w14:paraId="254C9902">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十二、国有资产占有使用情况说明</w:t>
      </w:r>
    </w:p>
    <w:p w14:paraId="15AC5AB0">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十三、预算绩效情况说明</w:t>
      </w:r>
    </w:p>
    <w:p w14:paraId="2631A9A7">
      <w:pPr>
        <w:tabs>
          <w:tab w:val="right" w:leader="dot" w:pos="8306"/>
        </w:tabs>
        <w:spacing w:beforeLines="0" w:afterLines="0" w:line="700" w:lineRule="exact"/>
        <w:ind w:left="220"/>
        <w:rPr>
          <w:rFonts w:hint="eastAsia" w:ascii="仿宋" w:hAnsi="仿宋" w:eastAsia="仿宋"/>
          <w:sz w:val="30"/>
          <w:szCs w:val="24"/>
          <w:lang w:val="zh-CN"/>
        </w:rPr>
      </w:pPr>
      <w:r>
        <w:rPr>
          <w:rFonts w:hint="eastAsia" w:ascii="仿宋" w:hAnsi="仿宋" w:eastAsia="仿宋"/>
          <w:sz w:val="30"/>
          <w:szCs w:val="24"/>
          <w:lang w:val="zh-CN"/>
        </w:rPr>
        <w:t>十四、教育、医疗卫生、社会保障和就业、住房保障、涉农补贴等民生支出情况说明</w:t>
      </w:r>
    </w:p>
    <w:p w14:paraId="51DB8D5F">
      <w:pPr>
        <w:tabs>
          <w:tab w:val="right" w:leader="dot" w:pos="8306"/>
        </w:tabs>
        <w:spacing w:beforeLines="0" w:afterLines="0" w:line="700" w:lineRule="exact"/>
        <w:rPr>
          <w:rFonts w:hint="default" w:ascii="Times New Roman" w:hAnsi="Times New Roman" w:eastAsia="Times New Roman"/>
          <w:sz w:val="30"/>
          <w:szCs w:val="24"/>
          <w:lang w:val="zh-CN"/>
        </w:rPr>
      </w:pPr>
      <w:r>
        <w:rPr>
          <w:rFonts w:hint="eastAsia" w:ascii="方正小标宋简体" w:hAnsi="方正小标宋简体" w:eastAsia="方正小标宋简体"/>
          <w:sz w:val="30"/>
          <w:szCs w:val="24"/>
          <w:lang w:val="zh-CN"/>
        </w:rPr>
        <w:t>第四部分  名词解释</w:t>
      </w:r>
    </w:p>
    <w:p w14:paraId="384B4661">
      <w:pPr>
        <w:spacing w:beforeLines="0" w:afterLines="0"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14:paraId="2CE82DCE">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第一部分  概 况</w:t>
      </w:r>
    </w:p>
    <w:p w14:paraId="0C36FE36">
      <w:pPr>
        <w:spacing w:beforeLines="0" w:afterLines="0" w:line="580" w:lineRule="exact"/>
        <w:rPr>
          <w:rFonts w:hint="default" w:ascii="Times New Roman" w:hAnsi="Times New Roman" w:eastAsia="Times New Roman"/>
          <w:kern w:val="2"/>
          <w:sz w:val="24"/>
          <w:szCs w:val="24"/>
          <w:lang w:val="zh-CN"/>
        </w:rPr>
      </w:pPr>
    </w:p>
    <w:p w14:paraId="41A6AB05">
      <w:pPr>
        <w:pStyle w:val="3"/>
        <w:keepNext/>
        <w:keepLines/>
        <w:spacing w:beforeLines="0" w:afterLines="0" w:line="600" w:lineRule="exact"/>
        <w:ind w:firstLine="601"/>
        <w:rPr>
          <w:rFonts w:hint="eastAsia" w:ascii="黑体" w:hAnsi="黑体" w:eastAsia="黑体"/>
          <w:b/>
          <w:sz w:val="30"/>
          <w:szCs w:val="24"/>
          <w:lang w:val="zh-CN"/>
        </w:rPr>
      </w:pPr>
      <w:r>
        <w:rPr>
          <w:rFonts w:hint="eastAsia" w:ascii="黑体" w:hAnsi="黑体" w:eastAsia="黑体"/>
          <w:b/>
          <w:sz w:val="30"/>
          <w:szCs w:val="24"/>
          <w:lang w:val="zh-CN"/>
        </w:rPr>
        <w:t>一、主要职责</w:t>
      </w:r>
    </w:p>
    <w:p w14:paraId="6A2A6B43">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疾病预防控制中心是从事基本公共卫生服务的公益性事业单位，不承担一般性医疗服务职能。其主要职责是：</w:t>
      </w:r>
    </w:p>
    <w:p w14:paraId="2F23928E">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（一）传染病、寄生虫病、地方病、非传染性疾病等预防与控制；</w:t>
      </w:r>
    </w:p>
    <w:p w14:paraId="35F70349">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（二）突发公共卫生事件和灾害疫情应急处置；</w:t>
      </w:r>
    </w:p>
    <w:p w14:paraId="69656E9D">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（三）疫情及健康相关因素信息管理，开展疾病监测，收集、报告、分析和评价疾病与健康危害因素等公共卫生信息；</w:t>
      </w:r>
    </w:p>
    <w:p w14:paraId="710F79E3">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（四）健康危害因素监测与干预，开展食源性、职业性、放射性、环境性等疾病的监测评价和流行病学调查，开展公众健康和营养状况监测与评价，提出干预策略与实施；</w:t>
      </w:r>
    </w:p>
    <w:p w14:paraId="78DFF6CA">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（五）疾病病原生物检测、鉴定和物理、化学因子检测、评价；</w:t>
      </w:r>
    </w:p>
    <w:p w14:paraId="59C09618">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（六）健康教育与健康促进，对公众进行健康指导和不良健康行为干预；</w:t>
      </w:r>
    </w:p>
    <w:p w14:paraId="09AA6A9D">
      <w:pPr>
        <w:pStyle w:val="3"/>
        <w:keepNext/>
        <w:keepLines/>
        <w:spacing w:beforeLines="0" w:afterLines="0" w:line="600" w:lineRule="exact"/>
        <w:ind w:firstLine="602"/>
        <w:rPr>
          <w:rFonts w:hint="eastAsia" w:ascii="仿宋" w:hAnsi="仿宋" w:eastAsia="仿宋"/>
          <w:sz w:val="30"/>
          <w:szCs w:val="24"/>
          <w:lang w:val="en-US"/>
        </w:rPr>
      </w:pPr>
      <w:r>
        <w:rPr>
          <w:rFonts w:hint="eastAsia" w:ascii="仿宋" w:hAnsi="仿宋" w:eastAsia="仿宋"/>
          <w:sz w:val="30"/>
          <w:szCs w:val="24"/>
          <w:lang w:val="en-US"/>
        </w:rPr>
        <w:t>（七）疾病预防控制技术管理与应用研究指导等。</w:t>
      </w:r>
    </w:p>
    <w:p w14:paraId="7419E176">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二、机构设置</w:t>
      </w:r>
    </w:p>
    <w:p w14:paraId="078295F0">
      <w:pPr>
        <w:spacing w:beforeLines="0" w:afterLines="0" w:line="600" w:lineRule="exact"/>
        <w:ind w:firstLine="600"/>
        <w:rPr>
          <w:rFonts w:hint="eastAsia" w:ascii="仿宋" w:hAnsi="仿宋" w:eastAsia="仿宋"/>
          <w:sz w:val="30"/>
          <w:szCs w:val="24"/>
          <w:lang w:val="en-US"/>
        </w:rPr>
      </w:pPr>
      <w:r>
        <w:rPr>
          <w:rFonts w:hint="eastAsia" w:ascii="仿宋" w:hAnsi="仿宋" w:eastAsia="仿宋"/>
          <w:kern w:val="2"/>
          <w:sz w:val="30"/>
          <w:szCs w:val="24"/>
          <w:lang w:val="zh-CN"/>
        </w:rPr>
        <w:t>天津市东丽区疾病预防控制中心内设</w:t>
      </w:r>
      <w:r>
        <w:rPr>
          <w:rFonts w:hint="eastAsia" w:ascii="仿宋" w:hAnsi="仿宋" w:eastAsia="仿宋"/>
          <w:kern w:val="2"/>
          <w:sz w:val="30"/>
          <w:szCs w:val="24"/>
          <w:lang w:val="en-US" w:eastAsia="zh-CN"/>
        </w:rPr>
        <w:t>13</w:t>
      </w:r>
      <w:r>
        <w:rPr>
          <w:rFonts w:hint="eastAsia" w:ascii="仿宋" w:hAnsi="仿宋" w:eastAsia="仿宋"/>
          <w:kern w:val="2"/>
          <w:sz w:val="30"/>
          <w:szCs w:val="24"/>
          <w:lang w:val="zh-CN"/>
        </w:rPr>
        <w:t>个职能科室；下辖</w:t>
      </w:r>
      <w:r>
        <w:rPr>
          <w:rFonts w:hint="eastAsia" w:ascii="仿宋" w:hAnsi="仿宋" w:eastAsia="仿宋"/>
          <w:kern w:val="2"/>
          <w:sz w:val="30"/>
          <w:szCs w:val="24"/>
          <w:lang w:val="en-US" w:eastAsia="zh-CN"/>
        </w:rPr>
        <w:t>无</w:t>
      </w:r>
      <w:r>
        <w:rPr>
          <w:rFonts w:hint="eastAsia" w:ascii="仿宋" w:hAnsi="仿宋" w:eastAsia="仿宋"/>
          <w:kern w:val="2"/>
          <w:sz w:val="30"/>
          <w:szCs w:val="24"/>
          <w:lang w:val="zh-CN"/>
        </w:rPr>
        <w:t>预算单位。纳入天津市东丽区疾病预防控制中心2023年度部门决算编制范围的单位包括：天津市东丽区疾病预防控制中心。</w:t>
      </w:r>
    </w:p>
    <w:p w14:paraId="35DE116D">
      <w:pPr>
        <w:spacing w:beforeLines="0" w:afterLines="0" w:line="580" w:lineRule="exact"/>
        <w:ind w:firstLine="600"/>
        <w:rPr>
          <w:rFonts w:hint="eastAsia" w:ascii="仿宋_GB2312" w:hAnsi="仿宋_GB2312" w:eastAsia="仿宋_GB2312"/>
          <w:kern w:val="2"/>
          <w:sz w:val="30"/>
          <w:szCs w:val="24"/>
          <w:lang w:val="zh-CN"/>
        </w:rPr>
      </w:pPr>
    </w:p>
    <w:p w14:paraId="2EC607A9">
      <w:pPr>
        <w:pStyle w:val="2"/>
        <w:keepNext/>
        <w:keepLines/>
        <w:spacing w:before="340" w:beforeLines="0" w:after="330" w:afterLines="0" w:line="600" w:lineRule="exact"/>
        <w:jc w:val="both"/>
        <w:rPr>
          <w:rFonts w:hint="eastAsia" w:ascii="黑体" w:hAnsi="黑体" w:eastAsia="黑体"/>
          <w:kern w:val="2"/>
          <w:sz w:val="30"/>
          <w:szCs w:val="24"/>
          <w:lang w:val="en-US"/>
        </w:rPr>
      </w:pPr>
    </w:p>
    <w:p w14:paraId="40952C6B">
      <w:pPr>
        <w:spacing w:beforeLines="0" w:afterLines="0" w:line="360" w:lineRule="atLeast"/>
        <w:jc w:val="center"/>
        <w:rPr>
          <w:rFonts w:hint="eastAsia" w:ascii="黑体" w:hAnsi="黑体" w:eastAsia="黑体"/>
          <w:kern w:val="2"/>
          <w:sz w:val="30"/>
          <w:szCs w:val="24"/>
          <w:lang w:val="zh-CN"/>
        </w:rPr>
      </w:pPr>
    </w:p>
    <w:p w14:paraId="3197CEF7">
      <w:pPr>
        <w:spacing w:beforeLines="0" w:afterLines="0" w:line="360" w:lineRule="atLeast"/>
        <w:jc w:val="center"/>
        <w:rPr>
          <w:rFonts w:hint="eastAsia" w:ascii="黑体" w:hAnsi="黑体" w:eastAsia="黑体"/>
          <w:kern w:val="2"/>
          <w:sz w:val="30"/>
          <w:szCs w:val="24"/>
          <w:lang w:val="zh-CN"/>
        </w:rPr>
      </w:pPr>
    </w:p>
    <w:p w14:paraId="74BDDD6E">
      <w:pPr>
        <w:spacing w:beforeLines="0" w:afterLines="0" w:line="360" w:lineRule="atLeast"/>
        <w:jc w:val="center"/>
        <w:rPr>
          <w:rFonts w:hint="eastAsia" w:ascii="黑体" w:hAnsi="黑体" w:eastAsia="黑体"/>
          <w:kern w:val="2"/>
          <w:sz w:val="30"/>
          <w:szCs w:val="24"/>
          <w:lang w:val="zh-CN"/>
        </w:rPr>
      </w:pPr>
    </w:p>
    <w:p w14:paraId="39CD40A5">
      <w:pPr>
        <w:spacing w:beforeLines="0" w:afterLines="0" w:line="360" w:lineRule="atLeast"/>
        <w:jc w:val="center"/>
        <w:rPr>
          <w:rFonts w:hint="eastAsia" w:ascii="黑体" w:hAnsi="黑体" w:eastAsia="黑体"/>
          <w:kern w:val="2"/>
          <w:sz w:val="30"/>
          <w:szCs w:val="24"/>
          <w:lang w:val="zh-CN"/>
        </w:rPr>
      </w:pPr>
    </w:p>
    <w:p w14:paraId="283305E7">
      <w:pPr>
        <w:spacing w:beforeLines="0" w:afterLines="0" w:line="360" w:lineRule="atLeast"/>
        <w:jc w:val="center"/>
        <w:rPr>
          <w:rFonts w:hint="eastAsia" w:ascii="黑体" w:hAnsi="黑体" w:eastAsia="黑体"/>
          <w:kern w:val="2"/>
          <w:sz w:val="30"/>
          <w:szCs w:val="24"/>
          <w:lang w:val="zh-CN"/>
        </w:rPr>
      </w:pPr>
    </w:p>
    <w:p w14:paraId="55861EC0">
      <w:pPr>
        <w:spacing w:beforeLines="0" w:afterLines="0" w:line="360" w:lineRule="atLeast"/>
        <w:jc w:val="center"/>
        <w:rPr>
          <w:rFonts w:hint="eastAsia" w:ascii="黑体" w:hAnsi="黑体" w:eastAsia="黑体"/>
          <w:kern w:val="2"/>
          <w:sz w:val="30"/>
          <w:szCs w:val="24"/>
          <w:lang w:val="zh-CN"/>
        </w:rPr>
      </w:pPr>
    </w:p>
    <w:p w14:paraId="714C979A">
      <w:pPr>
        <w:spacing w:beforeLines="0" w:afterLines="0" w:line="360" w:lineRule="atLeast"/>
        <w:jc w:val="center"/>
        <w:rPr>
          <w:rFonts w:hint="eastAsia" w:ascii="黑体" w:hAnsi="黑体" w:eastAsia="黑体"/>
          <w:kern w:val="2"/>
          <w:sz w:val="30"/>
          <w:szCs w:val="24"/>
          <w:lang w:val="zh-CN"/>
        </w:rPr>
      </w:pPr>
    </w:p>
    <w:p w14:paraId="419269C0">
      <w:pPr>
        <w:spacing w:beforeLines="0" w:afterLines="0" w:line="360" w:lineRule="atLeast"/>
        <w:jc w:val="center"/>
        <w:rPr>
          <w:rFonts w:hint="eastAsia" w:ascii="黑体" w:hAnsi="黑体" w:eastAsia="黑体"/>
          <w:kern w:val="2"/>
          <w:sz w:val="30"/>
          <w:szCs w:val="24"/>
          <w:lang w:val="zh-CN"/>
        </w:rPr>
      </w:pPr>
    </w:p>
    <w:p w14:paraId="4589287E">
      <w:pPr>
        <w:spacing w:beforeLines="0" w:afterLines="0" w:line="360" w:lineRule="atLeast"/>
        <w:jc w:val="center"/>
        <w:rPr>
          <w:rFonts w:hint="eastAsia" w:ascii="黑体" w:hAnsi="黑体" w:eastAsia="黑体"/>
          <w:kern w:val="2"/>
          <w:sz w:val="30"/>
          <w:szCs w:val="24"/>
          <w:lang w:val="zh-CN"/>
        </w:rPr>
      </w:pPr>
    </w:p>
    <w:p w14:paraId="75465940">
      <w:pPr>
        <w:spacing w:beforeLines="0" w:afterLines="0" w:line="360" w:lineRule="atLeast"/>
        <w:jc w:val="center"/>
        <w:rPr>
          <w:rFonts w:hint="eastAsia" w:ascii="黑体" w:hAnsi="黑体" w:eastAsia="黑体"/>
          <w:kern w:val="2"/>
          <w:sz w:val="30"/>
          <w:szCs w:val="24"/>
          <w:lang w:val="zh-CN"/>
        </w:rPr>
      </w:pPr>
    </w:p>
    <w:p w14:paraId="45549C5C">
      <w:pPr>
        <w:spacing w:beforeLines="0" w:afterLines="0" w:line="360" w:lineRule="atLeast"/>
        <w:jc w:val="center"/>
        <w:rPr>
          <w:rFonts w:hint="eastAsia" w:ascii="黑体" w:hAnsi="黑体" w:eastAsia="黑体"/>
          <w:kern w:val="2"/>
          <w:sz w:val="30"/>
          <w:szCs w:val="24"/>
          <w:lang w:val="zh-CN"/>
        </w:rPr>
      </w:pPr>
    </w:p>
    <w:p w14:paraId="5781567C">
      <w:pPr>
        <w:spacing w:beforeLines="0" w:afterLines="0" w:line="360" w:lineRule="atLeast"/>
        <w:jc w:val="center"/>
        <w:rPr>
          <w:rFonts w:hint="eastAsia" w:ascii="黑体" w:hAnsi="黑体" w:eastAsia="黑体"/>
          <w:kern w:val="2"/>
          <w:sz w:val="30"/>
          <w:szCs w:val="24"/>
          <w:lang w:val="zh-CN"/>
        </w:rPr>
      </w:pPr>
    </w:p>
    <w:p w14:paraId="5395349B">
      <w:pPr>
        <w:spacing w:beforeLines="0" w:afterLines="0" w:line="360" w:lineRule="atLeast"/>
        <w:jc w:val="center"/>
        <w:rPr>
          <w:rFonts w:hint="eastAsia" w:ascii="黑体" w:hAnsi="黑体" w:eastAsia="黑体"/>
          <w:kern w:val="2"/>
          <w:sz w:val="30"/>
          <w:szCs w:val="24"/>
          <w:lang w:val="zh-CN"/>
        </w:rPr>
      </w:pPr>
    </w:p>
    <w:p w14:paraId="1922448D">
      <w:pPr>
        <w:spacing w:beforeLines="0" w:afterLines="0" w:line="360" w:lineRule="atLeast"/>
        <w:jc w:val="center"/>
        <w:rPr>
          <w:rFonts w:hint="eastAsia" w:ascii="黑体" w:hAnsi="黑体" w:eastAsia="黑体"/>
          <w:kern w:val="2"/>
          <w:sz w:val="30"/>
          <w:szCs w:val="24"/>
          <w:lang w:val="zh-CN"/>
        </w:rPr>
      </w:pPr>
    </w:p>
    <w:p w14:paraId="5D54A1FA">
      <w:pPr>
        <w:spacing w:beforeLines="0" w:afterLines="0" w:line="360" w:lineRule="atLeast"/>
        <w:jc w:val="center"/>
        <w:rPr>
          <w:rFonts w:hint="eastAsia" w:ascii="黑体" w:hAnsi="黑体" w:eastAsia="黑体"/>
          <w:kern w:val="2"/>
          <w:sz w:val="30"/>
          <w:szCs w:val="24"/>
          <w:lang w:val="zh-CN"/>
        </w:rPr>
      </w:pPr>
    </w:p>
    <w:p w14:paraId="13BA12E5">
      <w:pPr>
        <w:spacing w:beforeLines="0" w:afterLines="0" w:line="360" w:lineRule="atLeast"/>
        <w:jc w:val="center"/>
        <w:rPr>
          <w:rFonts w:hint="eastAsia" w:ascii="黑体" w:hAnsi="黑体" w:eastAsia="黑体"/>
          <w:kern w:val="2"/>
          <w:sz w:val="30"/>
          <w:szCs w:val="24"/>
          <w:lang w:val="zh-CN"/>
        </w:rPr>
      </w:pPr>
    </w:p>
    <w:p w14:paraId="3DA594D7">
      <w:pPr>
        <w:spacing w:beforeLines="0" w:afterLines="0" w:line="360" w:lineRule="atLeast"/>
        <w:jc w:val="center"/>
        <w:rPr>
          <w:rFonts w:hint="eastAsia" w:ascii="黑体" w:hAnsi="黑体" w:eastAsia="黑体"/>
          <w:kern w:val="2"/>
          <w:sz w:val="30"/>
          <w:szCs w:val="24"/>
          <w:lang w:val="zh-CN"/>
        </w:rPr>
      </w:pPr>
    </w:p>
    <w:p w14:paraId="1A8EE657">
      <w:pPr>
        <w:spacing w:beforeLines="0" w:afterLines="0" w:line="360" w:lineRule="atLeast"/>
        <w:jc w:val="center"/>
        <w:rPr>
          <w:rFonts w:hint="eastAsia" w:ascii="黑体" w:hAnsi="黑体" w:eastAsia="黑体"/>
          <w:kern w:val="2"/>
          <w:sz w:val="30"/>
          <w:szCs w:val="24"/>
          <w:lang w:val="zh-CN"/>
        </w:rPr>
      </w:pPr>
    </w:p>
    <w:p w14:paraId="3295EEC0">
      <w:pPr>
        <w:spacing w:beforeLines="0" w:afterLines="0" w:line="360" w:lineRule="atLeast"/>
        <w:jc w:val="center"/>
        <w:rPr>
          <w:rFonts w:hint="eastAsia" w:ascii="黑体" w:hAnsi="黑体" w:eastAsia="黑体"/>
          <w:kern w:val="2"/>
          <w:sz w:val="30"/>
          <w:szCs w:val="24"/>
          <w:lang w:val="zh-CN"/>
        </w:rPr>
      </w:pPr>
    </w:p>
    <w:p w14:paraId="3456DC83">
      <w:pPr>
        <w:spacing w:beforeLines="0" w:afterLines="0" w:line="360" w:lineRule="atLeast"/>
        <w:jc w:val="center"/>
        <w:rPr>
          <w:rFonts w:hint="eastAsia" w:ascii="黑体" w:hAnsi="黑体" w:eastAsia="黑体"/>
          <w:kern w:val="2"/>
          <w:sz w:val="30"/>
          <w:szCs w:val="24"/>
          <w:lang w:val="zh-CN"/>
        </w:rPr>
      </w:pPr>
    </w:p>
    <w:p w14:paraId="465F7A3D">
      <w:pPr>
        <w:spacing w:beforeLines="0" w:afterLines="0" w:line="360" w:lineRule="atLeast"/>
        <w:jc w:val="center"/>
        <w:rPr>
          <w:rFonts w:hint="eastAsia" w:ascii="黑体" w:hAnsi="黑体" w:eastAsia="黑体"/>
          <w:kern w:val="2"/>
          <w:sz w:val="30"/>
          <w:szCs w:val="24"/>
          <w:lang w:val="zh-CN"/>
        </w:rPr>
      </w:pPr>
    </w:p>
    <w:p w14:paraId="0619C847">
      <w:pPr>
        <w:spacing w:beforeLines="0" w:afterLines="0" w:line="360" w:lineRule="atLeast"/>
        <w:jc w:val="center"/>
        <w:rPr>
          <w:rFonts w:hint="eastAsia" w:ascii="黑体" w:hAnsi="黑体" w:eastAsia="黑体"/>
          <w:kern w:val="2"/>
          <w:sz w:val="30"/>
          <w:szCs w:val="24"/>
          <w:lang w:val="zh-CN"/>
        </w:rPr>
      </w:pPr>
    </w:p>
    <w:p w14:paraId="06CF1658">
      <w:pPr>
        <w:spacing w:beforeLines="0" w:afterLines="0" w:line="360" w:lineRule="atLeast"/>
        <w:jc w:val="center"/>
        <w:rPr>
          <w:rFonts w:hint="eastAsia" w:ascii="黑体" w:hAnsi="黑体" w:eastAsia="黑体"/>
          <w:kern w:val="2"/>
          <w:sz w:val="30"/>
          <w:szCs w:val="24"/>
          <w:lang w:val="zh-CN"/>
        </w:rPr>
      </w:pPr>
    </w:p>
    <w:p w14:paraId="030BDA91">
      <w:pPr>
        <w:spacing w:beforeLines="0" w:afterLines="0" w:line="360" w:lineRule="atLeast"/>
        <w:jc w:val="center"/>
        <w:rPr>
          <w:rFonts w:hint="eastAsia" w:ascii="黑体" w:hAnsi="黑体" w:eastAsia="黑体"/>
          <w:kern w:val="2"/>
          <w:sz w:val="30"/>
          <w:szCs w:val="24"/>
          <w:lang w:val="zh-CN"/>
        </w:rPr>
      </w:pPr>
    </w:p>
    <w:p w14:paraId="0B8D17AA">
      <w:pPr>
        <w:spacing w:beforeLines="0" w:afterLines="0" w:line="360" w:lineRule="atLeast"/>
        <w:jc w:val="center"/>
        <w:rPr>
          <w:rFonts w:hint="eastAsia" w:ascii="黑体" w:hAnsi="黑体" w:eastAsia="黑体"/>
          <w:kern w:val="2"/>
          <w:sz w:val="30"/>
          <w:szCs w:val="24"/>
          <w:lang w:val="zh-CN"/>
        </w:rPr>
      </w:pPr>
    </w:p>
    <w:p w14:paraId="6EA91CF9">
      <w:pPr>
        <w:spacing w:beforeLines="0" w:afterLines="0" w:line="360" w:lineRule="atLeast"/>
        <w:jc w:val="center"/>
        <w:rPr>
          <w:rFonts w:hint="eastAsia" w:ascii="黑体" w:hAnsi="黑体" w:eastAsia="黑体"/>
          <w:kern w:val="2"/>
          <w:sz w:val="30"/>
          <w:szCs w:val="24"/>
          <w:lang w:val="zh-CN"/>
        </w:rPr>
      </w:pPr>
    </w:p>
    <w:p w14:paraId="7BCD2B4F">
      <w:pPr>
        <w:spacing w:beforeLines="0" w:afterLines="0" w:line="360" w:lineRule="atLeast"/>
        <w:jc w:val="center"/>
        <w:rPr>
          <w:rFonts w:hint="eastAsia" w:ascii="黑体" w:hAnsi="黑体" w:eastAsia="黑体"/>
          <w:kern w:val="2"/>
          <w:sz w:val="30"/>
          <w:szCs w:val="24"/>
          <w:lang w:val="zh-CN"/>
        </w:rPr>
      </w:pPr>
    </w:p>
    <w:p w14:paraId="5D2C7EC5">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zh-CN"/>
        </w:rPr>
        <w:t xml:space="preserve">第二部分 </w:t>
      </w:r>
      <w:r>
        <w:rPr>
          <w:rFonts w:hint="eastAsia" w:ascii="方正小标宋简体" w:hAnsi="方正小标宋简体" w:eastAsia="方正小标宋简体"/>
          <w:b/>
          <w:kern w:val="44"/>
          <w:sz w:val="44"/>
          <w:szCs w:val="24"/>
          <w:lang w:val="en-US"/>
        </w:rPr>
        <w:t xml:space="preserve"> 2023年度部门决算表</w:t>
      </w:r>
    </w:p>
    <w:p w14:paraId="7B285B9E">
      <w:pPr>
        <w:spacing w:beforeLines="0" w:afterLines="0"/>
        <w:rPr>
          <w:rFonts w:hint="default" w:ascii="Times New Roman" w:hAnsi="Times New Roman" w:eastAsia="Times New Roman"/>
          <w:sz w:val="24"/>
          <w:szCs w:val="24"/>
          <w:lang w:val="en-US"/>
        </w:rPr>
      </w:pPr>
    </w:p>
    <w:p w14:paraId="03475685">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14:paraId="6C309B80">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14:paraId="5A358ECA">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14:paraId="0A2289B6">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14:paraId="2743CDEB">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14:paraId="6FA3613A">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14:paraId="66A53418">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14:paraId="68175509">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14:paraId="36F7806E">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14:paraId="792D7561">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十、《财政拨款“三公”经费支出决算表》</w:t>
      </w:r>
    </w:p>
    <w:p w14:paraId="6F9EE1A4">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14:paraId="07EB9387">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14:paraId="081E44B8">
      <w:pPr>
        <w:spacing w:beforeLines="0" w:afterLines="0" w:line="600" w:lineRule="exact"/>
        <w:rPr>
          <w:rFonts w:hint="default" w:ascii="Times New Roman" w:hAnsi="Times New Roman" w:eastAsia="Times New Roman"/>
          <w:sz w:val="24"/>
          <w:szCs w:val="24"/>
          <w:lang w:val="en-US"/>
        </w:rPr>
      </w:pPr>
    </w:p>
    <w:p w14:paraId="7E845715">
      <w:pPr>
        <w:spacing w:beforeLines="0" w:afterLines="0" w:line="600" w:lineRule="exact"/>
        <w:rPr>
          <w:rFonts w:hint="default" w:ascii="Times New Roman" w:hAnsi="Times New Roman" w:eastAsia="Times New Roman"/>
          <w:sz w:val="24"/>
          <w:szCs w:val="24"/>
          <w:lang w:val="en-US"/>
        </w:rPr>
      </w:pPr>
    </w:p>
    <w:p w14:paraId="7B9DEE7C">
      <w:pPr>
        <w:spacing w:beforeLines="0" w:afterLines="0" w:line="600" w:lineRule="exact"/>
        <w:rPr>
          <w:rFonts w:hint="default" w:ascii="Times New Roman" w:hAnsi="Times New Roman" w:eastAsia="Times New Roman"/>
          <w:sz w:val="24"/>
          <w:szCs w:val="24"/>
          <w:lang w:val="en-US"/>
        </w:rPr>
      </w:pPr>
    </w:p>
    <w:p w14:paraId="0A8CE807">
      <w:pPr>
        <w:spacing w:beforeLines="0" w:afterLines="0" w:line="600" w:lineRule="exact"/>
        <w:rPr>
          <w:rFonts w:hint="default" w:ascii="Times New Roman" w:hAnsi="Times New Roman" w:eastAsia="Times New Roman"/>
          <w:sz w:val="24"/>
          <w:szCs w:val="24"/>
          <w:lang w:val="en-US"/>
        </w:rPr>
      </w:pPr>
    </w:p>
    <w:p w14:paraId="08C36305">
      <w:pPr>
        <w:pStyle w:val="3"/>
        <w:keepNext/>
        <w:keepLines/>
        <w:spacing w:beforeLines="0" w:afterLines="0" w:line="640" w:lineRule="exact"/>
        <w:ind w:firstLine="600"/>
        <w:rPr>
          <w:rFonts w:hint="eastAsia" w:ascii="黑体" w:hAnsi="黑体" w:eastAsia="黑体"/>
          <w:sz w:val="30"/>
          <w:szCs w:val="24"/>
          <w:lang w:val="en-US"/>
        </w:rPr>
      </w:pPr>
      <w:r>
        <w:rPr>
          <w:rFonts w:hint="eastAsia" w:ascii="黑体" w:hAnsi="黑体" w:eastAsia="黑体"/>
          <w:sz w:val="30"/>
          <w:szCs w:val="24"/>
          <w:lang w:val="en-US"/>
        </w:rPr>
        <w:t>十二、关于空表的说明</w:t>
      </w:r>
    </w:p>
    <w:p w14:paraId="1293A01E">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rPr>
        <w:t>1.</w:t>
      </w:r>
      <w:r>
        <w:rPr>
          <w:rFonts w:hint="eastAsia" w:ascii="仿宋" w:hAnsi="仿宋" w:eastAsia="仿宋"/>
          <w:kern w:val="2"/>
          <w:sz w:val="30"/>
          <w:szCs w:val="24"/>
          <w:lang w:val="zh-CN"/>
        </w:rPr>
        <w:t>天津市东丽区疾病预防控制中心</w:t>
      </w:r>
      <w:r>
        <w:rPr>
          <w:rFonts w:hint="eastAsia" w:ascii="仿宋" w:hAnsi="仿宋" w:eastAsia="仿宋"/>
          <w:kern w:val="2"/>
          <w:sz w:val="30"/>
          <w:szCs w:val="24"/>
          <w:lang w:val="en-US"/>
        </w:rPr>
        <w:t>2023年度政府性基金预算财政拨款收入支出决算表为空表。</w:t>
      </w:r>
    </w:p>
    <w:p w14:paraId="7B020F67">
      <w:pPr>
        <w:spacing w:beforeLines="0" w:afterLines="0" w:line="640" w:lineRule="exact"/>
        <w:ind w:firstLine="600"/>
        <w:rPr>
          <w:rFonts w:hint="eastAsia" w:ascii="仿宋" w:hAnsi="仿宋" w:eastAsia="仿宋"/>
          <w:sz w:val="30"/>
          <w:szCs w:val="24"/>
          <w:lang w:val="en-US"/>
        </w:rPr>
      </w:pPr>
      <w:r>
        <w:rPr>
          <w:rFonts w:hint="eastAsia" w:ascii="仿宋" w:hAnsi="仿宋" w:eastAsia="仿宋"/>
          <w:sz w:val="30"/>
          <w:szCs w:val="24"/>
          <w:lang w:val="en-US" w:eastAsia="zh-CN"/>
        </w:rPr>
        <w:t>2</w:t>
      </w:r>
      <w:r>
        <w:rPr>
          <w:rFonts w:hint="eastAsia" w:ascii="仿宋" w:hAnsi="仿宋" w:eastAsia="仿宋"/>
          <w:sz w:val="30"/>
          <w:szCs w:val="24"/>
          <w:lang w:val="en-US"/>
        </w:rPr>
        <w:t>.</w:t>
      </w:r>
      <w:r>
        <w:rPr>
          <w:rFonts w:hint="eastAsia" w:ascii="仿宋" w:hAnsi="仿宋" w:eastAsia="仿宋"/>
          <w:kern w:val="2"/>
          <w:sz w:val="30"/>
          <w:szCs w:val="24"/>
          <w:lang w:val="zh-CN"/>
        </w:rPr>
        <w:t>天津市东丽区疾病预防控制中心</w:t>
      </w:r>
      <w:r>
        <w:rPr>
          <w:rFonts w:hint="eastAsia" w:ascii="仿宋" w:hAnsi="仿宋" w:eastAsia="仿宋"/>
          <w:kern w:val="2"/>
          <w:sz w:val="30"/>
          <w:szCs w:val="24"/>
          <w:lang w:val="en-US"/>
        </w:rPr>
        <w:t>2023年度国有资本经营预算财政拨款收入支出决算表为空表。</w:t>
      </w:r>
    </w:p>
    <w:p w14:paraId="4D374E45">
      <w:pPr>
        <w:spacing w:beforeLines="0" w:afterLines="0" w:line="640" w:lineRule="exact"/>
        <w:ind w:firstLine="600"/>
        <w:rPr>
          <w:rFonts w:hint="eastAsia" w:ascii="仿宋" w:hAnsi="仿宋" w:eastAsia="仿宋"/>
          <w:kern w:val="2"/>
          <w:sz w:val="30"/>
          <w:szCs w:val="24"/>
          <w:lang w:val="en-US"/>
        </w:rPr>
      </w:pPr>
      <w:r>
        <w:rPr>
          <w:rFonts w:hint="eastAsia" w:ascii="仿宋" w:hAnsi="仿宋" w:eastAsia="仿宋"/>
          <w:sz w:val="30"/>
          <w:szCs w:val="24"/>
          <w:lang w:val="en-US" w:eastAsia="zh-CN"/>
        </w:rPr>
        <w:t>3</w:t>
      </w:r>
      <w:r>
        <w:rPr>
          <w:rFonts w:hint="eastAsia" w:ascii="仿宋" w:hAnsi="仿宋" w:eastAsia="仿宋"/>
          <w:sz w:val="30"/>
          <w:szCs w:val="24"/>
          <w:lang w:val="en-US"/>
        </w:rPr>
        <w:t>.</w:t>
      </w:r>
      <w:r>
        <w:rPr>
          <w:rFonts w:hint="eastAsia" w:ascii="仿宋" w:hAnsi="仿宋" w:eastAsia="仿宋"/>
          <w:kern w:val="2"/>
          <w:sz w:val="30"/>
          <w:szCs w:val="24"/>
          <w:lang w:val="zh-CN"/>
        </w:rPr>
        <w:t>天津市东丽区疾病预防控制中心</w:t>
      </w:r>
      <w:r>
        <w:rPr>
          <w:rFonts w:hint="eastAsia" w:ascii="仿宋" w:hAnsi="仿宋" w:eastAsia="仿宋"/>
          <w:kern w:val="2"/>
          <w:sz w:val="30"/>
          <w:szCs w:val="24"/>
          <w:lang w:val="en-US"/>
        </w:rPr>
        <w:t>2023年度财政拨款“三公”经费支出决算表为空表。</w:t>
      </w:r>
    </w:p>
    <w:p w14:paraId="7C676AD2">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5FD27B82">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1379EF5B">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450E1C58">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7834F849">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155A9328">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779A6706">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37FEAB7B">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56B5F98C">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0DDEC300">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p>
    <w:p w14:paraId="6DD61D31">
      <w:pPr>
        <w:pStyle w:val="2"/>
        <w:keepNext/>
        <w:keepLines/>
        <w:spacing w:beforeLines="0" w:afterLines="0" w:line="600" w:lineRule="exact"/>
        <w:jc w:val="both"/>
        <w:rPr>
          <w:rFonts w:hint="eastAsia" w:ascii="方正小标宋简体" w:hAnsi="方正小标宋简体" w:eastAsia="方正小标宋简体"/>
          <w:b/>
          <w:kern w:val="44"/>
          <w:sz w:val="44"/>
          <w:szCs w:val="24"/>
          <w:lang w:val="en-US"/>
        </w:rPr>
      </w:pPr>
    </w:p>
    <w:p w14:paraId="3F5F9CE2">
      <w:pPr>
        <w:pStyle w:val="2"/>
        <w:keepNext/>
        <w:keepLines/>
        <w:spacing w:beforeLines="0" w:afterLines="0" w:line="600" w:lineRule="exact"/>
        <w:jc w:val="both"/>
        <w:rPr>
          <w:rFonts w:hint="eastAsia" w:ascii="方正小标宋简体" w:hAnsi="方正小标宋简体" w:eastAsia="方正小标宋简体"/>
          <w:b/>
          <w:kern w:val="44"/>
          <w:sz w:val="44"/>
          <w:szCs w:val="24"/>
          <w:lang w:val="en-US"/>
        </w:rPr>
      </w:pPr>
    </w:p>
    <w:p w14:paraId="7EBE7E37">
      <w:pPr>
        <w:spacing w:beforeLines="0" w:afterLines="0"/>
        <w:rPr>
          <w:rFonts w:hint="default"/>
          <w:sz w:val="24"/>
          <w:szCs w:val="24"/>
          <w:lang w:val="en-US"/>
        </w:rPr>
      </w:pPr>
    </w:p>
    <w:p w14:paraId="2C88E1E5">
      <w:pPr>
        <w:pStyle w:val="2"/>
        <w:keepNext/>
        <w:keepLines/>
        <w:spacing w:beforeLines="0" w:afterLines="0" w:line="600" w:lineRule="exact"/>
        <w:jc w:val="center"/>
        <w:rPr>
          <w:rFonts w:hint="eastAsia" w:ascii="方正小标宋简体" w:hAnsi="方正小标宋简体" w:eastAsia="方正小标宋简体"/>
          <w:b/>
          <w:kern w:val="44"/>
          <w:sz w:val="44"/>
          <w:szCs w:val="24"/>
          <w:lang w:val="en-US"/>
        </w:rPr>
      </w:pPr>
      <w:r>
        <w:rPr>
          <w:rFonts w:hint="eastAsia" w:ascii="方正小标宋简体" w:hAnsi="方正小标宋简体" w:eastAsia="方正小标宋简体"/>
          <w:b/>
          <w:kern w:val="44"/>
          <w:sz w:val="44"/>
          <w:szCs w:val="24"/>
          <w:lang w:val="en-US"/>
        </w:rPr>
        <w:t>第三部分  2023年度部门决算情况说明</w:t>
      </w:r>
    </w:p>
    <w:p w14:paraId="4F4D72E7">
      <w:pPr>
        <w:spacing w:beforeLines="0" w:afterLines="0" w:line="580" w:lineRule="exact"/>
        <w:ind w:firstLine="600"/>
        <w:rPr>
          <w:rFonts w:hint="eastAsia" w:ascii="黑体" w:hAnsi="黑体" w:eastAsia="黑体"/>
          <w:kern w:val="2"/>
          <w:sz w:val="30"/>
          <w:szCs w:val="24"/>
          <w:lang w:val="zh-CN"/>
        </w:rPr>
      </w:pPr>
    </w:p>
    <w:p w14:paraId="3D33AFBF">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14:paraId="3A2D52A0">
      <w:pPr>
        <w:spacing w:beforeLines="0" w:afterLines="0" w:line="580" w:lineRule="exact"/>
        <w:ind w:firstLine="602"/>
        <w:rPr>
          <w:rFonts w:hint="eastAsia" w:ascii="仿宋" w:hAnsi="仿宋" w:eastAsia="仿宋" w:cs="Times New Roman"/>
          <w:sz w:val="30"/>
          <w:szCs w:val="24"/>
          <w:lang w:val="zh-CN" w:eastAsia="zh-CN"/>
        </w:rPr>
      </w:pPr>
      <w:r>
        <w:rPr>
          <w:rFonts w:hint="eastAsia" w:ascii="仿宋" w:hAnsi="仿宋" w:eastAsia="仿宋"/>
          <w:sz w:val="30"/>
          <w:szCs w:val="24"/>
          <w:lang w:val="zh-CN"/>
        </w:rPr>
        <w:t>天津市东丽区疾病预防控制中心2023年度收入、支出决算总计</w:t>
      </w:r>
      <w:r>
        <w:rPr>
          <w:rFonts w:hint="eastAsia" w:ascii="仿宋" w:hAnsi="仿宋" w:eastAsia="仿宋"/>
          <w:kern w:val="2"/>
          <w:sz w:val="30"/>
          <w:szCs w:val="24"/>
          <w:lang w:val="zh-CN"/>
        </w:rPr>
        <w:t>42,751,193.56</w:t>
      </w:r>
      <w:r>
        <w:rPr>
          <w:rFonts w:hint="eastAsia" w:ascii="仿宋" w:hAnsi="仿宋" w:eastAsia="仿宋"/>
          <w:sz w:val="30"/>
          <w:szCs w:val="24"/>
          <w:lang w:val="en-US"/>
        </w:rPr>
        <w:t>元，与2022年度相比，收、支总计各</w:t>
      </w:r>
      <w:r>
        <w:rPr>
          <w:rFonts w:hint="eastAsia" w:ascii="仿宋" w:hAnsi="仿宋" w:eastAsia="仿宋"/>
          <w:kern w:val="2"/>
          <w:sz w:val="30"/>
          <w:szCs w:val="24"/>
          <w:lang w:val="en-US"/>
        </w:rPr>
        <w:t>增加4,005,064.52</w:t>
      </w:r>
      <w:r>
        <w:rPr>
          <w:rFonts w:hint="eastAsia" w:ascii="仿宋" w:hAnsi="仿宋" w:eastAsia="仿宋"/>
          <w:sz w:val="30"/>
          <w:szCs w:val="24"/>
          <w:lang w:val="en-US"/>
        </w:rPr>
        <w:t>元</w:t>
      </w:r>
      <w:r>
        <w:rPr>
          <w:rFonts w:hint="eastAsia" w:ascii="仿宋" w:hAnsi="仿宋" w:eastAsia="仿宋"/>
          <w:kern w:val="2"/>
          <w:sz w:val="30"/>
          <w:szCs w:val="24"/>
          <w:lang w:val="en-US"/>
        </w:rPr>
        <w:t>，增长10.34%，</w:t>
      </w:r>
      <w:r>
        <w:rPr>
          <w:rFonts w:hint="eastAsia" w:ascii="仿宋" w:hAnsi="仿宋" w:eastAsia="仿宋"/>
          <w:sz w:val="30"/>
          <w:szCs w:val="24"/>
          <w:lang w:val="zh-CN"/>
        </w:rPr>
        <w:t>主要原因</w:t>
      </w:r>
      <w:r>
        <w:rPr>
          <w:rFonts w:hint="eastAsia" w:ascii="仿宋" w:hAnsi="仿宋" w:eastAsia="仿宋" w:cs="Times New Roman"/>
          <w:sz w:val="30"/>
          <w:szCs w:val="24"/>
          <w:lang w:val="zh-CN"/>
        </w:rPr>
        <w:t>是：本年度财政拨款</w:t>
      </w:r>
      <w:r>
        <w:rPr>
          <w:rFonts w:hint="eastAsia" w:ascii="仿宋" w:hAnsi="仿宋" w:eastAsia="仿宋" w:cs="Times New Roman"/>
          <w:sz w:val="30"/>
          <w:szCs w:val="24"/>
          <w:lang w:val="en-US" w:eastAsia="zh-CN"/>
        </w:rPr>
        <w:t>收支</w:t>
      </w:r>
      <w:r>
        <w:rPr>
          <w:rFonts w:hint="eastAsia" w:ascii="仿宋" w:hAnsi="仿宋" w:eastAsia="仿宋" w:cs="Times New Roman"/>
          <w:sz w:val="30"/>
          <w:szCs w:val="24"/>
          <w:lang w:val="zh-CN"/>
        </w:rPr>
        <w:t>与非同级财政拨款</w:t>
      </w:r>
      <w:r>
        <w:rPr>
          <w:rFonts w:hint="eastAsia" w:ascii="仿宋" w:hAnsi="仿宋" w:eastAsia="仿宋" w:cs="Times New Roman"/>
          <w:sz w:val="30"/>
          <w:szCs w:val="24"/>
          <w:lang w:val="en-US" w:eastAsia="zh-CN"/>
        </w:rPr>
        <w:t>收支</w:t>
      </w:r>
      <w:r>
        <w:rPr>
          <w:rFonts w:hint="eastAsia" w:ascii="仿宋" w:hAnsi="仿宋" w:eastAsia="仿宋" w:cs="Times New Roman"/>
          <w:sz w:val="30"/>
          <w:szCs w:val="24"/>
          <w:lang w:val="zh-CN"/>
        </w:rPr>
        <w:t>均有</w:t>
      </w:r>
      <w:r>
        <w:rPr>
          <w:rFonts w:hint="eastAsia" w:ascii="仿宋" w:hAnsi="仿宋" w:eastAsia="仿宋" w:cs="Times New Roman"/>
          <w:sz w:val="30"/>
          <w:szCs w:val="24"/>
          <w:lang w:val="en-US" w:eastAsia="zh-CN"/>
        </w:rPr>
        <w:t>所</w:t>
      </w:r>
      <w:r>
        <w:rPr>
          <w:rFonts w:hint="eastAsia" w:ascii="仿宋" w:hAnsi="仿宋" w:eastAsia="仿宋" w:cs="Times New Roman"/>
          <w:sz w:val="30"/>
          <w:szCs w:val="24"/>
          <w:lang w:val="zh-CN"/>
        </w:rPr>
        <w:t>增加</w:t>
      </w:r>
      <w:r>
        <w:rPr>
          <w:rFonts w:hint="eastAsia" w:ascii="仿宋" w:hAnsi="仿宋" w:eastAsia="仿宋" w:cs="Times New Roman"/>
          <w:sz w:val="30"/>
          <w:szCs w:val="24"/>
          <w:lang w:val="zh-CN" w:eastAsia="zh-CN"/>
        </w:rPr>
        <w:t>。</w:t>
      </w:r>
    </w:p>
    <w:p w14:paraId="2E25DC41">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14:paraId="5A95181F">
      <w:pPr>
        <w:spacing w:beforeLines="0" w:afterLines="0" w:line="60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zh-CN"/>
        </w:rPr>
        <w:t>天津市东丽区疾病预防控制中心2023年度本年收入合计42,408,767.77</w:t>
      </w:r>
      <w:r>
        <w:rPr>
          <w:rFonts w:hint="eastAsia" w:ascii="仿宋" w:hAnsi="仿宋" w:eastAsia="仿宋"/>
          <w:kern w:val="2"/>
          <w:sz w:val="30"/>
          <w:szCs w:val="24"/>
          <w:lang w:val="en-US"/>
        </w:rPr>
        <w:t>元，与2022年度相比增加6,277,088.60元，</w:t>
      </w:r>
      <w:r>
        <w:rPr>
          <w:rFonts w:hint="eastAsia" w:ascii="仿宋" w:hAnsi="仿宋" w:eastAsia="仿宋"/>
          <w:sz w:val="30"/>
          <w:szCs w:val="24"/>
          <w:lang w:val="zh-CN"/>
        </w:rPr>
        <w:t>主要原因是：本年度财政拨款的项目收入大幅增加，同时非同级财政拨款收入117000元，比去年增幅100.00%。</w:t>
      </w:r>
      <w:r>
        <w:rPr>
          <w:rFonts w:hint="eastAsia" w:ascii="仿宋" w:hAnsi="仿宋" w:eastAsia="仿宋"/>
          <w:kern w:val="2"/>
          <w:sz w:val="30"/>
          <w:szCs w:val="24"/>
          <w:lang w:val="en-US"/>
        </w:rPr>
        <w:t>其中：</w:t>
      </w:r>
      <w:r>
        <w:rPr>
          <w:rFonts w:hint="eastAsia" w:ascii="仿宋" w:hAnsi="仿宋" w:eastAsia="仿宋"/>
          <w:kern w:val="2"/>
          <w:sz w:val="30"/>
          <w:szCs w:val="24"/>
          <w:lang w:val="zh-CN"/>
        </w:rPr>
        <w:t>一般公共预算财政拨款收入42,272,950.72元，占99.68%；其他收入135,817.05元，占0.32%。</w:t>
      </w:r>
    </w:p>
    <w:p w14:paraId="0CD39C55">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14:paraId="082FC4CD">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天津市东丽区疾病预防控制中心2023年度本年支出合计42,736,150.56元，与2022年度相比增加4,332,530.31元，</w:t>
      </w:r>
      <w:r>
        <w:rPr>
          <w:rFonts w:hint="eastAsia" w:ascii="仿宋" w:hAnsi="仿宋" w:eastAsia="仿宋"/>
          <w:kern w:val="2"/>
          <w:sz w:val="30"/>
          <w:szCs w:val="24"/>
          <w:lang w:val="zh-CN"/>
        </w:rPr>
        <w:t>主要原因是</w:t>
      </w:r>
      <w:r>
        <w:rPr>
          <w:rFonts w:hint="eastAsia" w:ascii="仿宋" w:hAnsi="仿宋" w:eastAsia="仿宋" w:cs="Times New Roman"/>
          <w:kern w:val="2"/>
          <w:sz w:val="30"/>
          <w:szCs w:val="24"/>
          <w:lang w:val="zh-CN"/>
        </w:rPr>
        <w:t>：</w:t>
      </w:r>
      <w:r>
        <w:rPr>
          <w:rFonts w:hint="eastAsia" w:ascii="仿宋" w:hAnsi="仿宋" w:eastAsia="仿宋" w:cs="Times New Roman"/>
          <w:kern w:val="2"/>
          <w:sz w:val="30"/>
          <w:szCs w:val="24"/>
          <w:lang w:val="en-US" w:eastAsia="zh-CN"/>
        </w:rPr>
        <w:t>本年度财政拨款项目支出、公用经费支出和非同级财政拨款项目支出均增加</w:t>
      </w:r>
      <w:r>
        <w:rPr>
          <w:rFonts w:hint="eastAsia" w:ascii="仿宋" w:hAnsi="仿宋" w:eastAsia="仿宋" w:cs="Times New Roman"/>
          <w:kern w:val="2"/>
          <w:sz w:val="30"/>
          <w:szCs w:val="24"/>
          <w:lang w:val="zh-CN"/>
        </w:rPr>
        <w:t>。</w:t>
      </w:r>
      <w:r>
        <w:rPr>
          <w:rFonts w:hint="eastAsia" w:ascii="仿宋" w:hAnsi="仿宋" w:eastAsia="仿宋"/>
          <w:kern w:val="2"/>
          <w:sz w:val="30"/>
          <w:szCs w:val="24"/>
          <w:lang w:val="en-US"/>
        </w:rPr>
        <w:t>其中：</w:t>
      </w:r>
      <w:r>
        <w:rPr>
          <w:rFonts w:hint="eastAsia" w:ascii="仿宋" w:hAnsi="仿宋" w:eastAsia="仿宋"/>
          <w:kern w:val="2"/>
          <w:sz w:val="30"/>
          <w:szCs w:val="24"/>
          <w:lang w:val="zh-CN"/>
        </w:rPr>
        <w:t>基本支出17,955,300.78元，占42.01%；项目支出24,780,849.78元，占57.99%。</w:t>
      </w:r>
    </w:p>
    <w:p w14:paraId="75B99D50">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14:paraId="0DEC797D">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kern w:val="2"/>
          <w:sz w:val="30"/>
          <w:szCs w:val="24"/>
          <w:lang w:val="en-US"/>
        </w:rPr>
        <w:t>天津市东丽区疾病预防控制中心2023年度财政拨款收入、支出决算总计</w:t>
      </w:r>
      <w:r>
        <w:rPr>
          <w:rFonts w:hint="eastAsia" w:ascii="仿宋" w:hAnsi="仿宋" w:eastAsia="仿宋"/>
          <w:kern w:val="2"/>
          <w:sz w:val="30"/>
          <w:szCs w:val="24"/>
          <w:lang w:val="zh-CN"/>
        </w:rPr>
        <w:t>42,272,950.72</w:t>
      </w:r>
      <w:r>
        <w:rPr>
          <w:rFonts w:hint="eastAsia" w:ascii="仿宋" w:hAnsi="仿宋" w:eastAsia="仿宋"/>
          <w:kern w:val="2"/>
          <w:sz w:val="30"/>
          <w:szCs w:val="24"/>
          <w:lang w:val="en-US"/>
        </w:rPr>
        <w:t>元，与2022年度相比，财政拨款收、支总计各增加6,163,017.77元，增长17.07%，</w:t>
      </w:r>
      <w:r>
        <w:rPr>
          <w:rFonts w:hint="eastAsia" w:ascii="仿宋" w:hAnsi="仿宋" w:eastAsia="仿宋"/>
          <w:kern w:val="2"/>
          <w:sz w:val="30"/>
          <w:szCs w:val="24"/>
          <w:lang w:val="zh-CN"/>
        </w:rPr>
        <w:t>主要原因是：本年度财政拨款的</w:t>
      </w:r>
      <w:r>
        <w:rPr>
          <w:rFonts w:hint="eastAsia" w:ascii="仿宋" w:hAnsi="仿宋" w:eastAsia="仿宋"/>
          <w:kern w:val="2"/>
          <w:sz w:val="30"/>
          <w:szCs w:val="24"/>
          <w:lang w:val="en-US" w:eastAsia="zh-CN"/>
        </w:rPr>
        <w:t>基本公共卫生、重大公共卫生和突发公共卫生</w:t>
      </w:r>
      <w:r>
        <w:rPr>
          <w:rFonts w:hint="eastAsia" w:ascii="仿宋" w:hAnsi="仿宋" w:eastAsia="仿宋"/>
          <w:kern w:val="2"/>
          <w:sz w:val="30"/>
          <w:szCs w:val="24"/>
          <w:lang w:val="zh-CN"/>
        </w:rPr>
        <w:t>项目收、</w:t>
      </w:r>
      <w:r>
        <w:rPr>
          <w:rFonts w:hint="eastAsia" w:ascii="仿宋" w:hAnsi="仿宋" w:eastAsia="仿宋"/>
          <w:kern w:val="2"/>
          <w:sz w:val="30"/>
          <w:szCs w:val="24"/>
          <w:lang w:val="en-US" w:eastAsia="zh-CN"/>
        </w:rPr>
        <w:t>支均</w:t>
      </w:r>
      <w:r>
        <w:rPr>
          <w:rFonts w:hint="eastAsia" w:ascii="仿宋" w:hAnsi="仿宋" w:eastAsia="仿宋"/>
          <w:kern w:val="2"/>
          <w:sz w:val="30"/>
          <w:szCs w:val="24"/>
          <w:lang w:val="zh-CN"/>
        </w:rPr>
        <w:t>增加。</w:t>
      </w:r>
    </w:p>
    <w:p w14:paraId="42F33CE9">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14:paraId="6F4A08C5">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14:paraId="40B67D9E">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天津市东丽区疾病预防控制中心2023年度部门决算一般公共预算财政拨款支出</w:t>
      </w:r>
      <w:r>
        <w:rPr>
          <w:rFonts w:hint="eastAsia" w:ascii="仿宋" w:hAnsi="仿宋" w:eastAsia="仿宋"/>
          <w:kern w:val="2"/>
          <w:sz w:val="30"/>
          <w:szCs w:val="24"/>
          <w:lang w:val="zh-CN"/>
        </w:rPr>
        <w:t>合</w:t>
      </w:r>
      <w:r>
        <w:rPr>
          <w:rFonts w:hint="eastAsia" w:ascii="仿宋" w:hAnsi="仿宋" w:eastAsia="仿宋"/>
          <w:kern w:val="2"/>
          <w:sz w:val="30"/>
          <w:szCs w:val="24"/>
          <w:lang w:val="en-US"/>
        </w:rPr>
        <w:t>计42,272,950.72元，占本年支出合计的98.92%，与2022年度相比，增加6,163,017.77元，增长17.07%，</w:t>
      </w:r>
      <w:r>
        <w:rPr>
          <w:rFonts w:hint="eastAsia" w:ascii="仿宋" w:hAnsi="仿宋" w:eastAsia="仿宋"/>
          <w:kern w:val="2"/>
          <w:sz w:val="30"/>
          <w:szCs w:val="24"/>
          <w:lang w:val="zh-CN"/>
        </w:rPr>
        <w:t>主要原因是：本年度</w:t>
      </w:r>
      <w:r>
        <w:rPr>
          <w:rFonts w:hint="eastAsia" w:ascii="仿宋" w:hAnsi="仿宋" w:eastAsia="仿宋"/>
          <w:kern w:val="2"/>
          <w:sz w:val="30"/>
          <w:szCs w:val="24"/>
          <w:lang w:val="en-US"/>
        </w:rPr>
        <w:t>一般公共预算财政拨款</w:t>
      </w:r>
      <w:r>
        <w:rPr>
          <w:rFonts w:hint="eastAsia" w:ascii="仿宋" w:hAnsi="仿宋" w:eastAsia="仿宋"/>
          <w:kern w:val="2"/>
          <w:sz w:val="30"/>
          <w:szCs w:val="24"/>
          <w:lang w:val="zh-CN"/>
        </w:rPr>
        <w:t>的</w:t>
      </w:r>
      <w:r>
        <w:rPr>
          <w:rFonts w:hint="eastAsia" w:ascii="仿宋" w:hAnsi="仿宋" w:eastAsia="仿宋"/>
          <w:kern w:val="2"/>
          <w:sz w:val="30"/>
          <w:szCs w:val="24"/>
          <w:lang w:val="en-US" w:eastAsia="zh-CN"/>
        </w:rPr>
        <w:t>基本公共卫生、重大公共卫生和突发公共卫生</w:t>
      </w:r>
      <w:r>
        <w:rPr>
          <w:rFonts w:hint="eastAsia" w:ascii="仿宋" w:hAnsi="仿宋" w:eastAsia="仿宋"/>
          <w:kern w:val="2"/>
          <w:sz w:val="30"/>
          <w:szCs w:val="24"/>
          <w:lang w:val="zh-CN"/>
        </w:rPr>
        <w:t>项目</w:t>
      </w:r>
      <w:r>
        <w:rPr>
          <w:rFonts w:hint="eastAsia" w:ascii="仿宋" w:hAnsi="仿宋" w:eastAsia="仿宋"/>
          <w:kern w:val="2"/>
          <w:sz w:val="30"/>
          <w:szCs w:val="24"/>
          <w:lang w:val="en-US" w:eastAsia="zh-CN"/>
        </w:rPr>
        <w:t>支出</w:t>
      </w:r>
      <w:r>
        <w:rPr>
          <w:rFonts w:hint="eastAsia" w:ascii="仿宋" w:hAnsi="仿宋" w:eastAsia="仿宋"/>
          <w:kern w:val="2"/>
          <w:sz w:val="30"/>
          <w:szCs w:val="24"/>
          <w:lang w:val="zh-CN"/>
        </w:rPr>
        <w:t>增加</w:t>
      </w:r>
      <w:r>
        <w:rPr>
          <w:rFonts w:hint="eastAsia" w:ascii="仿宋" w:hAnsi="仿宋" w:eastAsia="仿宋"/>
          <w:kern w:val="2"/>
          <w:sz w:val="30"/>
          <w:szCs w:val="24"/>
          <w:lang w:val="en-US"/>
        </w:rPr>
        <w:t>。</w:t>
      </w:r>
    </w:p>
    <w:p w14:paraId="273D0A1B">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14:paraId="3F7CD9B4">
      <w:pPr>
        <w:spacing w:beforeLines="0" w:afterLines="0" w:line="600" w:lineRule="exact"/>
        <w:ind w:firstLine="720"/>
        <w:rPr>
          <w:rFonts w:hint="eastAsia" w:ascii="仿宋" w:hAnsi="仿宋" w:eastAsia="仿宋"/>
          <w:kern w:val="2"/>
          <w:sz w:val="30"/>
          <w:szCs w:val="24"/>
          <w:lang w:val="zh-CN"/>
        </w:rPr>
      </w:pPr>
      <w:r>
        <w:rPr>
          <w:rFonts w:hint="eastAsia" w:ascii="仿宋" w:hAnsi="仿宋" w:eastAsia="仿宋"/>
          <w:kern w:val="2"/>
          <w:sz w:val="30"/>
          <w:szCs w:val="24"/>
          <w:lang w:val="en-US"/>
        </w:rPr>
        <w:t>2023年度一般公共预算财政拨款支出42,272,950.72元，</w:t>
      </w:r>
      <w:r>
        <w:rPr>
          <w:rFonts w:hint="eastAsia" w:ascii="仿宋" w:hAnsi="仿宋" w:eastAsia="仿宋"/>
          <w:sz w:val="30"/>
          <w:szCs w:val="24"/>
          <w:lang w:val="en-US"/>
        </w:rPr>
        <w:t>主要用于以下方面：</w:t>
      </w:r>
      <w:r>
        <w:rPr>
          <w:rFonts w:hint="eastAsia" w:ascii="仿宋" w:hAnsi="仿宋" w:eastAsia="仿宋"/>
          <w:kern w:val="2"/>
          <w:sz w:val="30"/>
          <w:szCs w:val="24"/>
          <w:lang w:val="zh-CN"/>
        </w:rPr>
        <w:t>社会保障和就业支出1,733,098.87元，占4.10%；卫生健康支出40,539,851.85元，占95.90%。</w:t>
      </w:r>
    </w:p>
    <w:p w14:paraId="2DA00A10">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14:paraId="25D328ED">
      <w:pPr>
        <w:spacing w:beforeLines="0" w:afterLines="0" w:line="600" w:lineRule="exact"/>
        <w:ind w:firstLine="6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2023年度一般公共预算财政拨款支出年初预算为38,396,023.53元，支出决算为42,272,950.72元，完成年初预算的110.10%。其中：</w:t>
      </w:r>
    </w:p>
    <w:p w14:paraId="42E1B658">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1.社会保障和就业支出(类)行政事业单位养老支出(款)机关事业单位基本养老保险缴费支出(项)年初预算为1,102,500.00元，支出决算为1,149,819.25元，完成年初预算的104.29%，决算数大于年初预算数的主要原因是2023年执行过程中调整了社会保障的缴费基数。</w:t>
      </w:r>
    </w:p>
    <w:p w14:paraId="2BE7CEF2">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2.社会保障和就业支出(类)行政事业单位养老支出(款)机关事业单位职业年金缴费支出(项)年初预算为551,200.00元，支出决算为583,279.62元，完成年初预算的105.82%，决算数大于年初预算数的主要原因是2023年执行过程中调整了社会保障的缴费基数。</w:t>
      </w:r>
    </w:p>
    <w:p w14:paraId="12102861">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3.卫生健康支出(类)公共卫生(款)疾病预防控制机构(项)年初预算为15,532,600.00元，支出决算为15,389,851.42元，完成年初预算的99.08%，决算数小于年初预算数的主要原因是2023年执行过程中实际支出的公用经费较年初预算略有所下降。</w:t>
      </w:r>
    </w:p>
    <w:p w14:paraId="7CE55BDE">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4.卫生健康支出(类)公共卫生(款)基本公共卫生服务(项)年初预算为560,000.00元，支出决算为1,190,965.20元，完成年初预算的212.67%，决算数大于年初预算数的主要原因是2023年执行过程中新增了基本公共卫生服务中央直达资金。</w:t>
      </w:r>
    </w:p>
    <w:p w14:paraId="1B8C621A">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5.卫生健康支出(类)公共卫生(款)重大公共卫生服务(项)年初预算为4,776,500.00元，支出决算为2,735,183.99元，完成年初预算的57.26%，决算数小于年初预算数的主要原因是重大公共卫生服务项目的实施通常需要一定的时间周期，一个年度内的实际服务量未达到年初预算的预期水平，从而是实际支出低于预算。</w:t>
      </w:r>
    </w:p>
    <w:p w14:paraId="2C4F0640">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6.卫生健康支出(类)公共卫生(款)突发公共卫生事件应急处理(项)年初预算为17,739,900.00元，支出决算为20,398,117.80元，完成年初预算的114.98%，决算数大于年初预算数的主要原因是2023年执行过程中新增了新冠肺炎疫情防控</w:t>
      </w:r>
      <w:bookmarkStart w:id="0" w:name="_GoBack"/>
      <w:bookmarkEnd w:id="0"/>
      <w:r>
        <w:rPr>
          <w:rFonts w:hint="eastAsia" w:ascii="仿宋" w:hAnsi="仿宋" w:eastAsia="仿宋" w:cs="Times New Roman"/>
          <w:sz w:val="30"/>
          <w:szCs w:val="24"/>
          <w:lang w:val="en-US" w:eastAsia="zh-CN"/>
        </w:rPr>
        <w:t>中央直达资金。</w:t>
      </w:r>
    </w:p>
    <w:p w14:paraId="20F18D4A">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7.卫生健康支出(类)公共卫生(款)其他公共卫生支出(项)年初预算为0.00元，支出决算为6,500.00元，完成年初预算的0.00%，决算数大于年初预算数的主要原因是2023年执行过程中新增了公共卫生补助市专款资金。</w:t>
      </w:r>
    </w:p>
    <w:p w14:paraId="3E45DA54">
      <w:pPr>
        <w:numPr>
          <w:ilvl w:val="0"/>
          <w:numId w:val="0"/>
        </w:numPr>
        <w:spacing w:beforeLines="0" w:afterLines="0" w:line="600" w:lineRule="exact"/>
        <w:ind w:firstLine="600" w:firstLineChars="200"/>
        <w:rPr>
          <w:rFonts w:hint="eastAsia" w:ascii="仿宋" w:hAnsi="仿宋" w:eastAsia="仿宋" w:cs="Times New Roman"/>
          <w:sz w:val="30"/>
          <w:szCs w:val="24"/>
          <w:lang w:val="en-US" w:eastAsia="zh-CN"/>
        </w:rPr>
      </w:pPr>
      <w:r>
        <w:rPr>
          <w:rFonts w:hint="eastAsia" w:ascii="仿宋" w:hAnsi="仿宋" w:eastAsia="仿宋" w:cs="Times New Roman"/>
          <w:sz w:val="30"/>
          <w:szCs w:val="24"/>
          <w:lang w:val="en-US" w:eastAsia="zh-CN"/>
        </w:rPr>
        <w:t>8.卫生健康支出(类)行政事业单位医疗(款)事业单位医疗(项)年初预算为785,300.00元，支出决算为819,233.44元，完成年初预算的104.32%，决算数大于年初预算数的主要原因是2023年执行过程中调整了社会保障的缴费基数。</w:t>
      </w:r>
    </w:p>
    <w:p w14:paraId="70AEEAF7">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14:paraId="2CD4A4F0">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天津市东丽区疾病预防控制中心2023年度部门决算一般公共预算财政拨款基本支出合计17,936,483.73元，与2022年度相比增加1,861,337.27元，</w:t>
      </w:r>
      <w:r>
        <w:rPr>
          <w:rFonts w:hint="eastAsia" w:ascii="仿宋" w:hAnsi="仿宋" w:eastAsia="仿宋"/>
          <w:sz w:val="30"/>
          <w:szCs w:val="24"/>
          <w:lang w:val="en-US"/>
        </w:rPr>
        <w:t>主要原因是</w:t>
      </w:r>
      <w:r>
        <w:rPr>
          <w:rFonts w:hint="eastAsia" w:ascii="仿宋" w:hAnsi="仿宋" w:eastAsia="仿宋"/>
          <w:kern w:val="2"/>
          <w:sz w:val="30"/>
          <w:szCs w:val="24"/>
          <w:lang w:val="zh-CN"/>
        </w:rPr>
        <w:t>：202</w:t>
      </w:r>
      <w:r>
        <w:rPr>
          <w:rFonts w:hint="eastAsia" w:ascii="仿宋" w:hAnsi="仿宋" w:eastAsia="仿宋"/>
          <w:kern w:val="2"/>
          <w:sz w:val="30"/>
          <w:szCs w:val="24"/>
          <w:lang w:val="en-US" w:eastAsia="zh-CN"/>
        </w:rPr>
        <w:t>3</w:t>
      </w:r>
      <w:r>
        <w:rPr>
          <w:rFonts w:hint="eastAsia" w:ascii="仿宋" w:hAnsi="仿宋" w:eastAsia="仿宋"/>
          <w:kern w:val="2"/>
          <w:sz w:val="30"/>
          <w:szCs w:val="24"/>
          <w:lang w:val="zh-CN"/>
        </w:rPr>
        <w:t>年度</w:t>
      </w:r>
      <w:r>
        <w:rPr>
          <w:rFonts w:hint="eastAsia" w:ascii="仿宋" w:hAnsi="仿宋" w:eastAsia="仿宋" w:cs="Times New Roman"/>
          <w:sz w:val="30"/>
          <w:szCs w:val="24"/>
          <w:lang w:val="en-US" w:eastAsia="zh-CN"/>
        </w:rPr>
        <w:t>调整了社会保障的缴费基数和新增入职人员，导致了</w:t>
      </w:r>
      <w:r>
        <w:rPr>
          <w:rFonts w:hint="eastAsia" w:ascii="仿宋" w:hAnsi="仿宋" w:eastAsia="仿宋"/>
          <w:kern w:val="2"/>
          <w:sz w:val="30"/>
          <w:szCs w:val="24"/>
          <w:lang w:val="en-US" w:eastAsia="zh-CN"/>
        </w:rPr>
        <w:t>人员经费支出增加1,234,276.05元以及</w:t>
      </w:r>
      <w:r>
        <w:rPr>
          <w:rFonts w:hint="eastAsia" w:ascii="仿宋" w:hAnsi="仿宋" w:eastAsia="仿宋"/>
          <w:kern w:val="2"/>
          <w:sz w:val="30"/>
          <w:szCs w:val="24"/>
          <w:lang w:val="zh-CN"/>
        </w:rPr>
        <w:t>公用经费支出</w:t>
      </w:r>
      <w:r>
        <w:rPr>
          <w:rFonts w:hint="eastAsia" w:ascii="仿宋" w:hAnsi="仿宋" w:eastAsia="仿宋"/>
          <w:kern w:val="2"/>
          <w:sz w:val="30"/>
          <w:szCs w:val="24"/>
          <w:lang w:val="en-US" w:eastAsia="zh-CN"/>
        </w:rPr>
        <w:t>增加627,061.22元</w:t>
      </w:r>
      <w:r>
        <w:rPr>
          <w:rFonts w:hint="eastAsia" w:ascii="仿宋" w:hAnsi="仿宋" w:eastAsia="仿宋"/>
          <w:kern w:val="2"/>
          <w:sz w:val="30"/>
          <w:szCs w:val="24"/>
          <w:lang w:val="en-US"/>
        </w:rPr>
        <w:t>。</w:t>
      </w:r>
      <w:r>
        <w:rPr>
          <w:rFonts w:hint="eastAsia" w:ascii="仿宋" w:hAnsi="仿宋" w:eastAsia="仿宋"/>
          <w:sz w:val="30"/>
          <w:szCs w:val="24"/>
          <w:lang w:val="en-US"/>
        </w:rPr>
        <w:t>其中：</w:t>
      </w:r>
    </w:p>
    <w:p w14:paraId="7A0CA80E">
      <w:pPr>
        <w:spacing w:beforeLines="0" w:afterLines="0" w:line="580" w:lineRule="exact"/>
        <w:ind w:firstLine="600"/>
        <w:rPr>
          <w:rFonts w:hint="eastAsia" w:ascii="仿宋" w:hAnsi="仿宋" w:eastAsia="仿宋"/>
          <w:sz w:val="30"/>
          <w:szCs w:val="24"/>
          <w:lang w:val="en-US"/>
        </w:rPr>
      </w:pPr>
      <w:r>
        <w:rPr>
          <w:rFonts w:hint="eastAsia" w:ascii="仿宋" w:hAnsi="仿宋" w:eastAsia="仿宋"/>
          <w:sz w:val="30"/>
          <w:szCs w:val="24"/>
          <w:lang w:val="en-US"/>
        </w:rPr>
        <w:t>人员经费</w:t>
      </w:r>
      <w:r>
        <w:rPr>
          <w:rFonts w:hint="eastAsia" w:ascii="仿宋" w:hAnsi="仿宋" w:eastAsia="仿宋"/>
          <w:kern w:val="2"/>
          <w:sz w:val="30"/>
          <w:szCs w:val="24"/>
          <w:lang w:val="en-US"/>
        </w:rPr>
        <w:t>16,416,269.75</w:t>
      </w:r>
      <w:r>
        <w:rPr>
          <w:rFonts w:hint="eastAsia" w:ascii="仿宋" w:hAnsi="仿宋" w:eastAsia="仿宋"/>
          <w:sz w:val="30"/>
          <w:szCs w:val="24"/>
          <w:lang w:val="en-US"/>
        </w:rPr>
        <w:t>元，主要包括基本工资、津贴补贴、绩效工资、机关事业单位基本养老保险缴费、职业年金缴费、职工基本医疗保险缴费、其他社会保障缴费、住房公积金、医疗费、其他工资福利支出、抚恤金、生活补助、其他对个人和家庭的补助。</w:t>
      </w:r>
    </w:p>
    <w:p w14:paraId="2856246A">
      <w:pPr>
        <w:spacing w:beforeLines="0" w:afterLines="0" w:line="580" w:lineRule="exact"/>
        <w:ind w:firstLine="600"/>
        <w:rPr>
          <w:rFonts w:hint="eastAsia" w:ascii="仿宋" w:hAnsi="仿宋" w:eastAsia="仿宋"/>
          <w:kern w:val="2"/>
          <w:sz w:val="30"/>
          <w:szCs w:val="24"/>
          <w:lang w:val="en-US"/>
        </w:rPr>
      </w:pPr>
      <w:r>
        <w:rPr>
          <w:rFonts w:hint="eastAsia" w:ascii="仿宋" w:hAnsi="仿宋" w:eastAsia="仿宋"/>
          <w:sz w:val="30"/>
          <w:szCs w:val="24"/>
          <w:lang w:val="en-US"/>
        </w:rPr>
        <w:t>公用经费</w:t>
      </w:r>
      <w:r>
        <w:rPr>
          <w:rFonts w:hint="eastAsia" w:ascii="仿宋" w:hAnsi="仿宋" w:eastAsia="仿宋"/>
          <w:kern w:val="2"/>
          <w:sz w:val="30"/>
          <w:szCs w:val="24"/>
          <w:lang w:val="en-US"/>
        </w:rPr>
        <w:t>1,520,213.98</w:t>
      </w:r>
      <w:r>
        <w:rPr>
          <w:rFonts w:hint="eastAsia" w:ascii="仿宋" w:hAnsi="仿宋" w:eastAsia="仿宋"/>
          <w:sz w:val="30"/>
          <w:szCs w:val="24"/>
          <w:lang w:val="en-US"/>
        </w:rPr>
        <w:t>元，主要包括办公费、印刷费、水费、电费、邮电费、取暖费、差旅费、维修(护)费、培训费、专用材料费、劳务费、委托业务费、工会经费、其他交通费用、税金及附加费用、其他商品和服务支出。</w:t>
      </w:r>
    </w:p>
    <w:p w14:paraId="543C3758">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七、政府性基金预算财政拨款收支决算情况说明</w:t>
      </w:r>
    </w:p>
    <w:p w14:paraId="2160403A">
      <w:pPr>
        <w:spacing w:beforeLines="0" w:afterLines="0" w:line="580" w:lineRule="exact"/>
        <w:ind w:firstLine="600"/>
        <w:rPr>
          <w:rFonts w:hint="eastAsia" w:ascii="仿宋" w:hAnsi="仿宋" w:eastAsia="仿宋"/>
          <w:sz w:val="30"/>
          <w:szCs w:val="24"/>
          <w:lang w:val="en-US"/>
        </w:rPr>
      </w:pPr>
      <w:r>
        <w:rPr>
          <w:rFonts w:hint="eastAsia" w:ascii="仿宋" w:hAnsi="仿宋" w:eastAsia="仿宋"/>
          <w:kern w:val="2"/>
          <w:sz w:val="30"/>
          <w:szCs w:val="24"/>
          <w:lang w:val="en-US"/>
        </w:rPr>
        <w:t>天津市东丽区疾病预防控制中心202</w:t>
      </w:r>
      <w:r>
        <w:rPr>
          <w:rFonts w:hint="eastAsia" w:ascii="仿宋" w:hAnsi="仿宋" w:eastAsia="仿宋"/>
          <w:kern w:val="2"/>
          <w:sz w:val="30"/>
          <w:szCs w:val="24"/>
          <w:lang w:val="en-US" w:eastAsia="zh-CN"/>
        </w:rPr>
        <w:t>3</w:t>
      </w:r>
      <w:r>
        <w:rPr>
          <w:rFonts w:hint="eastAsia" w:ascii="仿宋" w:hAnsi="仿宋" w:eastAsia="仿宋"/>
          <w:kern w:val="2"/>
          <w:sz w:val="30"/>
          <w:szCs w:val="24"/>
          <w:lang w:val="en-US"/>
        </w:rPr>
        <w:t>年度无政府性基金预算财政拨款收入、支出和结转结余。</w:t>
      </w:r>
    </w:p>
    <w:p w14:paraId="7F9B921C">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14:paraId="7C67D131">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000000"/>
          <w:sz w:val="30"/>
          <w:szCs w:val="24"/>
          <w:lang w:val="en-US"/>
        </w:rPr>
        <w:t>天津市东丽区疾病预防控制中心202</w:t>
      </w:r>
      <w:r>
        <w:rPr>
          <w:rFonts w:hint="eastAsia" w:ascii="仿宋" w:hAnsi="仿宋" w:eastAsia="仿宋"/>
          <w:color w:val="000000"/>
          <w:sz w:val="30"/>
          <w:szCs w:val="24"/>
          <w:lang w:val="en-US" w:eastAsia="zh-CN"/>
        </w:rPr>
        <w:t>3</w:t>
      </w:r>
      <w:r>
        <w:rPr>
          <w:rFonts w:hint="eastAsia" w:ascii="仿宋" w:hAnsi="仿宋" w:eastAsia="仿宋"/>
          <w:color w:val="000000"/>
          <w:sz w:val="30"/>
          <w:szCs w:val="24"/>
          <w:lang w:val="en-US"/>
        </w:rPr>
        <w:t>年度无国有资本经营预算财政拨款收入、支出和结转结余。</w:t>
      </w:r>
    </w:p>
    <w:p w14:paraId="53BD0B28">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情况说明</w:t>
      </w:r>
    </w:p>
    <w:p w14:paraId="4FD18E23">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楷体" w:hAnsi="楷体" w:eastAsia="楷体"/>
          <w:b/>
          <w:color w:val="auto"/>
          <w:sz w:val="30"/>
          <w:szCs w:val="24"/>
          <w:lang w:val="en-US"/>
        </w:rPr>
        <w:t>（一）总体情况</w:t>
      </w:r>
    </w:p>
    <w:p w14:paraId="14183135">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2023年财政拨款“三公”经费预算0.00元，支出决算0.00元，与2023年预算相比持平;较上年持平。决算数等于预算数且较上年持平的主要原因是本年度未用财政拨款经费列支“三公”经费。</w:t>
      </w:r>
    </w:p>
    <w:p w14:paraId="27487BEB">
      <w:pPr>
        <w:pStyle w:val="3"/>
        <w:keepNext/>
        <w:keepLines/>
        <w:spacing w:beforeLines="0" w:afterLines="0" w:line="600" w:lineRule="exact"/>
        <w:ind w:firstLine="602"/>
        <w:rPr>
          <w:rFonts w:hint="eastAsia" w:ascii="黑体" w:hAnsi="黑体" w:eastAsia="黑体"/>
          <w:color w:val="auto"/>
          <w:sz w:val="30"/>
          <w:szCs w:val="24"/>
          <w:lang w:val="en-US"/>
        </w:rPr>
      </w:pPr>
      <w:r>
        <w:rPr>
          <w:rFonts w:hint="eastAsia" w:ascii="楷体" w:hAnsi="楷体" w:eastAsia="楷体"/>
          <w:b/>
          <w:color w:val="auto"/>
          <w:sz w:val="30"/>
          <w:szCs w:val="24"/>
          <w:lang w:val="en-US"/>
        </w:rPr>
        <w:t>（二）具体情况</w:t>
      </w:r>
    </w:p>
    <w:p w14:paraId="5B0CB62A">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1.因公出国(境)费预算0.00元，支出决算0.00元，与预算相比持平;较上年持平。决算数等于预算数且较上年持平的主要原因是本年度未用财政拨款经费列支因公出国(境)费。</w:t>
      </w:r>
    </w:p>
    <w:p w14:paraId="074B04FE">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2.公务用车购置及运行维护费预算0.00元，支出决算0.00元，与预算相比持平;较上年持平。决算数等于预算数且较上年持平的主要原因是本年度未用财政拨款经费列支</w:t>
      </w:r>
      <w:r>
        <w:rPr>
          <w:rFonts w:hint="eastAsia" w:ascii="仿宋" w:hAnsi="仿宋" w:eastAsia="仿宋"/>
          <w:color w:val="auto"/>
          <w:sz w:val="30"/>
          <w:szCs w:val="24"/>
          <w:lang w:val="en-US" w:eastAsia="zh-CN"/>
        </w:rPr>
        <w:t>公务用车购置及运行维护费</w:t>
      </w:r>
      <w:r>
        <w:rPr>
          <w:rFonts w:hint="eastAsia" w:ascii="仿宋" w:hAnsi="仿宋" w:eastAsia="仿宋"/>
          <w:color w:val="auto"/>
          <w:sz w:val="30"/>
          <w:szCs w:val="24"/>
          <w:lang w:val="en-US"/>
        </w:rPr>
        <w:t>。其中：</w:t>
      </w:r>
    </w:p>
    <w:p w14:paraId="4E7675DF">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公务用车运行维护费预算0.00元，支出决算0.00元，与2023年预算相比持平;较上年持平。决算数等于预算数且较上年持平的主要原因是本年度未用财政拨款经费列支</w:t>
      </w:r>
      <w:r>
        <w:rPr>
          <w:rFonts w:hint="eastAsia" w:ascii="仿宋" w:hAnsi="仿宋" w:eastAsia="仿宋"/>
          <w:color w:val="auto"/>
          <w:sz w:val="30"/>
          <w:szCs w:val="24"/>
          <w:lang w:val="en-US" w:eastAsia="zh-CN"/>
        </w:rPr>
        <w:t>公务用车运行维护费。</w:t>
      </w:r>
      <w:r>
        <w:rPr>
          <w:rFonts w:hint="eastAsia" w:ascii="仿宋" w:hAnsi="仿宋" w:eastAsia="仿宋"/>
          <w:color w:val="auto"/>
          <w:sz w:val="30"/>
          <w:szCs w:val="24"/>
          <w:lang w:val="en-US"/>
        </w:rPr>
        <w:t>截至2023年12月31日，使用财政拨款开支运行维护费的公务用车保有量为0辆。</w:t>
      </w:r>
    </w:p>
    <w:p w14:paraId="6FC7F333">
      <w:pPr>
        <w:spacing w:beforeLines="0" w:afterLines="0" w:line="56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公务用车购置费预算0.00元，支出决算0.00元，与2023年预算相比持平;较上年持平。决算数等于预算数且较上年持平的主要原因是本年度未用财政拨款经费列支</w:t>
      </w:r>
      <w:r>
        <w:rPr>
          <w:rFonts w:hint="eastAsia" w:ascii="仿宋" w:hAnsi="仿宋" w:eastAsia="仿宋"/>
          <w:color w:val="auto"/>
          <w:sz w:val="30"/>
          <w:szCs w:val="24"/>
          <w:lang w:val="en-US" w:eastAsia="zh-CN"/>
        </w:rPr>
        <w:t>公务用车购置费。</w:t>
      </w:r>
      <w:r>
        <w:rPr>
          <w:rFonts w:hint="eastAsia" w:ascii="仿宋" w:hAnsi="仿宋" w:eastAsia="仿宋"/>
          <w:color w:val="auto"/>
          <w:sz w:val="30"/>
          <w:szCs w:val="24"/>
          <w:lang w:val="en-US"/>
        </w:rPr>
        <w:t>2023年购置公务用车0辆。</w:t>
      </w:r>
    </w:p>
    <w:p w14:paraId="09D0F53A">
      <w:pPr>
        <w:spacing w:beforeLines="0" w:afterLines="0" w:line="580" w:lineRule="exact"/>
        <w:ind w:firstLine="600"/>
        <w:rPr>
          <w:rFonts w:hint="eastAsia" w:ascii="仿宋" w:hAnsi="仿宋" w:eastAsia="仿宋"/>
          <w:color w:val="auto"/>
          <w:kern w:val="2"/>
          <w:sz w:val="30"/>
          <w:szCs w:val="24"/>
          <w:lang w:val="en-US"/>
        </w:rPr>
      </w:pPr>
      <w:r>
        <w:rPr>
          <w:rFonts w:hint="eastAsia" w:ascii="仿宋" w:hAnsi="仿宋" w:eastAsia="仿宋"/>
          <w:color w:val="auto"/>
          <w:sz w:val="30"/>
          <w:szCs w:val="24"/>
          <w:lang w:val="en-US"/>
        </w:rPr>
        <w:t>3.公务接待费预算0.00元，支出决算0.00元，与2023年预算相比持平;较上年持平。决算数等于预算数且较上年持平的主要原因是本年度未用财政拨款经费列支</w:t>
      </w:r>
      <w:r>
        <w:rPr>
          <w:rFonts w:hint="eastAsia" w:ascii="仿宋" w:hAnsi="仿宋" w:eastAsia="仿宋"/>
          <w:color w:val="auto"/>
          <w:sz w:val="30"/>
          <w:szCs w:val="24"/>
          <w:lang w:val="en-US" w:eastAsia="zh-CN"/>
        </w:rPr>
        <w:t>公务接待费</w:t>
      </w:r>
      <w:r>
        <w:rPr>
          <w:rFonts w:hint="eastAsia" w:ascii="仿宋" w:hAnsi="仿宋" w:eastAsia="仿宋"/>
          <w:color w:val="auto"/>
          <w:sz w:val="30"/>
          <w:szCs w:val="24"/>
          <w:lang w:val="en-US"/>
        </w:rPr>
        <w:t>。2023年本单位国内公务接待0批次，0人次；其中，外事接待0批次，0人次。</w:t>
      </w:r>
    </w:p>
    <w:p w14:paraId="223E1624">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14:paraId="2F43EC22">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天津市东丽区疾病预防控制中心202</w:t>
      </w:r>
      <w:r>
        <w:rPr>
          <w:rFonts w:hint="eastAsia" w:ascii="仿宋" w:hAnsi="仿宋" w:eastAsia="仿宋"/>
          <w:color w:val="auto"/>
          <w:sz w:val="30"/>
          <w:szCs w:val="24"/>
          <w:lang w:val="en-US" w:eastAsia="zh-CN"/>
        </w:rPr>
        <w:t>3</w:t>
      </w:r>
      <w:r>
        <w:rPr>
          <w:rFonts w:hint="eastAsia" w:ascii="仿宋" w:hAnsi="仿宋" w:eastAsia="仿宋"/>
          <w:color w:val="auto"/>
          <w:sz w:val="30"/>
          <w:szCs w:val="24"/>
          <w:lang w:val="en-US"/>
        </w:rPr>
        <w:t>年度无机关运行经费。</w:t>
      </w:r>
    </w:p>
    <w:p w14:paraId="07A9012F">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14:paraId="5ECED6B3">
      <w:pPr>
        <w:spacing w:beforeLines="0" w:afterLines="0" w:line="580" w:lineRule="exact"/>
        <w:ind w:firstLine="600"/>
        <w:rPr>
          <w:rFonts w:hint="eastAsia" w:ascii="仿宋" w:hAnsi="仿宋" w:eastAsia="仿宋"/>
          <w:color w:val="auto"/>
          <w:sz w:val="30"/>
          <w:szCs w:val="24"/>
          <w:lang w:val="en-US"/>
        </w:rPr>
      </w:pPr>
      <w:r>
        <w:rPr>
          <w:rFonts w:hint="eastAsia" w:ascii="仿宋" w:hAnsi="仿宋" w:eastAsia="仿宋"/>
          <w:color w:val="000000"/>
          <w:sz w:val="30"/>
          <w:szCs w:val="24"/>
          <w:lang w:val="en-US"/>
        </w:rPr>
        <w:t>天津市东丽区疾病预防控制中心2023年</w:t>
      </w:r>
      <w:r>
        <w:rPr>
          <w:rFonts w:hint="eastAsia" w:ascii="仿宋" w:hAnsi="仿宋" w:eastAsia="仿宋"/>
          <w:color w:val="auto"/>
          <w:kern w:val="2"/>
          <w:sz w:val="30"/>
          <w:szCs w:val="24"/>
          <w:lang w:val="en-US"/>
        </w:rPr>
        <w:t>政府</w:t>
      </w:r>
      <w:r>
        <w:rPr>
          <w:rFonts w:hint="eastAsia" w:ascii="仿宋" w:hAnsi="仿宋" w:eastAsia="仿宋"/>
          <w:color w:val="000000"/>
          <w:sz w:val="30"/>
          <w:szCs w:val="24"/>
          <w:lang w:val="en-US"/>
        </w:rPr>
        <w:t>采购支出总额</w:t>
      </w:r>
      <w:r>
        <w:rPr>
          <w:rFonts w:hint="eastAsia" w:ascii="仿宋" w:hAnsi="仿宋" w:eastAsia="仿宋"/>
          <w:color w:val="auto"/>
          <w:sz w:val="30"/>
          <w:szCs w:val="24"/>
          <w:lang w:val="en-US"/>
        </w:rPr>
        <w:t>798,000.00</w:t>
      </w:r>
      <w:r>
        <w:rPr>
          <w:rFonts w:hint="eastAsia" w:ascii="仿宋" w:hAnsi="仿宋" w:eastAsia="仿宋"/>
          <w:color w:val="000000"/>
          <w:sz w:val="30"/>
          <w:szCs w:val="24"/>
          <w:lang w:val="en-US"/>
        </w:rPr>
        <w:t>元，其中：政府采购货物支出</w:t>
      </w:r>
      <w:r>
        <w:rPr>
          <w:rFonts w:hint="eastAsia" w:ascii="仿宋" w:hAnsi="仿宋" w:eastAsia="仿宋"/>
          <w:color w:val="auto"/>
          <w:sz w:val="30"/>
          <w:szCs w:val="24"/>
          <w:lang w:val="en-US"/>
        </w:rPr>
        <w:t>798,000.00</w:t>
      </w:r>
      <w:r>
        <w:rPr>
          <w:rFonts w:hint="eastAsia" w:ascii="仿宋" w:hAnsi="仿宋" w:eastAsia="仿宋"/>
          <w:color w:val="000000"/>
          <w:sz w:val="30"/>
          <w:szCs w:val="24"/>
          <w:lang w:val="en-US"/>
        </w:rPr>
        <w:t>元、政府采购工程支出</w:t>
      </w:r>
      <w:r>
        <w:rPr>
          <w:rFonts w:hint="eastAsia" w:ascii="仿宋" w:hAnsi="仿宋" w:eastAsia="仿宋"/>
          <w:color w:val="auto"/>
          <w:sz w:val="30"/>
          <w:szCs w:val="24"/>
          <w:lang w:val="en-US"/>
        </w:rPr>
        <w:t>0.00</w:t>
      </w:r>
      <w:r>
        <w:rPr>
          <w:rFonts w:hint="eastAsia" w:ascii="仿宋" w:hAnsi="仿宋" w:eastAsia="仿宋"/>
          <w:color w:val="000000"/>
          <w:sz w:val="30"/>
          <w:szCs w:val="24"/>
          <w:lang w:val="en-US"/>
        </w:rPr>
        <w:t>元、政府采购服务支出</w:t>
      </w:r>
      <w:r>
        <w:rPr>
          <w:rFonts w:hint="eastAsia" w:ascii="仿宋" w:hAnsi="仿宋" w:eastAsia="仿宋"/>
          <w:color w:val="auto"/>
          <w:sz w:val="30"/>
          <w:szCs w:val="24"/>
          <w:lang w:val="en-US"/>
        </w:rPr>
        <w:t>0.00</w:t>
      </w:r>
      <w:r>
        <w:rPr>
          <w:rFonts w:hint="eastAsia" w:ascii="仿宋" w:hAnsi="仿宋" w:eastAsia="仿宋"/>
          <w:color w:val="000000"/>
          <w:sz w:val="30"/>
          <w:szCs w:val="24"/>
          <w:lang w:val="en-US"/>
        </w:rPr>
        <w:t>元。授予中小企业合同金额</w:t>
      </w:r>
      <w:r>
        <w:rPr>
          <w:rFonts w:hint="eastAsia" w:ascii="仿宋" w:hAnsi="仿宋" w:eastAsia="仿宋"/>
          <w:color w:val="auto"/>
          <w:sz w:val="30"/>
          <w:szCs w:val="24"/>
          <w:lang w:val="en-US"/>
        </w:rPr>
        <w:t>798,000.00</w:t>
      </w:r>
      <w:r>
        <w:rPr>
          <w:rFonts w:hint="eastAsia" w:ascii="仿宋" w:hAnsi="仿宋" w:eastAsia="仿宋"/>
          <w:color w:val="000000"/>
          <w:sz w:val="30"/>
          <w:szCs w:val="24"/>
          <w:lang w:val="en-US"/>
        </w:rPr>
        <w:t>元，占政府采购支出总额的</w:t>
      </w:r>
      <w:r>
        <w:rPr>
          <w:rFonts w:hint="eastAsia" w:ascii="仿宋" w:hAnsi="仿宋" w:eastAsia="仿宋"/>
          <w:color w:val="auto"/>
          <w:sz w:val="30"/>
          <w:szCs w:val="24"/>
          <w:lang w:val="en-US"/>
        </w:rPr>
        <w:t>100.00</w:t>
      </w:r>
      <w:r>
        <w:rPr>
          <w:rFonts w:hint="eastAsia" w:ascii="仿宋" w:hAnsi="仿宋" w:eastAsia="仿宋"/>
          <w:color w:val="000000"/>
          <w:sz w:val="30"/>
          <w:szCs w:val="24"/>
          <w:lang w:val="en-US"/>
        </w:rPr>
        <w:t>%，其中：授予小微企业合同金额</w:t>
      </w:r>
      <w:r>
        <w:rPr>
          <w:rFonts w:hint="eastAsia" w:ascii="仿宋" w:hAnsi="仿宋" w:eastAsia="仿宋"/>
          <w:color w:val="auto"/>
          <w:sz w:val="30"/>
          <w:szCs w:val="24"/>
          <w:lang w:val="en-US"/>
        </w:rPr>
        <w:t>798,000.00</w:t>
      </w:r>
      <w:r>
        <w:rPr>
          <w:rFonts w:hint="eastAsia" w:ascii="仿宋" w:hAnsi="仿宋" w:eastAsia="仿宋"/>
          <w:color w:val="000000"/>
          <w:sz w:val="30"/>
          <w:szCs w:val="24"/>
          <w:lang w:val="en-US"/>
        </w:rPr>
        <w:t>元，占政府采购支出总额的</w:t>
      </w:r>
      <w:r>
        <w:rPr>
          <w:rFonts w:hint="eastAsia" w:ascii="仿宋" w:hAnsi="仿宋" w:eastAsia="仿宋"/>
          <w:color w:val="auto"/>
          <w:sz w:val="30"/>
          <w:szCs w:val="24"/>
          <w:lang w:val="en-US"/>
        </w:rPr>
        <w:t>100.00</w:t>
      </w:r>
      <w:r>
        <w:rPr>
          <w:rFonts w:hint="eastAsia" w:ascii="仿宋" w:hAnsi="仿宋" w:eastAsia="仿宋"/>
          <w:color w:val="000000"/>
          <w:sz w:val="30"/>
          <w:szCs w:val="24"/>
          <w:lang w:val="en-US"/>
        </w:rPr>
        <w:t>%；</w:t>
      </w:r>
      <w:r>
        <w:rPr>
          <w:rFonts w:hint="eastAsia" w:ascii="仿宋" w:hAnsi="仿宋" w:eastAsia="仿宋"/>
          <w:color w:val="auto"/>
          <w:sz w:val="30"/>
          <w:szCs w:val="24"/>
          <w:lang w:val="en-US"/>
        </w:rPr>
        <w:t>货物采购授予中小企业合同金额占货物支出金额的</w:t>
      </w:r>
      <w:r>
        <w:rPr>
          <w:rFonts w:hint="eastAsia" w:ascii="仿宋" w:hAnsi="仿宋" w:eastAsia="仿宋"/>
          <w:color w:val="auto"/>
          <w:sz w:val="30"/>
          <w:szCs w:val="24"/>
          <w:lang w:val="en-US" w:eastAsia="zh-CN"/>
        </w:rPr>
        <w:t>100</w:t>
      </w:r>
      <w:r>
        <w:rPr>
          <w:rFonts w:hint="eastAsia" w:ascii="仿宋" w:hAnsi="仿宋" w:eastAsia="仿宋"/>
          <w:color w:val="auto"/>
          <w:sz w:val="30"/>
          <w:szCs w:val="24"/>
          <w:lang w:val="en-US"/>
        </w:rPr>
        <w:t>%；工程采购授予中小企业合同金额占工程支出金额的</w:t>
      </w:r>
      <w:r>
        <w:rPr>
          <w:rFonts w:hint="eastAsia" w:ascii="仿宋" w:hAnsi="仿宋" w:eastAsia="仿宋"/>
          <w:color w:val="auto"/>
          <w:sz w:val="30"/>
          <w:szCs w:val="24"/>
          <w:lang w:val="en-US" w:eastAsia="zh-CN"/>
        </w:rPr>
        <w:t>0</w:t>
      </w:r>
      <w:r>
        <w:rPr>
          <w:rFonts w:hint="eastAsia" w:ascii="仿宋" w:hAnsi="仿宋" w:eastAsia="仿宋"/>
          <w:color w:val="auto"/>
          <w:sz w:val="30"/>
          <w:szCs w:val="24"/>
          <w:lang w:val="en-US"/>
        </w:rPr>
        <w:t>%；服务采购授予中小企业合同金额占服务支出金额的</w:t>
      </w:r>
      <w:r>
        <w:rPr>
          <w:rFonts w:hint="eastAsia" w:ascii="仿宋" w:hAnsi="仿宋" w:eastAsia="仿宋"/>
          <w:color w:val="auto"/>
          <w:sz w:val="30"/>
          <w:szCs w:val="24"/>
          <w:lang w:val="en-US" w:eastAsia="zh-CN"/>
        </w:rPr>
        <w:t>0</w:t>
      </w:r>
      <w:r>
        <w:rPr>
          <w:rFonts w:hint="eastAsia" w:ascii="仿宋" w:hAnsi="仿宋" w:eastAsia="仿宋"/>
          <w:color w:val="auto"/>
          <w:sz w:val="30"/>
          <w:szCs w:val="24"/>
          <w:lang w:val="en-US"/>
        </w:rPr>
        <w:t>%。</w:t>
      </w:r>
    </w:p>
    <w:p w14:paraId="7637080B">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14:paraId="5C568707">
      <w:pPr>
        <w:spacing w:beforeLines="0" w:afterLines="0" w:line="600" w:lineRule="exact"/>
        <w:ind w:firstLine="600" w:firstLineChars="200"/>
        <w:rPr>
          <w:rFonts w:hint="eastAsia" w:ascii="仿宋" w:hAnsi="仿宋" w:eastAsia="仿宋"/>
          <w:color w:val="auto"/>
          <w:sz w:val="30"/>
          <w:szCs w:val="24"/>
          <w:lang w:val="en-US"/>
        </w:rPr>
      </w:pPr>
      <w:r>
        <w:rPr>
          <w:rFonts w:hint="eastAsia" w:ascii="仿宋" w:hAnsi="仿宋" w:eastAsia="仿宋"/>
          <w:color w:val="000000"/>
          <w:sz w:val="30"/>
          <w:szCs w:val="24"/>
          <w:lang w:val="en-US"/>
        </w:rPr>
        <w:t>截至2023年12月31日，天津市东丽区疾病预防控制中心共有车辆</w:t>
      </w:r>
      <w:r>
        <w:rPr>
          <w:rFonts w:hint="eastAsia" w:ascii="仿宋" w:hAnsi="仿宋" w:eastAsia="仿宋"/>
          <w:color w:val="auto"/>
          <w:sz w:val="30"/>
          <w:szCs w:val="24"/>
          <w:lang w:val="en-US"/>
        </w:rPr>
        <w:t>5</w:t>
      </w:r>
      <w:r>
        <w:rPr>
          <w:rFonts w:hint="eastAsia" w:ascii="仿宋" w:hAnsi="仿宋" w:eastAsia="仿宋"/>
          <w:color w:val="000000"/>
          <w:sz w:val="30"/>
          <w:szCs w:val="24"/>
          <w:lang w:val="en-US"/>
        </w:rPr>
        <w:t>辆，其中：</w:t>
      </w:r>
      <w:r>
        <w:rPr>
          <w:rFonts w:hint="eastAsia" w:ascii="仿宋" w:hAnsi="仿宋" w:eastAsia="仿宋"/>
          <w:color w:val="auto"/>
          <w:sz w:val="30"/>
          <w:szCs w:val="24"/>
          <w:lang w:val="en-US"/>
        </w:rPr>
        <w:t>其他用车5辆，其他用车主要包括</w:t>
      </w:r>
      <w:r>
        <w:rPr>
          <w:rFonts w:hint="eastAsia" w:ascii="仿宋" w:hAnsi="仿宋" w:eastAsia="仿宋"/>
          <w:color w:val="auto"/>
          <w:sz w:val="30"/>
          <w:szCs w:val="24"/>
          <w:lang w:val="en-US" w:eastAsia="zh-CN"/>
        </w:rPr>
        <w:t>疾控相关工作一般业务用车</w:t>
      </w:r>
      <w:r>
        <w:rPr>
          <w:rFonts w:hint="eastAsia" w:ascii="仿宋" w:hAnsi="仿宋" w:eastAsia="仿宋"/>
          <w:color w:val="auto"/>
          <w:sz w:val="30"/>
          <w:szCs w:val="24"/>
          <w:lang w:val="zh-CN"/>
        </w:rPr>
        <w:t>。</w:t>
      </w:r>
      <w:r>
        <w:rPr>
          <w:rFonts w:hint="eastAsia" w:ascii="仿宋" w:hAnsi="仿宋" w:eastAsia="仿宋"/>
          <w:color w:val="000000"/>
          <w:sz w:val="30"/>
          <w:szCs w:val="24"/>
          <w:lang w:val="en-US"/>
        </w:rPr>
        <w:t>单价100万元以上的设备</w:t>
      </w:r>
      <w:r>
        <w:rPr>
          <w:rFonts w:hint="eastAsia" w:ascii="仿宋" w:hAnsi="仿宋" w:eastAsia="仿宋"/>
          <w:color w:val="auto"/>
          <w:sz w:val="30"/>
          <w:szCs w:val="24"/>
          <w:lang w:val="en-US"/>
        </w:rPr>
        <w:t>2</w:t>
      </w:r>
      <w:r>
        <w:rPr>
          <w:rFonts w:hint="eastAsia" w:ascii="仿宋" w:hAnsi="仿宋" w:eastAsia="仿宋"/>
          <w:color w:val="000000"/>
          <w:sz w:val="30"/>
          <w:szCs w:val="24"/>
          <w:lang w:val="en-US"/>
        </w:rPr>
        <w:t>台（套）。</w:t>
      </w:r>
    </w:p>
    <w:p w14:paraId="0D048B09">
      <w:pPr>
        <w:numPr>
          <w:ilvl w:val="0"/>
          <w:numId w:val="1"/>
        </w:num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en-US"/>
        </w:rPr>
        <w:t>预算绩效情况说明</w:t>
      </w:r>
    </w:p>
    <w:p w14:paraId="62502CC5">
      <w:pPr>
        <w:numPr>
          <w:ilvl w:val="0"/>
          <w:numId w:val="0"/>
        </w:numPr>
        <w:spacing w:beforeLines="0" w:afterLines="0" w:line="600" w:lineRule="exact"/>
        <w:ind w:firstLine="600" w:firstLineChars="200"/>
        <w:rPr>
          <w:rFonts w:hint="eastAsia" w:ascii="仿宋" w:hAnsi="仿宋" w:eastAsia="仿宋"/>
          <w:color w:val="auto"/>
          <w:sz w:val="30"/>
          <w:szCs w:val="24"/>
          <w:lang w:val="en-US"/>
        </w:rPr>
      </w:pPr>
      <w:r>
        <w:rPr>
          <w:rFonts w:hint="eastAsia" w:ascii="仿宋" w:hAnsi="仿宋" w:eastAsia="仿宋"/>
          <w:color w:val="auto"/>
          <w:sz w:val="30"/>
          <w:szCs w:val="24"/>
          <w:lang w:val="en-US"/>
        </w:rPr>
        <w:t>根据预算绩效管理要求，</w:t>
      </w:r>
      <w:r>
        <w:rPr>
          <w:rFonts w:hint="eastAsia" w:ascii="仿宋" w:hAnsi="仿宋" w:eastAsia="仿宋"/>
          <w:color w:val="000000"/>
          <w:sz w:val="30"/>
          <w:szCs w:val="24"/>
          <w:lang w:val="en-US"/>
        </w:rPr>
        <w:t>天津市东丽区疾病预防控制中心</w:t>
      </w:r>
      <w:r>
        <w:rPr>
          <w:rFonts w:hint="eastAsia" w:ascii="仿宋" w:hAnsi="仿宋" w:eastAsia="仿宋"/>
          <w:color w:val="auto"/>
          <w:sz w:val="30"/>
          <w:szCs w:val="24"/>
          <w:lang w:val="en-US"/>
        </w:rPr>
        <w:t>2023年度已对</w:t>
      </w:r>
      <w:r>
        <w:rPr>
          <w:rFonts w:hint="eastAsia" w:ascii="仿宋" w:hAnsi="仿宋" w:eastAsia="仿宋"/>
          <w:color w:val="auto"/>
          <w:sz w:val="30"/>
          <w:szCs w:val="24"/>
          <w:lang w:val="en-US" w:eastAsia="zh-CN"/>
        </w:rPr>
        <w:t>32</w:t>
      </w:r>
      <w:r>
        <w:rPr>
          <w:rFonts w:hint="eastAsia" w:ascii="仿宋" w:hAnsi="仿宋" w:eastAsia="仿宋"/>
          <w:color w:val="auto"/>
          <w:sz w:val="30"/>
          <w:szCs w:val="24"/>
          <w:lang w:val="en-US"/>
        </w:rPr>
        <w:t>个项目开展绩效自评，涉及金额24336466</w:t>
      </w:r>
      <w:r>
        <w:rPr>
          <w:rFonts w:hint="eastAsia" w:ascii="仿宋" w:hAnsi="仿宋" w:eastAsia="仿宋"/>
          <w:color w:val="auto"/>
          <w:sz w:val="30"/>
          <w:szCs w:val="24"/>
          <w:lang w:val="en-US" w:eastAsia="zh-CN"/>
        </w:rPr>
        <w:t>.</w:t>
      </w:r>
      <w:r>
        <w:rPr>
          <w:rFonts w:hint="eastAsia" w:ascii="仿宋" w:hAnsi="仿宋" w:eastAsia="仿宋"/>
          <w:color w:val="auto"/>
          <w:sz w:val="30"/>
          <w:szCs w:val="24"/>
          <w:lang w:val="en-US"/>
        </w:rPr>
        <w:t>99元，自评结果已随部门决算一并公开。</w:t>
      </w:r>
    </w:p>
    <w:p w14:paraId="79F111A6">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14:paraId="52037D03">
      <w:pPr>
        <w:spacing w:beforeLines="0" w:afterLines="0" w:line="600" w:lineRule="exact"/>
        <w:ind w:firstLine="600"/>
        <w:rPr>
          <w:rFonts w:hint="eastAsia" w:ascii="仿宋_GB2312" w:hAnsi="仿宋_GB2312" w:eastAsia="仿宋_GB2312"/>
          <w:b/>
          <w:color w:val="000000"/>
          <w:sz w:val="30"/>
          <w:szCs w:val="24"/>
          <w:lang w:val="en-US"/>
        </w:rPr>
      </w:pPr>
      <w:r>
        <w:rPr>
          <w:rFonts w:hint="eastAsia" w:ascii="仿宋" w:hAnsi="仿宋" w:eastAsia="仿宋"/>
          <w:color w:val="000000"/>
          <w:sz w:val="30"/>
          <w:szCs w:val="24"/>
          <w:lang w:val="en-US"/>
        </w:rPr>
        <w:t>天津市东丽区疾病预防控制中心</w:t>
      </w:r>
      <w:r>
        <w:rPr>
          <w:rFonts w:hint="eastAsia" w:ascii="仿宋" w:hAnsi="仿宋" w:eastAsia="仿宋"/>
          <w:color w:val="000000"/>
          <w:kern w:val="2"/>
          <w:sz w:val="30"/>
          <w:szCs w:val="24"/>
          <w:lang w:val="zh-CN"/>
        </w:rPr>
        <w:t>不属于乡、镇、街级单位，不涉及公开2023年度教育、医疗卫生、社会保障和就业、住房保障、涉农补贴等民生支出情况</w:t>
      </w:r>
      <w:r>
        <w:rPr>
          <w:rFonts w:hint="eastAsia" w:ascii="仿宋" w:hAnsi="仿宋" w:eastAsia="仿宋"/>
          <w:color w:val="auto"/>
          <w:sz w:val="30"/>
          <w:szCs w:val="24"/>
          <w:lang w:val="en-US"/>
        </w:rPr>
        <w:t>。</w:t>
      </w:r>
    </w:p>
    <w:p w14:paraId="52BE81F1">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14:paraId="4EF91AF7">
      <w:pPr>
        <w:pStyle w:val="2"/>
        <w:keepNext/>
        <w:keepLines/>
        <w:spacing w:beforeLines="0" w:afterLines="0" w:line="600" w:lineRule="exact"/>
        <w:jc w:val="center"/>
        <w:rPr>
          <w:rFonts w:hint="eastAsia" w:ascii="方正小标宋简体" w:hAnsi="方正小标宋简体" w:eastAsia="方正小标宋简体"/>
          <w:b/>
          <w:color w:val="auto"/>
          <w:kern w:val="44"/>
          <w:sz w:val="44"/>
          <w:szCs w:val="24"/>
          <w:lang w:val="en-US"/>
        </w:rPr>
      </w:pPr>
      <w:r>
        <w:rPr>
          <w:rFonts w:hint="eastAsia" w:ascii="方正小标宋简体" w:hAnsi="方正小标宋简体" w:eastAsia="方正小标宋简体"/>
          <w:b/>
          <w:color w:val="auto"/>
          <w:kern w:val="44"/>
          <w:sz w:val="44"/>
          <w:szCs w:val="24"/>
          <w:lang w:val="en-US"/>
        </w:rPr>
        <w:t>第四部分  名词解释</w:t>
      </w:r>
    </w:p>
    <w:p w14:paraId="5EE4F309">
      <w:pPr>
        <w:spacing w:beforeLines="0" w:afterLines="0" w:line="600" w:lineRule="exact"/>
        <w:ind w:firstLine="600"/>
        <w:rPr>
          <w:rFonts w:hint="eastAsia" w:ascii="仿宋_GB2312" w:hAnsi="仿宋_GB2312" w:eastAsia="仿宋_GB2312"/>
          <w:color w:val="auto"/>
          <w:sz w:val="30"/>
          <w:szCs w:val="24"/>
          <w:lang w:val="en-US"/>
        </w:rPr>
      </w:pPr>
    </w:p>
    <w:p w14:paraId="38EE06B4">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1</w:t>
      </w:r>
      <w:r>
        <w:rPr>
          <w:rFonts w:hint="eastAsia" w:ascii="仿宋" w:hAnsi="仿宋" w:eastAsia="仿宋"/>
          <w:color w:val="auto"/>
          <w:sz w:val="24"/>
          <w:szCs w:val="24"/>
          <w:lang w:val="en-US"/>
        </w:rPr>
        <w:t>.</w:t>
      </w:r>
      <w:r>
        <w:rPr>
          <w:rFonts w:hint="eastAsia" w:ascii="仿宋" w:hAnsi="仿宋" w:eastAsia="仿宋"/>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E285AC8">
      <w:pPr>
        <w:spacing w:beforeLines="0" w:afterLines="0" w:line="600" w:lineRule="exact"/>
        <w:ind w:firstLine="600"/>
        <w:rPr>
          <w:rFonts w:hint="eastAsia" w:ascii="仿宋" w:hAnsi="仿宋" w:eastAsia="仿宋"/>
          <w:color w:val="auto"/>
          <w:sz w:val="30"/>
          <w:szCs w:val="24"/>
          <w:lang w:val="en-US"/>
        </w:rPr>
      </w:pPr>
      <w:r>
        <w:rPr>
          <w:rFonts w:hint="eastAsia" w:ascii="仿宋" w:hAnsi="仿宋" w:eastAsia="仿宋"/>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F11D50E">
      <w:pPr>
        <w:spacing w:beforeLines="0" w:afterLines="0" w:line="600" w:lineRule="exact"/>
        <w:ind w:firstLine="600"/>
        <w:rPr>
          <w:rFonts w:hint="eastAsia" w:ascii="仿宋" w:hAnsi="仿宋" w:eastAsia="仿宋"/>
          <w:color w:val="auto"/>
          <w:sz w:val="24"/>
          <w:szCs w:val="24"/>
          <w:lang w:val="zh-CN"/>
        </w:rPr>
      </w:pPr>
      <w:r>
        <w:rPr>
          <w:rFonts w:hint="eastAsia" w:ascii="仿宋" w:hAnsi="仿宋" w:eastAsia="仿宋"/>
          <w:color w:val="auto"/>
          <w:sz w:val="30"/>
          <w:szCs w:val="24"/>
          <w:lang w:val="en-US"/>
        </w:rPr>
        <w:t xml:space="preserve">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14:paraId="79A0073F">
      <w:pPr>
        <w:spacing w:beforeLines="0" w:afterLines="0"/>
        <w:rPr>
          <w:rFonts w:hint="eastAsia" w:ascii="黑体" w:hAnsi="黑体" w:eastAsia="黑体"/>
          <w:color w:val="auto"/>
          <w:kern w:val="2"/>
          <w:sz w:val="32"/>
          <w:szCs w:val="24"/>
          <w:lang w:val="zh-CN"/>
        </w:rPr>
      </w:pPr>
    </w:p>
    <w:p w14:paraId="175EDD6A">
      <w:pPr>
        <w:spacing w:beforeLines="0" w:afterLines="0"/>
        <w:rPr>
          <w:rFonts w:hint="eastAsia" w:ascii="黑体" w:hAnsi="黑体" w:eastAsia="黑体"/>
          <w:color w:val="auto"/>
          <w:kern w:val="2"/>
          <w:sz w:val="32"/>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2DA13"/>
    <w:multiLevelType w:val="multilevel"/>
    <w:tmpl w:val="4292DA13"/>
    <w:lvl w:ilvl="0" w:tentative="0">
      <w:start w:val="1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00172A27"/>
    <w:rsid w:val="209033B2"/>
    <w:rsid w:val="29796396"/>
    <w:rsid w:val="2CDD2335"/>
    <w:rsid w:val="3DC96BEE"/>
    <w:rsid w:val="6C2A2989"/>
    <w:rsid w:val="798A46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4749</Words>
  <Characters>5569</Characters>
  <TotalTime>1</TotalTime>
  <ScaleCrop>false</ScaleCrop>
  <LinksUpToDate>false</LinksUpToDate>
  <CharactersWithSpaces>5593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2024-09-14T03:05:00Z</dcterms:created>
  <dc:creator>Lenovo</dc:creator>
  <cp:lastModifiedBy>Angel</cp:lastModifiedBy>
  <dcterms:modified xsi:type="dcterms:W3CDTF">2024-09-25T07:03:41Z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6844D6D696B8473B8D0CC9DAA33A0021_13</vt:lpwstr>
  </property>
</Properties>
</file>