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644AD">
      <w:pPr>
        <w:pStyle w:val="5"/>
        <w:spacing w:beforeAutospacing="0" w:afterAutospacing="0" w:line="120" w:lineRule="auto"/>
        <w:rPr>
          <w:rFonts w:ascii="Times New Roman" w:hAnsi="Times New Roman" w:eastAsia="宋体"/>
          <w:color w:val="000000" w:themeColor="text1"/>
          <w:sz w:val="22"/>
          <w:szCs w:val="22"/>
          <w14:textFill>
            <w14:solidFill>
              <w14:schemeClr w14:val="tx1"/>
            </w14:solidFill>
          </w14:textFill>
        </w:rPr>
      </w:pPr>
      <w:r>
        <w:rPr>
          <w:rFonts w:ascii="Times New Roman" w:hAnsi="Times New Roman" w:eastAsia="宋体"/>
          <w:color w:val="000000" w:themeColor="text1"/>
          <w:sz w:val="22"/>
          <w:szCs w:val="22"/>
          <w14:textFill>
            <w14:solidFill>
              <w14:schemeClr w14:val="tx1"/>
            </w14:solidFill>
          </w14:textFill>
        </w:rPr>
        <w:t>附件：</w:t>
      </w:r>
    </w:p>
    <w:p w14:paraId="281F46A8">
      <w:pPr>
        <w:pStyle w:val="5"/>
        <w:spacing w:beforeAutospacing="0" w:afterAutospacing="0" w:line="500" w:lineRule="exact"/>
        <w:ind w:firstLine="640" w:firstLineChars="200"/>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国网天津市电力公司电力运营基地生产楼项目绿色建筑标识项目概况</w:t>
      </w:r>
      <w:bookmarkEnd w:id="0"/>
    </w:p>
    <w:tbl>
      <w:tblPr>
        <w:tblStyle w:val="6"/>
        <w:tblpPr w:leftFromText="180" w:rightFromText="180" w:vertAnchor="text" w:horzAnchor="page" w:tblpX="1496" w:tblpY="121"/>
        <w:tblOverlap w:val="never"/>
        <w:tblW w:w="141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99"/>
        <w:gridCol w:w="2388"/>
        <w:gridCol w:w="4287"/>
        <w:gridCol w:w="1824"/>
        <w:gridCol w:w="2818"/>
        <w:gridCol w:w="1461"/>
      </w:tblGrid>
      <w:tr w14:paraId="2B817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59" w:hRule="exact"/>
        </w:trPr>
        <w:tc>
          <w:tcPr>
            <w:tcW w:w="139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293D1E3B">
            <w:pPr>
              <w:pStyle w:val="5"/>
              <w:widowControl/>
              <w:spacing w:beforeAutospacing="0" w:afterAutospacing="0" w:line="320" w:lineRule="exact"/>
              <w:jc w:val="center"/>
              <w:rPr>
                <w:rFonts w:ascii="Times New Roman" w:hAnsi="Times New Roman" w:eastAsia="黑体"/>
                <w:b/>
                <w:bCs/>
                <w:sz w:val="28"/>
                <w:szCs w:val="28"/>
              </w:rPr>
            </w:pPr>
            <w:r>
              <w:rPr>
                <w:rFonts w:ascii="Times New Roman" w:hAnsi="Times New Roman" w:eastAsia="黑体"/>
                <w:b/>
                <w:bCs/>
                <w:color w:val="4C5157"/>
                <w:sz w:val="28"/>
                <w:szCs w:val="28"/>
              </w:rPr>
              <w:t>项目类型</w:t>
            </w:r>
          </w:p>
        </w:tc>
        <w:tc>
          <w:tcPr>
            <w:tcW w:w="238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53847025">
            <w:pPr>
              <w:pStyle w:val="5"/>
              <w:widowControl/>
              <w:spacing w:beforeAutospacing="0" w:afterAutospacing="0" w:line="320" w:lineRule="exact"/>
              <w:jc w:val="center"/>
              <w:rPr>
                <w:rFonts w:ascii="Times New Roman" w:hAnsi="Times New Roman" w:eastAsia="黑体"/>
                <w:b/>
                <w:bCs/>
                <w:sz w:val="28"/>
                <w:szCs w:val="28"/>
              </w:rPr>
            </w:pPr>
            <w:r>
              <w:rPr>
                <w:rFonts w:ascii="Times New Roman" w:hAnsi="Times New Roman" w:eastAsia="黑体"/>
                <w:b/>
                <w:bCs/>
                <w:color w:val="4C5157"/>
                <w:sz w:val="28"/>
                <w:szCs w:val="28"/>
              </w:rPr>
              <w:t>项目名称</w:t>
            </w:r>
          </w:p>
        </w:tc>
        <w:tc>
          <w:tcPr>
            <w:tcW w:w="428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D0D06FE">
            <w:pPr>
              <w:pStyle w:val="5"/>
              <w:widowControl/>
              <w:spacing w:beforeAutospacing="0" w:afterAutospacing="0" w:line="320" w:lineRule="exact"/>
              <w:jc w:val="center"/>
              <w:rPr>
                <w:rFonts w:ascii="Times New Roman" w:hAnsi="Times New Roman" w:eastAsia="黑体"/>
                <w:b/>
                <w:bCs/>
                <w:sz w:val="28"/>
                <w:szCs w:val="28"/>
              </w:rPr>
            </w:pPr>
            <w:r>
              <w:rPr>
                <w:rFonts w:ascii="Times New Roman" w:hAnsi="Times New Roman" w:eastAsia="黑体"/>
                <w:b/>
                <w:bCs/>
                <w:color w:val="4C5157"/>
                <w:sz w:val="28"/>
                <w:szCs w:val="28"/>
              </w:rPr>
              <w:t>申报单位</w:t>
            </w:r>
          </w:p>
        </w:tc>
        <w:tc>
          <w:tcPr>
            <w:tcW w:w="182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3F2D946A">
            <w:pPr>
              <w:pStyle w:val="5"/>
              <w:widowControl/>
              <w:spacing w:beforeAutospacing="0" w:afterAutospacing="0" w:line="320" w:lineRule="exact"/>
              <w:jc w:val="center"/>
              <w:rPr>
                <w:rFonts w:ascii="Times New Roman" w:hAnsi="Times New Roman" w:eastAsia="黑体"/>
                <w:b/>
                <w:bCs/>
                <w:sz w:val="28"/>
                <w:szCs w:val="28"/>
              </w:rPr>
            </w:pPr>
            <w:r>
              <w:rPr>
                <w:rFonts w:ascii="Times New Roman" w:hAnsi="Times New Roman" w:eastAsia="黑体"/>
                <w:b/>
                <w:bCs/>
                <w:color w:val="4C5157"/>
                <w:sz w:val="28"/>
                <w:szCs w:val="28"/>
              </w:rPr>
              <w:t>项目所在地</w:t>
            </w:r>
          </w:p>
        </w:tc>
        <w:tc>
          <w:tcPr>
            <w:tcW w:w="2818"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3F940EE">
            <w:pPr>
              <w:pStyle w:val="5"/>
              <w:widowControl/>
              <w:spacing w:beforeAutospacing="0" w:afterAutospacing="0" w:line="320" w:lineRule="exact"/>
              <w:jc w:val="center"/>
              <w:rPr>
                <w:rFonts w:ascii="Times New Roman" w:hAnsi="Times New Roman" w:eastAsia="黑体"/>
                <w:b/>
                <w:bCs/>
                <w:sz w:val="28"/>
                <w:szCs w:val="28"/>
              </w:rPr>
            </w:pPr>
            <w:r>
              <w:rPr>
                <w:rFonts w:hint="eastAsia" w:ascii="Times New Roman" w:hAnsi="Times New Roman" w:eastAsia="黑体"/>
                <w:b/>
                <w:bCs/>
                <w:color w:val="4C5157"/>
                <w:sz w:val="28"/>
                <w:szCs w:val="28"/>
              </w:rPr>
              <w:t>申报</w:t>
            </w:r>
            <w:r>
              <w:rPr>
                <w:rFonts w:ascii="Times New Roman" w:hAnsi="Times New Roman" w:eastAsia="黑体"/>
                <w:b/>
                <w:bCs/>
                <w:color w:val="4C5157"/>
                <w:sz w:val="28"/>
                <w:szCs w:val="28"/>
              </w:rPr>
              <w:t>面积（万平方米）</w:t>
            </w:r>
          </w:p>
        </w:tc>
        <w:tc>
          <w:tcPr>
            <w:tcW w:w="146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B4CAECD">
            <w:pPr>
              <w:pStyle w:val="5"/>
              <w:widowControl/>
              <w:spacing w:beforeAutospacing="0" w:afterAutospacing="0" w:line="320" w:lineRule="exact"/>
              <w:jc w:val="center"/>
              <w:rPr>
                <w:rFonts w:ascii="Times New Roman" w:hAnsi="Times New Roman" w:eastAsia="黑体"/>
                <w:b/>
                <w:bCs/>
                <w:sz w:val="28"/>
                <w:szCs w:val="28"/>
              </w:rPr>
            </w:pPr>
            <w:r>
              <w:rPr>
                <w:rFonts w:hint="eastAsia" w:ascii="Times New Roman" w:hAnsi="Times New Roman" w:eastAsia="黑体"/>
                <w:b/>
                <w:bCs/>
                <w:color w:val="4C5157"/>
                <w:sz w:val="28"/>
                <w:szCs w:val="28"/>
              </w:rPr>
              <w:t>标识</w:t>
            </w:r>
            <w:r>
              <w:rPr>
                <w:rFonts w:ascii="Times New Roman" w:hAnsi="Times New Roman" w:eastAsia="黑体"/>
                <w:b/>
                <w:bCs/>
                <w:color w:val="4C5157"/>
                <w:sz w:val="28"/>
                <w:szCs w:val="28"/>
              </w:rPr>
              <w:t>星级</w:t>
            </w:r>
          </w:p>
        </w:tc>
      </w:tr>
      <w:tr w14:paraId="228D1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1459" w:hRule="atLeast"/>
        </w:trPr>
        <w:tc>
          <w:tcPr>
            <w:tcW w:w="1399"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11A1173">
            <w:pPr>
              <w:pStyle w:val="5"/>
              <w:widowControl/>
              <w:spacing w:beforeAutospacing="0" w:afterAutospacing="0" w:line="320" w:lineRule="exact"/>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val="en-US" w:eastAsia="zh-CN"/>
              </w:rPr>
              <w:t>公共建筑</w:t>
            </w:r>
          </w:p>
        </w:tc>
        <w:tc>
          <w:tcPr>
            <w:tcW w:w="238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EB19B30">
            <w:pPr>
              <w:pStyle w:val="5"/>
              <w:widowControl/>
              <w:spacing w:beforeAutospacing="0" w:afterAutospacing="0" w:line="320" w:lineRule="exact"/>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rPr>
              <w:t>国网天津市电力公司电力运营基地生产楼</w:t>
            </w:r>
            <w:r>
              <w:rPr>
                <w:rFonts w:hint="eastAsia" w:asciiTheme="majorEastAsia" w:hAnsiTheme="majorEastAsia" w:eastAsiaTheme="majorEastAsia" w:cstheme="majorEastAsia"/>
                <w:lang w:val="en-US" w:eastAsia="zh-CN"/>
              </w:rPr>
              <w:t>项目</w:t>
            </w:r>
          </w:p>
        </w:tc>
        <w:tc>
          <w:tcPr>
            <w:tcW w:w="428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258482">
            <w:pPr>
              <w:pStyle w:val="5"/>
              <w:widowControl/>
              <w:spacing w:beforeAutospacing="0" w:afterAutospacing="0" w:line="32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国网天津市电力公司</w:t>
            </w:r>
          </w:p>
          <w:p w14:paraId="6DE409A9">
            <w:pPr>
              <w:pStyle w:val="5"/>
              <w:widowControl/>
              <w:spacing w:beforeAutospacing="0" w:afterAutospacing="0" w:line="32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国网天津市电力公司物资公司</w:t>
            </w:r>
          </w:p>
          <w:p w14:paraId="3D518DDB">
            <w:pPr>
              <w:pStyle w:val="5"/>
              <w:widowControl/>
              <w:spacing w:beforeAutospacing="0" w:afterAutospacing="0" w:line="32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天津建科建筑节能环境检测有限公司</w:t>
            </w:r>
          </w:p>
        </w:tc>
        <w:tc>
          <w:tcPr>
            <w:tcW w:w="182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743CA6">
            <w:pPr>
              <w:pStyle w:val="5"/>
              <w:widowControl/>
              <w:spacing w:beforeAutospacing="0" w:afterAutospacing="0" w:line="320" w:lineRule="exact"/>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rPr>
              <w:t>天津市东丽区</w:t>
            </w:r>
          </w:p>
        </w:tc>
        <w:tc>
          <w:tcPr>
            <w:tcW w:w="2818"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8DE5D43">
            <w:pPr>
              <w:pStyle w:val="5"/>
              <w:widowControl/>
              <w:spacing w:beforeAutospacing="0" w:afterAutospacing="0" w:line="320" w:lineRule="exact"/>
              <w:jc w:val="center"/>
              <w:rPr>
                <w:rFonts w:hint="default" w:ascii="Times New Roman" w:hAnsi="Times New Roman" w:eastAsia="宋体"/>
                <w:lang w:val="en-US" w:eastAsia="zh-CN"/>
              </w:rPr>
            </w:pPr>
            <w:r>
              <w:rPr>
                <w:rFonts w:hint="eastAsia" w:ascii="Times New Roman" w:hAnsi="Times New Roman" w:eastAsia="宋体"/>
                <w:lang w:val="en-US" w:eastAsia="zh-CN"/>
              </w:rPr>
              <w:t>1.69</w:t>
            </w:r>
          </w:p>
        </w:tc>
        <w:tc>
          <w:tcPr>
            <w:tcW w:w="146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71E2FAC">
            <w:pPr>
              <w:pStyle w:val="5"/>
              <w:widowControl/>
              <w:spacing w:beforeAutospacing="0" w:afterAutospacing="0" w:line="320" w:lineRule="exact"/>
              <w:jc w:val="center"/>
              <w:rPr>
                <w:rFonts w:ascii="Times New Roman" w:hAnsi="Times New Roman" w:eastAsia="宋体"/>
              </w:rPr>
            </w:pPr>
            <w:r>
              <w:rPr>
                <w:rFonts w:ascii="Times New Roman" w:hAnsi="Times New Roman" w:eastAsia="宋体"/>
                <w:color w:val="4C5157"/>
              </w:rPr>
              <w:t>★</w:t>
            </w:r>
          </w:p>
        </w:tc>
      </w:tr>
      <w:tr w14:paraId="547A53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43" w:hRule="exac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4C2DDC">
            <w:pPr>
              <w:pStyle w:val="5"/>
              <w:widowControl/>
              <w:spacing w:beforeAutospacing="0" w:afterAutospacing="0" w:line="320" w:lineRule="exact"/>
              <w:jc w:val="center"/>
              <w:rPr>
                <w:rFonts w:ascii="Times New Roman" w:hAnsi="Times New Roman" w:eastAsia="黑体"/>
                <w:b/>
                <w:bCs/>
                <w:color w:val="4C5157"/>
                <w:sz w:val="28"/>
                <w:szCs w:val="28"/>
              </w:rPr>
            </w:pPr>
            <w:r>
              <w:rPr>
                <w:rFonts w:ascii="Times New Roman" w:hAnsi="Times New Roman" w:eastAsia="黑体"/>
                <w:b/>
                <w:bCs/>
                <w:color w:val="4C5157"/>
                <w:sz w:val="28"/>
                <w:szCs w:val="28"/>
              </w:rPr>
              <w:t>关键技术指标</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CA4D74">
            <w:pPr>
              <w:pStyle w:val="5"/>
              <w:widowControl/>
              <w:spacing w:beforeAutospacing="0" w:afterAutospacing="0" w:line="320" w:lineRule="exact"/>
              <w:jc w:val="center"/>
              <w:rPr>
                <w:rFonts w:ascii="Times New Roman" w:hAnsi="Times New Roman" w:eastAsia="黑体"/>
                <w:b/>
                <w:bCs/>
                <w:color w:val="4C5157"/>
                <w:sz w:val="28"/>
                <w:szCs w:val="28"/>
              </w:rPr>
            </w:pPr>
            <w:r>
              <w:rPr>
                <w:rFonts w:ascii="Times New Roman" w:hAnsi="Times New Roman" w:eastAsia="黑体"/>
                <w:b/>
                <w:bCs/>
                <w:color w:val="4C5157"/>
                <w:sz w:val="28"/>
                <w:szCs w:val="28"/>
              </w:rPr>
              <w:t>指标值</w:t>
            </w:r>
          </w:p>
        </w:tc>
      </w:tr>
      <w:tr w14:paraId="294FDC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6A3783A">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建筑运行碳排放强度</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4D3F140">
            <w:pPr>
              <w:pStyle w:val="5"/>
              <w:widowControl/>
              <w:spacing w:beforeAutospacing="0" w:afterAutospacing="0" w:line="320" w:lineRule="exact"/>
              <w:rPr>
                <w:rFonts w:hint="eastAsia" w:ascii="Times New Roman" w:hAnsi="Times New Roman" w:eastAsia="宋体"/>
                <w:kern w:val="2"/>
                <w:lang w:eastAsia="zh-CN"/>
              </w:rPr>
            </w:pPr>
            <w:r>
              <w:rPr>
                <w:rFonts w:hint="eastAsia" w:ascii="Times New Roman" w:hAnsi="Times New Roman" w:eastAsia="宋体"/>
                <w:kern w:val="2"/>
                <w:lang w:eastAsia="zh-CN"/>
              </w:rPr>
              <w:t>——</w:t>
            </w:r>
          </w:p>
        </w:tc>
      </w:tr>
      <w:tr w14:paraId="2BDAFA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568"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E02EEC">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围护结构热工性能</w:t>
            </w:r>
            <w:r>
              <w:rPr>
                <w:rFonts w:hint="eastAsia" w:ascii="Times New Roman" w:hAnsi="Times New Roman" w:eastAsia="宋体"/>
                <w:kern w:val="2"/>
              </w:rPr>
              <w:t>（或建筑供暖空调负荷）</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2D36D3C">
            <w:pPr>
              <w:spacing w:line="320" w:lineRule="exact"/>
              <w:jc w:val="left"/>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围护结构热工性能提高/%；建筑供暖空调负荷降低5.51%</w:t>
            </w:r>
          </w:p>
        </w:tc>
      </w:tr>
      <w:tr w14:paraId="73AAB3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FAF79D2">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严寒和寒冷地区住宅建筑外窗传热系数降低比例</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90FFEEF">
            <w:pPr>
              <w:pStyle w:val="5"/>
              <w:widowControl/>
              <w:spacing w:beforeAutospacing="0" w:afterAutospacing="0" w:line="320" w:lineRule="exact"/>
              <w:rPr>
                <w:rFonts w:hint="eastAsia" w:ascii="Times New Roman" w:hAnsi="Times New Roman" w:eastAsia="宋体"/>
                <w:kern w:val="2"/>
                <w:lang w:eastAsia="zh-CN"/>
              </w:rPr>
            </w:pPr>
            <w:r>
              <w:rPr>
                <w:rFonts w:hint="eastAsia" w:ascii="Times New Roman" w:hAnsi="Times New Roman" w:eastAsia="宋体"/>
                <w:kern w:val="2"/>
                <w:lang w:eastAsia="zh-CN"/>
              </w:rPr>
              <w:t>——</w:t>
            </w:r>
          </w:p>
        </w:tc>
      </w:tr>
      <w:tr w14:paraId="25D7F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1EF04E0">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节水器具用水效率等级</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00F443B">
            <w:pPr>
              <w:pStyle w:val="5"/>
              <w:widowControl/>
              <w:spacing w:beforeAutospacing="0" w:afterAutospacing="0" w:line="320" w:lineRule="exact"/>
              <w:rPr>
                <w:rFonts w:hint="default" w:ascii="Times New Roman" w:hAnsi="Times New Roman" w:eastAsia="宋体"/>
                <w:kern w:val="2"/>
                <w:lang w:val="en-US" w:eastAsia="zh-CN"/>
              </w:rPr>
            </w:pPr>
            <w:r>
              <w:rPr>
                <w:rFonts w:hint="eastAsia" w:ascii="Times New Roman" w:hAnsi="Times New Roman" w:eastAsia="宋体"/>
                <w:kern w:val="2"/>
                <w:lang w:val="en-US" w:eastAsia="zh-CN"/>
              </w:rPr>
              <w:t>全部达到2级</w:t>
            </w:r>
          </w:p>
        </w:tc>
      </w:tr>
      <w:tr w14:paraId="24FE8A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69A9167">
            <w:pPr>
              <w:pStyle w:val="5"/>
              <w:widowControl/>
              <w:spacing w:beforeAutospacing="0" w:afterAutospacing="0" w:line="320" w:lineRule="exact"/>
              <w:jc w:val="both"/>
              <w:rPr>
                <w:rFonts w:ascii="Times New Roman" w:hAnsi="Times New Roman" w:eastAsia="宋体"/>
                <w:kern w:val="2"/>
              </w:rPr>
            </w:pPr>
            <w:r>
              <w:rPr>
                <w:rFonts w:hint="eastAsia" w:ascii="Times New Roman" w:hAnsi="Times New Roman" w:eastAsia="宋体"/>
                <w:kern w:val="2"/>
              </w:rPr>
              <w:t>建筑</w:t>
            </w:r>
            <w:r>
              <w:rPr>
                <w:rFonts w:ascii="Times New Roman" w:hAnsi="Times New Roman" w:eastAsia="宋体"/>
                <w:kern w:val="2"/>
              </w:rPr>
              <w:t>隔声性能</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59D9ADF">
            <w:pPr>
              <w:spacing w:line="320" w:lineRule="exact"/>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构件隔声性能达到低限标准限值；楼板撞击声隔声性能达到高要求标准限值</w:t>
            </w:r>
          </w:p>
        </w:tc>
      </w:tr>
      <w:tr w14:paraId="028DC2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0D1448C">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室内主要空气污染物浓度</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44459D4E">
            <w:pPr>
              <w:pStyle w:val="5"/>
              <w:widowControl/>
              <w:spacing w:beforeAutospacing="0" w:afterAutospacing="0" w:line="320" w:lineRule="exact"/>
              <w:rPr>
                <w:rFonts w:ascii="Times New Roman" w:hAnsi="Times New Roman" w:eastAsia="宋体"/>
                <w:kern w:val="2"/>
                <w:highlight w:val="none"/>
              </w:rPr>
            </w:pPr>
            <w:r>
              <w:rPr>
                <w:rFonts w:hint="eastAsia" w:ascii="Times New Roman" w:hAnsi="Times New Roman" w:eastAsia="宋体"/>
                <w:kern w:val="2"/>
                <w:highlight w:val="none"/>
                <w:lang w:val="en-US" w:eastAsia="zh-CN"/>
              </w:rPr>
              <w:t>比</w:t>
            </w:r>
            <w:r>
              <w:rPr>
                <w:rFonts w:hint="eastAsia" w:ascii="Times New Roman" w:hAnsi="Times New Roman" w:eastAsia="宋体"/>
                <w:kern w:val="2"/>
                <w:highlight w:val="none"/>
              </w:rPr>
              <w:t>国家标准GB</w:t>
            </w:r>
            <w:r>
              <w:rPr>
                <w:rFonts w:hint="eastAsia" w:ascii="Times New Roman" w:hAnsi="Times New Roman" w:eastAsia="宋体"/>
                <w:kern w:val="2"/>
                <w:highlight w:val="none"/>
                <w:lang w:val="en-US" w:eastAsia="zh-CN"/>
              </w:rPr>
              <w:t>/T</w:t>
            </w:r>
            <w:r>
              <w:rPr>
                <w:rFonts w:hint="eastAsia" w:ascii="Times New Roman" w:hAnsi="Times New Roman" w:eastAsia="宋体"/>
                <w:kern w:val="2"/>
                <w:highlight w:val="none"/>
              </w:rPr>
              <w:t xml:space="preserve"> 18883限值</w:t>
            </w:r>
            <w:r>
              <w:rPr>
                <w:rFonts w:hint="eastAsia" w:ascii="Times New Roman" w:hAnsi="Times New Roman" w:eastAsia="宋体"/>
                <w:kern w:val="2"/>
                <w:highlight w:val="none"/>
                <w:lang w:val="en-US" w:eastAsia="zh-CN"/>
              </w:rPr>
              <w:t>降低3</w:t>
            </w:r>
            <w:r>
              <w:rPr>
                <w:rFonts w:hint="eastAsia" w:ascii="Times New Roman" w:hAnsi="Times New Roman" w:eastAsia="宋体"/>
                <w:kern w:val="2"/>
                <w:highlight w:val="none"/>
              </w:rPr>
              <w:t>0%</w:t>
            </w:r>
          </w:p>
        </w:tc>
      </w:tr>
      <w:tr w14:paraId="470825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90"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119390A">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外窗气密、水密、抗风压性能</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73BFD0">
            <w:pPr>
              <w:pStyle w:val="5"/>
              <w:widowControl/>
              <w:spacing w:beforeAutospacing="0" w:afterAutospacing="0" w:line="320" w:lineRule="exact"/>
              <w:rPr>
                <w:rFonts w:ascii="Times New Roman" w:hAnsi="Times New Roman" w:eastAsia="宋体"/>
                <w:kern w:val="2"/>
              </w:rPr>
            </w:pPr>
            <w:r>
              <w:rPr>
                <w:rFonts w:hint="eastAsia" w:ascii="Times New Roman" w:hAnsi="Times New Roman" w:eastAsia="宋体"/>
                <w:kern w:val="2"/>
              </w:rPr>
              <w:t>外窗气密、水密、抗风压性能符合国家标准规定，外窗洞口与外窗本体结合严密</w:t>
            </w:r>
          </w:p>
        </w:tc>
      </w:tr>
      <w:tr w14:paraId="62F955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3" w:hRule="atLeast"/>
        </w:trPr>
        <w:tc>
          <w:tcPr>
            <w:tcW w:w="8074" w:type="dxa"/>
            <w:gridSpan w:val="3"/>
            <w:tcBorders>
              <w:top w:val="single" w:color="auto" w:sz="8" w:space="0"/>
              <w:left w:val="single" w:color="auto" w:sz="8" w:space="0"/>
              <w:bottom w:val="single" w:color="000000" w:sz="8" w:space="0"/>
              <w:right w:val="single" w:color="auto" w:sz="8" w:space="0"/>
            </w:tcBorders>
            <w:shd w:val="clear" w:color="auto" w:fill="FFFFFF"/>
            <w:tcMar>
              <w:left w:w="108" w:type="dxa"/>
              <w:right w:w="108" w:type="dxa"/>
            </w:tcMar>
            <w:vAlign w:val="center"/>
          </w:tcPr>
          <w:p w14:paraId="5DB05AE6">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全装修</w:t>
            </w:r>
          </w:p>
        </w:tc>
        <w:tc>
          <w:tcPr>
            <w:tcW w:w="6103" w:type="dxa"/>
            <w:gridSpan w:val="3"/>
            <w:tcBorders>
              <w:top w:val="single" w:color="auto" w:sz="8" w:space="0"/>
              <w:left w:val="single" w:color="auto" w:sz="8" w:space="0"/>
              <w:bottom w:val="single" w:color="000000" w:sz="8" w:space="0"/>
              <w:right w:val="single" w:color="auto" w:sz="8" w:space="0"/>
            </w:tcBorders>
            <w:shd w:val="clear" w:color="auto" w:fill="FFFFFF"/>
            <w:tcMar>
              <w:left w:w="108" w:type="dxa"/>
              <w:right w:w="108" w:type="dxa"/>
            </w:tcMar>
            <w:vAlign w:val="center"/>
          </w:tcPr>
          <w:p w14:paraId="798F3120">
            <w:pPr>
              <w:pStyle w:val="5"/>
              <w:widowControl/>
              <w:spacing w:beforeAutospacing="0" w:afterAutospacing="0" w:line="320" w:lineRule="exact"/>
              <w:rPr>
                <w:rFonts w:ascii="Times New Roman" w:hAnsi="Times New Roman" w:eastAsia="宋体"/>
                <w:kern w:val="2"/>
              </w:rPr>
            </w:pPr>
            <w:r>
              <w:rPr>
                <w:rFonts w:hint="eastAsia" w:ascii="Times New Roman" w:hAnsi="Times New Roman" w:eastAsia="宋体"/>
                <w:kern w:val="2"/>
              </w:rPr>
              <w:t>全装修质量符合国家标准规定</w:t>
            </w:r>
          </w:p>
        </w:tc>
      </w:tr>
      <w:tr w14:paraId="6ADFE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3" w:hRule="atLeast"/>
        </w:trPr>
        <w:tc>
          <w:tcPr>
            <w:tcW w:w="8074" w:type="dxa"/>
            <w:gridSpan w:val="3"/>
            <w:tcBorders>
              <w:top w:val="single" w:color="000000" w:sz="8" w:space="0"/>
              <w:left w:val="single" w:color="000000" w:sz="8" w:space="0"/>
              <w:bottom w:val="single" w:color="000000" w:sz="8" w:space="0"/>
              <w:right w:val="single" w:color="auto" w:sz="8" w:space="0"/>
            </w:tcBorders>
            <w:shd w:val="clear" w:color="auto" w:fill="FFFFFF"/>
            <w:tcMar>
              <w:left w:w="108" w:type="dxa"/>
              <w:right w:w="108" w:type="dxa"/>
            </w:tcMar>
            <w:vAlign w:val="center"/>
          </w:tcPr>
          <w:p w14:paraId="62A77620">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绿地率</w:t>
            </w:r>
          </w:p>
        </w:tc>
        <w:tc>
          <w:tcPr>
            <w:tcW w:w="6103" w:type="dxa"/>
            <w:gridSpan w:val="3"/>
            <w:tcBorders>
              <w:top w:val="single" w:color="000000" w:sz="8" w:space="0"/>
              <w:left w:val="single" w:color="auto" w:sz="8" w:space="0"/>
              <w:bottom w:val="single" w:color="000000" w:sz="8" w:space="0"/>
              <w:right w:val="single" w:color="000000" w:sz="8" w:space="0"/>
            </w:tcBorders>
            <w:shd w:val="clear" w:color="auto" w:fill="FFFFFF"/>
            <w:tcMar>
              <w:left w:w="108" w:type="dxa"/>
              <w:right w:w="108" w:type="dxa"/>
            </w:tcMar>
            <w:vAlign w:val="center"/>
          </w:tcPr>
          <w:p w14:paraId="6E1E5891">
            <w:pPr>
              <w:spacing w:line="320" w:lineRule="exact"/>
              <w:jc w:val="left"/>
              <w:rPr>
                <w:rFonts w:ascii="Times New Roman" w:hAnsi="Times New Roman" w:eastAsia="宋体" w:cs="Times New Roman"/>
                <w:sz w:val="24"/>
              </w:rPr>
            </w:pPr>
            <w:r>
              <w:rPr>
                <w:rFonts w:hint="eastAsia" w:ascii="Times New Roman" w:hAnsi="Times New Roman" w:eastAsia="宋体"/>
                <w:kern w:val="2"/>
                <w:lang w:val="en-US" w:eastAsia="zh-CN"/>
              </w:rPr>
              <w:t>17.2%，达到规划指标 100%</w:t>
            </w:r>
          </w:p>
        </w:tc>
      </w:tr>
      <w:tr w14:paraId="4EF759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23" w:hRule="atLeast"/>
        </w:trPr>
        <w:tc>
          <w:tcPr>
            <w:tcW w:w="8074" w:type="dxa"/>
            <w:gridSpan w:val="3"/>
            <w:tcBorders>
              <w:top w:val="single" w:color="000000"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4279F25D">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年径流总量控制率</w:t>
            </w:r>
          </w:p>
        </w:tc>
        <w:tc>
          <w:tcPr>
            <w:tcW w:w="6103" w:type="dxa"/>
            <w:gridSpan w:val="3"/>
            <w:tcBorders>
              <w:top w:val="single" w:color="000000"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9F5B90A">
            <w:pPr>
              <w:pStyle w:val="5"/>
              <w:widowControl/>
              <w:spacing w:beforeAutospacing="0" w:afterAutospacing="0" w:line="320" w:lineRule="exact"/>
              <w:rPr>
                <w:rFonts w:hint="default" w:ascii="Times New Roman" w:hAnsi="Times New Roman" w:eastAsia="宋体"/>
                <w:kern w:val="2"/>
                <w:lang w:val="en-US" w:eastAsia="zh-CN"/>
              </w:rPr>
            </w:pPr>
            <w:r>
              <w:rPr>
                <w:rFonts w:hint="eastAsia" w:ascii="Times New Roman" w:hAnsi="Times New Roman" w:eastAsia="宋体"/>
                <w:kern w:val="2"/>
                <w:lang w:val="en-US" w:eastAsia="zh-CN"/>
              </w:rPr>
              <w:t>80%</w:t>
            </w:r>
          </w:p>
        </w:tc>
      </w:tr>
      <w:tr w14:paraId="62A297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380"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699436B">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可再生能源利用率</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CABBFC8">
            <w:pPr>
              <w:pStyle w:val="5"/>
              <w:widowControl/>
              <w:spacing w:beforeAutospacing="0" w:afterAutospacing="0" w:line="320" w:lineRule="exact"/>
              <w:rPr>
                <w:rFonts w:hint="default" w:ascii="Times New Roman" w:hAnsi="Times New Roman" w:eastAsia="宋体"/>
                <w:kern w:val="2"/>
                <w:lang w:val="en-US" w:eastAsia="zh-CN"/>
              </w:rPr>
            </w:pPr>
            <w:r>
              <w:rPr>
                <w:rFonts w:hint="default" w:ascii="Times New Roman" w:hAnsi="Times New Roman" w:eastAsia="宋体"/>
                <w:kern w:val="2"/>
                <w:lang w:val="en-US" w:eastAsia="zh-CN"/>
              </w:rPr>
              <w:t>由可再生能源提供的生活用热水比例 /%、</w:t>
            </w:r>
          </w:p>
          <w:p w14:paraId="178020AC">
            <w:pPr>
              <w:pStyle w:val="5"/>
              <w:widowControl/>
              <w:spacing w:beforeAutospacing="0" w:afterAutospacing="0" w:line="320" w:lineRule="exact"/>
              <w:rPr>
                <w:rFonts w:hint="default" w:ascii="Times New Roman" w:hAnsi="Times New Roman" w:eastAsia="宋体"/>
                <w:kern w:val="2"/>
                <w:lang w:val="en-US" w:eastAsia="zh-CN"/>
              </w:rPr>
            </w:pPr>
            <w:r>
              <w:rPr>
                <w:rFonts w:hint="default" w:ascii="Times New Roman" w:hAnsi="Times New Roman" w:eastAsia="宋体"/>
                <w:kern w:val="2"/>
                <w:lang w:val="en-US" w:eastAsia="zh-CN"/>
              </w:rPr>
              <w:t>由可再生能源提供的空调用冷量和热量比例 /%、</w:t>
            </w:r>
          </w:p>
          <w:p w14:paraId="5C997775">
            <w:pPr>
              <w:pStyle w:val="5"/>
              <w:widowControl/>
              <w:spacing w:beforeAutospacing="0" w:afterAutospacing="0" w:line="320" w:lineRule="exact"/>
              <w:rPr>
                <w:rFonts w:hint="default" w:ascii="Times New Roman" w:hAnsi="Times New Roman" w:eastAsia="宋体"/>
                <w:kern w:val="2"/>
                <w:lang w:val="en-US" w:eastAsia="zh-CN"/>
              </w:rPr>
            </w:pPr>
            <w:r>
              <w:rPr>
                <w:rFonts w:hint="default" w:ascii="Times New Roman" w:hAnsi="Times New Roman" w:eastAsia="宋体"/>
                <w:kern w:val="2"/>
                <w:lang w:val="en-US" w:eastAsia="zh-CN"/>
              </w:rPr>
              <w:t>由可再生能源提供的电量比例</w:t>
            </w:r>
            <w:r>
              <w:rPr>
                <w:rFonts w:hint="eastAsia" w:ascii="Times New Roman" w:hAnsi="Times New Roman" w:eastAsia="宋体"/>
                <w:kern w:val="2"/>
                <w:lang w:val="en-US" w:eastAsia="zh-CN"/>
              </w:rPr>
              <w:t>7.9</w:t>
            </w:r>
            <w:r>
              <w:rPr>
                <w:rFonts w:hint="default" w:ascii="Times New Roman" w:hAnsi="Times New Roman" w:eastAsia="宋体"/>
                <w:kern w:val="2"/>
                <w:lang w:val="en-US" w:eastAsia="zh-CN"/>
              </w:rPr>
              <w:t>%</w:t>
            </w:r>
          </w:p>
        </w:tc>
      </w:tr>
      <w:tr w14:paraId="5FE978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cantSplit/>
          <w:trHeight w:val="23"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B381615">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非传统水源利用率</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AE9B472">
            <w:pPr>
              <w:spacing w:line="320" w:lineRule="exact"/>
              <w:jc w:val="left"/>
              <w:rPr>
                <w:rFonts w:ascii="Times New Roman" w:hAnsi="Times New Roman" w:eastAsia="宋体" w:cs="Times New Roman"/>
                <w:sz w:val="24"/>
              </w:rPr>
            </w:pPr>
            <w:r>
              <w:rPr>
                <w:rFonts w:hint="eastAsia" w:ascii="Times New Roman" w:hAnsi="Times New Roman" w:eastAsia="宋体" w:cs="Times New Roman"/>
                <w:sz w:val="24"/>
              </w:rPr>
              <w:t>绿化灌溉、车库及道路冲洗、洗车</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%;冲厕</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%;冷却补水 /%</w:t>
            </w:r>
          </w:p>
        </w:tc>
      </w:tr>
      <w:tr w14:paraId="29E343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cantSplit/>
          <w:trHeight w:val="90" w:hRule="atLeast"/>
        </w:trPr>
        <w:tc>
          <w:tcPr>
            <w:tcW w:w="8074"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56D20FA6">
            <w:pPr>
              <w:pStyle w:val="5"/>
              <w:widowControl/>
              <w:spacing w:beforeAutospacing="0" w:afterAutospacing="0" w:line="320" w:lineRule="exact"/>
              <w:jc w:val="both"/>
              <w:rPr>
                <w:rFonts w:ascii="Times New Roman" w:hAnsi="Times New Roman" w:eastAsia="宋体"/>
                <w:kern w:val="2"/>
              </w:rPr>
            </w:pPr>
            <w:r>
              <w:rPr>
                <w:rFonts w:ascii="Times New Roman" w:hAnsi="Times New Roman" w:eastAsia="宋体"/>
                <w:kern w:val="2"/>
              </w:rPr>
              <w:t>绿色建材应用比例</w:t>
            </w:r>
          </w:p>
        </w:tc>
        <w:tc>
          <w:tcPr>
            <w:tcW w:w="6103" w:type="dxa"/>
            <w:gridSpan w:val="3"/>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02D5CA4">
            <w:pPr>
              <w:pStyle w:val="5"/>
              <w:widowControl/>
              <w:spacing w:beforeAutospacing="0" w:afterAutospacing="0" w:line="320" w:lineRule="exact"/>
              <w:rPr>
                <w:rFonts w:hint="default" w:ascii="Times New Roman" w:hAnsi="Times New Roman" w:eastAsia="宋体"/>
                <w:kern w:val="2"/>
                <w:lang w:val="en-US" w:eastAsia="zh-CN"/>
              </w:rPr>
            </w:pPr>
            <w:r>
              <w:rPr>
                <w:rFonts w:hint="eastAsia" w:ascii="Times New Roman" w:hAnsi="Times New Roman" w:eastAsia="宋体"/>
                <w:kern w:val="2"/>
                <w:lang w:val="en-US" w:eastAsia="zh-CN"/>
              </w:rPr>
              <w:t>/%</w:t>
            </w:r>
          </w:p>
        </w:tc>
      </w:tr>
    </w:tbl>
    <w:p w14:paraId="26DE1CC0">
      <w:pPr>
        <w:tabs>
          <w:tab w:val="left" w:pos="1482"/>
        </w:tabs>
        <w:spacing w:line="20" w:lineRule="exact"/>
        <w:jc w:val="left"/>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MGUwNzAxZmVhNDRjODY0NTgyYzhmYzc4YjVhOTEifQ=="/>
  </w:docVars>
  <w:rsids>
    <w:rsidRoot w:val="3FEF52EF"/>
    <w:rsid w:val="0018335B"/>
    <w:rsid w:val="004D6884"/>
    <w:rsid w:val="00646853"/>
    <w:rsid w:val="00D000A7"/>
    <w:rsid w:val="016F5A4D"/>
    <w:rsid w:val="0B22067E"/>
    <w:rsid w:val="11C07B9D"/>
    <w:rsid w:val="12B97C42"/>
    <w:rsid w:val="184C2ED6"/>
    <w:rsid w:val="1E9B4BC9"/>
    <w:rsid w:val="21091F11"/>
    <w:rsid w:val="21507868"/>
    <w:rsid w:val="25A367C8"/>
    <w:rsid w:val="2A1E6E26"/>
    <w:rsid w:val="363C1479"/>
    <w:rsid w:val="3C779646"/>
    <w:rsid w:val="3FEF52EF"/>
    <w:rsid w:val="3FEFF0A2"/>
    <w:rsid w:val="409018AF"/>
    <w:rsid w:val="416A2A81"/>
    <w:rsid w:val="49FF1DE3"/>
    <w:rsid w:val="4B50592F"/>
    <w:rsid w:val="54A66D7D"/>
    <w:rsid w:val="5BC14BBB"/>
    <w:rsid w:val="5EE4789F"/>
    <w:rsid w:val="5F6F5B6A"/>
    <w:rsid w:val="6D1A1B6A"/>
    <w:rsid w:val="6F732B3A"/>
    <w:rsid w:val="77F79D1A"/>
    <w:rsid w:val="7ABC5E3B"/>
    <w:rsid w:val="7E640871"/>
    <w:rsid w:val="7E778016"/>
    <w:rsid w:val="7F37A1E6"/>
    <w:rsid w:val="7FDF5EC3"/>
    <w:rsid w:val="7FFE9CFA"/>
    <w:rsid w:val="9CF7E6B0"/>
    <w:rsid w:val="9FBD81CE"/>
    <w:rsid w:val="9FD58372"/>
    <w:rsid w:val="A75F731E"/>
    <w:rsid w:val="ACB2B6DA"/>
    <w:rsid w:val="C456F108"/>
    <w:rsid w:val="D5AECCC3"/>
    <w:rsid w:val="EAFAB0F1"/>
    <w:rsid w:val="EDBBFD7D"/>
    <w:rsid w:val="EFF7C6A7"/>
    <w:rsid w:val="F23FB1DB"/>
    <w:rsid w:val="F57DB61E"/>
    <w:rsid w:val="F57F7E4B"/>
    <w:rsid w:val="F7BD4F14"/>
    <w:rsid w:val="F7FD85E2"/>
    <w:rsid w:val="FB73549E"/>
    <w:rsid w:val="FE17A4A7"/>
    <w:rsid w:val="FFDFD848"/>
    <w:rsid w:val="FFF4C0BA"/>
    <w:rsid w:val="FFFF8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486</Words>
  <Characters>523</Characters>
  <Lines>1</Lines>
  <Paragraphs>1</Paragraphs>
  <TotalTime>5</TotalTime>
  <ScaleCrop>false</ScaleCrop>
  <LinksUpToDate>false</LinksUpToDate>
  <CharactersWithSpaces>528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2024-10-29T01:26:00Z</dcterms:created>
  <dc:creator>天天天蓝</dc:creator>
  <cp:lastModifiedBy>陈丹</cp:lastModifiedBy>
  <cp:lastPrinted>2024-01-03T09:43:00Z</cp:lastPrinted>
  <dcterms:modified xsi:type="dcterms:W3CDTF">2024-11-01T01:50:57Z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D054439E9C834B86BA8B475B240A8A39_13</vt:lpwstr>
  </property>
</Properties>
</file>