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东丽区发改委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关于做好</w:t>
      </w:r>
      <w:r>
        <w:rPr>
          <w:rFonts w:hint="eastAsia" w:ascii="Times New Roman" w:hAnsi="Times New Roman" w:eastAsia="仿宋" w:cs="Times New Roman"/>
          <w:sz w:val="44"/>
          <w:szCs w:val="44"/>
        </w:rPr>
        <w:t>202</w:t>
      </w:r>
      <w:r>
        <w:rPr>
          <w:rFonts w:hint="default" w:ascii="Times New Roman" w:hAnsi="Times New Roman" w:eastAsia="仿宋" w:cs="Times New Roman"/>
          <w:sz w:val="44"/>
          <w:szCs w:val="44"/>
          <w:lang w:val="en"/>
        </w:rPr>
        <w:t>3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年世界粮食日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和全国粮食安全宣传周活动的通知</w:t>
      </w:r>
    </w:p>
    <w:p>
      <w:pPr>
        <w:spacing w:line="560" w:lineRule="exact"/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（此通知代方案）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区农业农村委、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教育局、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科技局、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妇联、各街道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区粮食购销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有限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公司、天津津东粮食储备有限责任公司：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为深入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贯彻落实习近平新时代中国特色社会主义思想和党的二十大精神，认真贯彻实施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国家粮食安全战略，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坚决扛稳扛牢保障粮食安全政治责任，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健全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完善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粮食安全宣传教育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常态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长效机制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市粮食和物资局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等五部门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</w:t>
      </w: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年世界粮食日和全国粮食安全宣传周活动的通知》（津粮办〔</w:t>
      </w: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号）要求，决定共同开展东丽区</w:t>
      </w:r>
      <w:r>
        <w:rPr>
          <w:rFonts w:ascii="Times New Roman" w:hAnsi="Times New Roman" w:eastAsia="仿宋"/>
          <w:sz w:val="32"/>
          <w:szCs w:val="32"/>
        </w:rPr>
        <w:t>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年世界粮食日和全国粮食安全宣传周活动。现就有关事项通知如下：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一、活动主题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日是世界粮食日，联合国粮食及农业组织将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</w:t>
      </w:r>
      <w:r>
        <w:rPr>
          <w:rFonts w:hint="eastAsia" w:ascii="仿宋_GB2312" w:hAnsi="仿宋_GB2312" w:eastAsia="仿宋_GB2312" w:cs="仿宋_GB2312"/>
          <w:sz w:val="32"/>
          <w:szCs w:val="32"/>
        </w:rPr>
        <w:t>全球活动主题确定为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“水是生命之源，水是粮食之本。不让任何人掉队。”水对于地球上的生命至关重要。人口快速增长、城市化、经济发展和气候变化正在给地球水资源带来越发沉重的压力，需要各国携手合作，为食物、人类和地球的未来采取水资源保护行动，为所有人创造一个更美好、更可持续的粮食未来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10月16日所在周是我国粮食安全宣传周，主题是“践行大食物观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障粮食安全”。粮食安全是“国之大者”。当前，世界进入新的动荡变革期，我国发展进入战略机遇和风险挑战并存、不确定难预料因素增多的时期。要以习近平新时代中国特色社会主义思想为指导，全面贯彻党的二十大精神，深入贯彻习近平总书记关于大食物观的重要论述精神，立足国家粮食安全战略，不断完善保障国家粮食安全的制度政策，在确保大宗粮食作物安全供给基础上，全方位多途径开发食物资源，推动传统粮食安全向食物安全转变，提高防范和抵御粮食安全风险能力，把中国人的饭碗牢牢端在自己手中，更好满足人民美好生活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Times New Roman" w:hAnsi="Times New Roman" w:eastAsia="仿宋" w:cs="Times New Roman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活动安排</w:t>
      </w:r>
    </w:p>
    <w:p>
      <w:pPr>
        <w:numPr>
          <w:ilvl w:val="0"/>
          <w:numId w:val="2"/>
        </w:numPr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深入开展典型推广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要按照“重在基层、优中选优”原则，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以此次世界粮食日和全国粮食安全宣传周活动为契机，面向大食物观全域和粮食产业全链条、各环节，聚焦惠农强农、科技支撑、国民教育、爱粮节粮等维度，挖掘推介一批反映我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实际，积极践行大食物观、保障我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粮食安全，具有较强示范性、代表性和典型性的宣传案例，进一步总结行业先进经验、传播典型案例事迹、发挥示范引领作用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真正把成绩总结出来、成果展现出来、成效推广出去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广泛开展宣传报道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深入学习贯彻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习近平新时代中国特色社会主义思想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和党的二十大精神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指导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聚焦主责主业、突出主题主线，把握宣传导向、加强政策宣讲，主动回应关切、稳定社会预期，积极营造我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粮食安全良好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舆论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全面深入宣传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贯彻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习近平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总书记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粮食安全重要论述精神，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特别是党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的十八大以来，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国家、市、区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粮食安全事业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取得的新成绩、新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果、新成效，切实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增强人民群众对粮食安全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有保障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的信心。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要全面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宣传认真落实粮食安全党政同责，全面提升粮食生产、储备、流通能力的亮点经验，宣传积极践行大食物观，构建多元化粮食供给体系，更好满足居民食物消费需求的典型案例，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宣传粮食生产、收购、储存、加工、消费全链条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、各环节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减损的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做法，开展节约粮食、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杜绝浪费，降油增绿、健康消费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科普宣传，倡导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形成良好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社会风尚。</w:t>
      </w:r>
    </w:p>
    <w:p>
      <w:pPr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大力开展宣教活动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要围绕活动主题，组织开展作品征集、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科普宣传、浪费现象随手拍、粮食安全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微课堂等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主题宣教活动，大力营造多元膳食、健康饮食的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厚氛围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各粮食安全宣传教育基地、中小学研学实践教育基地要发挥各自优势，开展主题展览、实景参观、精品推介、新品发布、劳动体验等特色宣教活动，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灵活开展“线上+线下”主题教育，增强活动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生动性、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趣味性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和智能化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，提升公众参与感。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要持续开展“巾帼兴粮节粮”活动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，发挥绿色环保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“最美家庭”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示范引领作用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，创新宣传形式，通过新媒体、新技术宣传勤俭节约、绿色健康、清廉务实新理念、新观念，着力形成节粮减损、健康消费思想自觉和行动自觉。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（一）强化组织领导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各单位、各街道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要高度重视宣传活动，切实加强组织领导，周密安排部署，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密切</w:t>
      </w:r>
      <w:r>
        <w:rPr>
          <w:rFonts w:hint="eastAsia" w:ascii="仿宋_GB2312" w:hAnsi="仿宋_GB2312" w:eastAsia="仿宋_GB2312" w:cs="仿宋_GB2312"/>
          <w:sz w:val="32"/>
          <w:szCs w:val="32"/>
        </w:rPr>
        <w:t>协同配合，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形成工作合力</w:t>
      </w:r>
      <w:r>
        <w:rPr>
          <w:rFonts w:hint="eastAsia" w:ascii="仿宋_GB2312" w:hAnsi="仿宋_GB2312" w:eastAsia="仿宋_GB2312" w:cs="仿宋_GB2312"/>
          <w:sz w:val="32"/>
          <w:szCs w:val="32"/>
        </w:rPr>
        <w:t>，把宣传活动办出特色、办出效果。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各单位、各街道对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此次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宣传活动开展情况进行认真总结，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于</w:t>
      </w:r>
      <w:r>
        <w:rPr>
          <w:rFonts w:hint="eastAsia" w:ascii="Times New Roman" w:hAnsi="Times New Roman" w:eastAsia="仿宋" w:cs="Times New Roman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日前将宣传活动总结材料（含总结报告电子版和纸质盖章版扫描件、活动图片、视频材料等）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通过政务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OA（或政务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邮箱：</w:t>
      </w:r>
      <w:r>
        <w:rPr>
          <w:rFonts w:ascii="Times New Roman" w:hAnsi="Times New Roman" w:eastAsia="仿宋"/>
          <w:b w:val="0"/>
          <w:bCs w:val="0"/>
          <w:color w:val="auto"/>
          <w:sz w:val="32"/>
          <w:szCs w:val="32"/>
        </w:rPr>
        <w:fldChar w:fldCharType="begin"/>
      </w:r>
      <w:r>
        <w:rPr>
          <w:rFonts w:ascii="Times New Roman" w:hAnsi="Times New Roman" w:eastAsia="仿宋"/>
          <w:b w:val="0"/>
          <w:bCs w:val="0"/>
          <w:color w:val="auto"/>
          <w:sz w:val="32"/>
          <w:szCs w:val="32"/>
        </w:rPr>
        <w:instrText xml:space="preserve"> HYPERLINK "mailto:</w:instrText>
      </w:r>
      <w:r>
        <w:rPr>
          <w:rFonts w:hint="eastAsia" w:ascii="Times New Roman" w:hAnsi="Times New Roman" w:eastAsia="仿宋"/>
          <w:b w:val="0"/>
          <w:bCs w:val="0"/>
          <w:color w:val="auto"/>
          <w:sz w:val="32"/>
          <w:szCs w:val="32"/>
        </w:rPr>
        <w:instrText xml:space="preserve">dlqfgw05</w:instrText>
      </w:r>
      <w:r>
        <w:rPr>
          <w:rFonts w:ascii="Times New Roman" w:hAnsi="Times New Roman" w:eastAsia="仿宋"/>
          <w:b w:val="0"/>
          <w:bCs w:val="0"/>
          <w:color w:val="auto"/>
          <w:sz w:val="32"/>
          <w:szCs w:val="32"/>
        </w:rPr>
        <w:instrText xml:space="preserve">@tj.gov.cn" </w:instrText>
      </w:r>
      <w:r>
        <w:rPr>
          <w:rFonts w:ascii="Times New Roman" w:hAnsi="Times New Roman" w:eastAsia="仿宋"/>
          <w:b w:val="0"/>
          <w:bCs w:val="0"/>
          <w:color w:val="auto"/>
          <w:sz w:val="32"/>
          <w:szCs w:val="32"/>
        </w:rPr>
        <w:fldChar w:fldCharType="separate"/>
      </w:r>
      <w:r>
        <w:rPr>
          <w:rStyle w:val="9"/>
          <w:rFonts w:hint="eastAsia" w:ascii="Times New Roman" w:hAnsi="Times New Roman" w:eastAsia="仿宋"/>
          <w:b w:val="0"/>
          <w:bCs w:val="0"/>
          <w:color w:val="auto"/>
          <w:sz w:val="32"/>
          <w:szCs w:val="32"/>
        </w:rPr>
        <w:t>dlqfgw05</w:t>
      </w:r>
      <w:r>
        <w:rPr>
          <w:rStyle w:val="9"/>
          <w:rFonts w:ascii="Times New Roman" w:hAnsi="Times New Roman" w:eastAsia="仿宋"/>
          <w:b w:val="0"/>
          <w:bCs w:val="0"/>
          <w:color w:val="auto"/>
          <w:sz w:val="32"/>
          <w:szCs w:val="32"/>
        </w:rPr>
        <w:t>@tj.gov.cn</w:t>
      </w:r>
      <w:r>
        <w:rPr>
          <w:rFonts w:ascii="Times New Roman" w:hAnsi="Times New Roman" w:eastAsia="仿宋"/>
          <w:b w:val="0"/>
          <w:bCs w:val="0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报送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区发改委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粮食和物资储备科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由区发改委汇总完成东丽区开展</w:t>
      </w:r>
      <w:r>
        <w:rPr>
          <w:rFonts w:hint="eastAsia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年世界粮食日和粮食安全宣传周活动总结报告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及佐证材料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后报市粮食和物资局。</w:t>
      </w:r>
    </w:p>
    <w:p>
      <w:pP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强化宣传引导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密切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与宣传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、网信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流新闻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媒体的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沟通协作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争取工作支持，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坚持正面宣传，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控稳社会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，确保宣传效果。要突出政治站位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、把握宣传方向，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聚焦职责定位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把握宣传重点，因地制宜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世界粮食日和粮食安全宣传周活动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确保不发生负面舆情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强化纪律约束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严格遵守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中央八项规定及其实施细则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精神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严肃工作纪律，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改进工作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作风，力戒形式主义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，务求宣传实效。要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科学制定安全应急方案，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压实安全责任，加强风险管控，细化防范措施，突出服务保障，确保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宣传活动顺利开展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、平稳推进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联系人：吴静霞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Times New Roman" w:hAnsi="Times New Roman" w:eastAsia="仿宋" w:cs="Times New Roman"/>
          <w:sz w:val="32"/>
          <w:szCs w:val="32"/>
        </w:rPr>
        <w:t>84375394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东丽区发改委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/>
          <w:sz w:val="32"/>
          <w:szCs w:val="32"/>
        </w:rPr>
        <w:t>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宋体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HNY36H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BDA0DC"/>
    <w:multiLevelType w:val="singleLevel"/>
    <w:tmpl w:val="FBBDA0D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8A3DEB"/>
    <w:multiLevelType w:val="singleLevel"/>
    <w:tmpl w:val="FF8A3DE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NzljYTE2ZTUwODA5YjZlNTBiMDdhMjkwMmRmMzQifQ=="/>
  </w:docVars>
  <w:rsids>
    <w:rsidRoot w:val="75517720"/>
    <w:rsid w:val="01086C64"/>
    <w:rsid w:val="01170C55"/>
    <w:rsid w:val="03294BC4"/>
    <w:rsid w:val="03862DB0"/>
    <w:rsid w:val="057448C8"/>
    <w:rsid w:val="05974724"/>
    <w:rsid w:val="065909ED"/>
    <w:rsid w:val="0666507F"/>
    <w:rsid w:val="071D4ED9"/>
    <w:rsid w:val="07357FFB"/>
    <w:rsid w:val="078D7EC3"/>
    <w:rsid w:val="08573297"/>
    <w:rsid w:val="0BEE5CC1"/>
    <w:rsid w:val="0D967EA3"/>
    <w:rsid w:val="0E9E64C9"/>
    <w:rsid w:val="10090E90"/>
    <w:rsid w:val="16FFD29F"/>
    <w:rsid w:val="1F7F7C9A"/>
    <w:rsid w:val="1F8F4381"/>
    <w:rsid w:val="210F3B2C"/>
    <w:rsid w:val="269661F1"/>
    <w:rsid w:val="2D5662C8"/>
    <w:rsid w:val="2E5A0537"/>
    <w:rsid w:val="30504F11"/>
    <w:rsid w:val="307A0735"/>
    <w:rsid w:val="3123403B"/>
    <w:rsid w:val="325B7A4B"/>
    <w:rsid w:val="33F79F5A"/>
    <w:rsid w:val="356C59E3"/>
    <w:rsid w:val="369E570E"/>
    <w:rsid w:val="37E83E35"/>
    <w:rsid w:val="39381127"/>
    <w:rsid w:val="3C02537B"/>
    <w:rsid w:val="3C424119"/>
    <w:rsid w:val="3CDED046"/>
    <w:rsid w:val="3D69577B"/>
    <w:rsid w:val="3E521EBC"/>
    <w:rsid w:val="3FBFE696"/>
    <w:rsid w:val="408F6F36"/>
    <w:rsid w:val="418C41FB"/>
    <w:rsid w:val="4435614C"/>
    <w:rsid w:val="44CA4D62"/>
    <w:rsid w:val="451E0714"/>
    <w:rsid w:val="4729508D"/>
    <w:rsid w:val="4A781784"/>
    <w:rsid w:val="4EFA7318"/>
    <w:rsid w:val="50C5083E"/>
    <w:rsid w:val="52840914"/>
    <w:rsid w:val="58B167EE"/>
    <w:rsid w:val="5A697A69"/>
    <w:rsid w:val="5D4B58B4"/>
    <w:rsid w:val="5F77C0E7"/>
    <w:rsid w:val="61965AFD"/>
    <w:rsid w:val="63055B75"/>
    <w:rsid w:val="650833CF"/>
    <w:rsid w:val="65A72D84"/>
    <w:rsid w:val="68441949"/>
    <w:rsid w:val="6D013776"/>
    <w:rsid w:val="6E773BBE"/>
    <w:rsid w:val="6EEF7916"/>
    <w:rsid w:val="713779A1"/>
    <w:rsid w:val="75416349"/>
    <w:rsid w:val="75517720"/>
    <w:rsid w:val="75BD6785"/>
    <w:rsid w:val="75FFB7AA"/>
    <w:rsid w:val="77FB6971"/>
    <w:rsid w:val="7D62010B"/>
    <w:rsid w:val="7D891584"/>
    <w:rsid w:val="7EFD455C"/>
    <w:rsid w:val="7F293A07"/>
    <w:rsid w:val="7F5D7E97"/>
    <w:rsid w:val="7FB72A34"/>
    <w:rsid w:val="7FBF1EE0"/>
    <w:rsid w:val="97F3285B"/>
    <w:rsid w:val="B7973877"/>
    <w:rsid w:val="BFF31366"/>
    <w:rsid w:val="CB9F5785"/>
    <w:rsid w:val="CCBDC1A8"/>
    <w:rsid w:val="D6BF5752"/>
    <w:rsid w:val="DDDF11EE"/>
    <w:rsid w:val="F37F27C1"/>
    <w:rsid w:val="F77BE724"/>
    <w:rsid w:val="FABB5EFF"/>
    <w:rsid w:val="FBF33549"/>
    <w:rsid w:val="FF7D6C9C"/>
    <w:rsid w:val="FFEE67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仿宋_GB2312"/>
      <w:b/>
      <w:sz w:val="32"/>
    </w:rPr>
  </w:style>
  <w:style w:type="paragraph" w:styleId="3">
    <w:name w:val="Body Text"/>
    <w:basedOn w:val="1"/>
    <w:next w:val="2"/>
    <w:qFormat/>
    <w:uiPriority w:val="0"/>
    <w:rPr>
      <w:rFonts w:ascii="Times New Roman" w:hAnsi="Times New Roman" w:eastAsia="文星仿宋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unhideWhenUsed/>
    <w:qFormat/>
    <w:uiPriority w:val="99"/>
  </w:style>
  <w:style w:type="character" w:styleId="9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ylin\E:\&#24037;&#20316;\&#25991;&#23383;&#25991;&#31295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文字文稿1.dot</Template>
  <Pages>5</Pages>
  <Words>2382</Words>
  <Characters>2457</Characters>
  <Lines>0</Lines>
  <Paragraphs>0</Paragraphs>
  <TotalTime>8</TotalTime>
  <ScaleCrop>false</ScaleCrop>
  <LinksUpToDate>false</LinksUpToDate>
  <CharactersWithSpaces>2457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2022-04-18T21:25:00Z</dcterms:created>
  <dc:creator>Administrator</dc:creator>
  <cp:lastModifiedBy>咖啡伴侣</cp:lastModifiedBy>
  <cp:lastPrinted>2022-04-19T16:50:00Z</cp:lastPrinted>
  <dcterms:modified xsi:type="dcterms:W3CDTF">2023-09-24T13:20:26Z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007E0A6A7C854EB8811EA1921186E8DB</vt:lpwstr>
  </property>
</Properties>
</file>