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FFFF" w:sz="12" w:space="1"/>
        </w:pBd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丰年村街道关于深入推进社会管理创新的</w:t>
      </w:r>
    </w:p>
    <w:p>
      <w:pPr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实施意见</w:t>
      </w:r>
    </w:p>
    <w:bookmarkEnd w:id="0"/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为深入推进社会矛盾化解、社会管理创新、公正廉洁执法三项重点工作，按照区委、区政府的要求，高质量、高标准推进社会管理工作，确保取得实实在在的效果，根据街道实际，现制定如下实施意见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 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 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一、指导思想和目标原则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 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1、指导思想。全面贯彻党的十七大和十七届四中全会精神，高举中国特色社会主义伟大旗帜，以邓小平理论和“三个代表”重要思想为指导，深入贯彻落实科学发展观，认真落实市政法工作会议和区政法综治会议精神，紧紧围绕区委“三四五六”发展计划和“构建和谐丰年“的奋斗目标，以服务社会和谐稳定、服务人民群众新期待为主线，有效整合资源，形成合力，全面提升社会管理创新水平，为我街道各项事业的发展创造良好的社会环境。 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2、主要目标。按照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学化、规范化、法制化要求，努力实现社会管理的理念创新、体制机制创新、方法手段创新、基层基础工作创新，建立起全方位、动态化社会管理工作体系，积极搭建社会管理服务新平台，打牢维护社会和谐稳定的基础。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 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  3、工作原则。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坚持以科学发展观为统领，围绕中心，服务大局，自觉把社会管理创新置于全街发展稳定大局，精心组织，扎实推进。坚持以人为本，服务群众，落实为民便民惠民利民的政策措施，切实保障和改善民计民生。坚持求真务实，注重实效，突出重点，打造亮点，抓好典型，整体推进，在高起点上全面提升社会管理创新水平。 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 xml:space="preserve"> 二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落实重点工作，形成管理创新体制</w:t>
      </w:r>
    </w:p>
    <w:p>
      <w:pPr>
        <w:pStyle w:val="2"/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完善社会稳定风险分析评估机制。认真落实《东丽区信访稳定风险预警研判暂行办法》，抓紧制定《丰年村街道信访稳定风险预警研判暂行办法》，以容易引发矛盾的领域为重点，抓好重大决策、重大工程项目、重点领域稳定风险评估预警工作，从源头上预防和应对可能产生的社会稳定风险，有效防范和化解社会矛盾。（牵头科室：街综治办，责任单位：街社区工作科、街劳动保障中心、街安监办、各社区。） </w:t>
      </w:r>
    </w:p>
    <w:p>
      <w:pPr>
        <w:pStyle w:val="2"/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构建多方联动的社会矛盾调解工作体系。认真贯彻落实《东丽区关于构建多方联动“大调解”工作体系有效化解社会矛盾纠纷的实施意见》，深入开展“法官指导下，警民联调机制”，形成人民调解、行政调解、司法调解既充分发挥作用，又相互协调配合的工作体系。努力实现矛盾纠纷调解率、调解成功率、群众满意率“三上升”，民转刑案件、越级上访事件、保持为零，做到小纠纷不出社区、大纠纷不出街道。（牵头科室：街司法所，责任单位：街综治办、丰年村派出所、新立法庭、各社区。） </w:t>
      </w:r>
    </w:p>
    <w:p>
      <w:pPr>
        <w:pStyle w:val="2"/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构建信访工作接访下访新格局。完善街道接访下访工作制度，做到接访下访与领导包案相结合，日常接访与联合接访相结合，接访下访与风险评估相结合。畅通听取群众意见、解决群众合理诉求的渠道，真心实意办实事、解难题，维护群众合法权益。（牵头科室：街综治办，责任单位：街综治成员单位、各社区。） </w:t>
      </w:r>
    </w:p>
    <w:p>
      <w:pPr>
        <w:pStyle w:val="2"/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实施流动人口服务管理创新。认真落实《天津市加强流动人口服务管理工作的实施意见》，按照《丰年村街道流动人口协管员管理办法》，加强对流动人口专职协管员队伍管理和业务指导。按照“统一规划、统一标准、联合共建、资源共享”的原则，实现长效管理法治化、信息采集数字化、综合服务社会化、权益保障制度化、治安管理指纹化。（牵头单位：丰年村派出所，责任单位：街综治办、街计生办、街团委、各社区。） </w:t>
      </w:r>
    </w:p>
    <w:p>
      <w:pPr>
        <w:pStyle w:val="2"/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落实社区矫正和刑释解教人员帮教管理工作措施。认真落实《天津市建立刑释解教人员安置帮教工作体系的实施意见》，以有效减少重新违法犯罪、维护社会和谐稳定为目标，实现衔接率、帮教率、管控率100%，确保无一人漏管、无一人脱管，就业安置率达到90%以上，刑释解教和社区服刑人员重新违法犯罪率分别控制在1%和0.1%以内。（牵头科室：街司法所，责任单位：街综治办、丰年村派出所、街社工科、街劳动保障中心、各社区。） </w:t>
      </w:r>
    </w:p>
    <w:p>
      <w:pPr>
        <w:pStyle w:val="2"/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创新社区服务管理模式。认真落实《天津市加强社区（村）管理服务的实施意见》，建立健全社区服务管理组织，切实保障和改善民生，深入开展平安社区创建活动，抓好平安志愿者管理、创建品牌社区。着力加强社区治安保障、矛盾纠纷调解、社会救助、社会养老、再就业保障、便民利民服务、计划生育和卫生、精神文化等八项服务管理。（牵头科室：街社工科，责任单位：街综治办、丰年村派出所、街司法所、街环境科、街劳动保障中心、街计生办、街文教科、各社区。） </w:t>
      </w:r>
    </w:p>
    <w:p>
      <w:pPr>
        <w:pStyle w:val="2"/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建立社会治安重点地区排查整治长效机制。认真落实《东丽区2010年社会治安重点整治方案》，深入开展大排查、大整治，实行街、居分级排查，分级整治，把城乡接合部作为排查整治的重点，协调解决基础设施不完善、公共服务不到位、生活环境脏乱差等问题。健全排查整治滚动运行机制，排查整治动态分析机制，以及整治、管理、建设、服务为一体的常态工作机制。（牵头科室：街综治办，责任单位：街党办、街社工科、街社区环境科、丰年村派出所、各社区。） </w:t>
      </w:r>
    </w:p>
    <w:p>
      <w:pPr>
        <w:pStyle w:val="2"/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推进社会治安防控体系建设。深化社区警务战略，丰年村派出所要加强与居委会的工作协作与配合。加强社区治安巡控队伍规范化建设。要着力完善突发公共事件应急联动指挥和快速反应机制，加大警情研判力度，实现警情动态控制。要不断完善技防网建设，有效整合社会资源，构建打防管控结合、警防民防技防结合、全方位立体化棋格型的动态治安防控体系。（牵头单位：丰年村派出所，责任单位：街综治办、街社区环境科、各社区。） </w:t>
      </w:r>
    </w:p>
    <w:p>
      <w:pPr>
        <w:pStyle w:val="2"/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整合基层综治维稳信访力量。要整合资源，优化配置，完善街综治信访服务中心和社区综治信访服务站建设，配置必要的工作条件。建立完善议事例会、集中会办、协调会办、情况通报、督查督办、应急处置、台账资料、检查考核等八项制度。理顺综治信访服务中心（站）与警务室、治保会、调委会、司法所、社区治安巡控队、义务巡逻队、物业保安以及平安天津志愿者组织之间的关系，有效整合综治、维稳、信访、司法等力量，形成综合治理的大平台。（牵头科室：街综治办，责任单位：街党办、街防范办、丰年村派出所、街司法所、街社工科、各社区。） </w:t>
      </w:r>
    </w:p>
    <w:p>
      <w:pPr>
        <w:pStyle w:val="2"/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13、强化基层民主政治建设。认真落实《东丽区关于健全和完善村务公开和民主管理制度的实施意见》，不断强化民主管理、民主决策，夯实基层工作基础，切实推进基层民主政治建设。（牵头科室：街社工科、街党办，责任单位：各社区。） 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14、创新物业管理工作模式。认真落实《天津市创新物业管理模式的实施意见》，创新行政监管手段和社会管理模式，加强对物业服务企业和物业项目的监管，有效预防和化解物业管理纠纷。创新对未建立物业社区的管理手段，加强对“三无”社区的管理，切实提升物业管理水平。（牵头科室：街社工科，责任单位：丰年村派出所、街司法所、街社区环境科、各社区。） 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三、加强领导，狠抓落实，确保社会管理创新工作取得实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效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15、强化责任落实。各相关科室、各社区要把社会管理创新摆上重要议事日程，要明确目标任务，细化措施，抓好落实。 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16、搞好组织推动。各牵头科室要明确社会管理创新工作重点，落实各项保障措施，切实搞好组织推动。 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17、加强舆论宣传。各相关科室和社区要充分运用多种手段，广泛宣传社会管理创新的重要意义、工作进展和成效，动员社会各界和广大党员干部群众积极参与，形成良好的创新氛围。 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18、严格工作考核。将社会管理创新作为2010年社区社会治安综合治理考核的一项重要内容和各科室重点工作，切实加强检查力度，推动工作不断深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入。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41" w:right="1559" w:bottom="147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ourier New">
    <w:altName w:val="DejaVu Sans"/>
    <w:panose1 w:val="02070309020005020404"/>
    <w:charset w:val="00"/>
    <w:family w:val="modern"/>
    <w:pitch w:val="default"/>
    <w:sig w:usb0="00000000" w:usb1="00000000" w:usb2="00000009" w:usb3="00000000" w:csb0="400001FF" w:csb1="FFFF0000"/>
  </w:font>
  <w:font w:name="Cambria">
    <w:altName w:val="FreeSerif"/>
    <w:panose1 w:val="020405030500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7A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7A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8645" cy="282575"/>
              <wp:effectExtent l="0" t="0" r="0" b="0"/>
              <wp:wrapNone/>
              <wp:docPr id="2049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644" cy="282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仿宋_GB2312" w:hAnsi="仿宋_GB2312" w:eastAsia="仿宋_GB2312" w:cs="仿宋_GB2312"/>
                              <w:color w:val="00000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color w:val="000000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22.25pt;width:46.3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FevNZzWAAAAAwEAAA8AAAAAAAAAAQAgAAAAOAAAAGRycy9kb3ducmV2LnhtbFBLAQIUABQAAAAI&#10;AIdO4kCW8LNNoAEAAFADAAAOAAAAAAAAAAEAIAAAADs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rPr>
                        <w:rFonts w:ascii="仿宋_GB2312" w:hAnsi="仿宋_GB2312" w:eastAsia="仿宋_GB2312" w:cs="仿宋_GB2312"/>
                        <w:color w:val="000000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color w:val="000000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NotTrackFormatting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ZjNjOTFhMTUxMzViNjRlY2IzNDE4YmYwM2ZkNWUyZWMifQ=="/>
  </w:docVars>
  <w:rsids>
    <w:rsidRoot w:val="00000000"/>
    <w:rsid w:val="BFE77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52"/>
      <w:ind w:right="297"/>
      <w:jc w:val="center"/>
      <w:outlineLvl w:val="0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-公1"/>
    <w:basedOn w:val="1"/>
    <w:qFormat/>
    <w:uiPriority w:val="0"/>
    <w:pPr>
      <w:ind w:firstLine="200" w:firstLineChars="200"/>
    </w:pPr>
    <w:rPr>
      <w:rFonts w:ascii="Calibri" w:hAnsi="Calibri" w:cs="Calibri"/>
      <w:color w:val="000000"/>
      <w:szCs w:val="21"/>
    </w:rPr>
  </w:style>
  <w:style w:type="paragraph" w:customStyle="1" w:styleId="13">
    <w:name w:val="Table Paragraph"/>
    <w:basedOn w:val="1"/>
    <w:qFormat/>
    <w:uiPriority w:val="0"/>
    <w:rPr>
      <w:rFonts w:ascii="宋体" w:hAnsi="宋体" w:eastAsia="宋体" w:cs="宋体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2929</Words>
  <Characters>2956</Characters>
  <Paragraphs>27</Paragraphs>
  <TotalTime>157267680</TotalTime>
  <ScaleCrop>false</ScaleCrop>
  <LinksUpToDate>false</LinksUpToDate>
  <CharactersWithSpaces>2992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2022-05-01T06:44:00Z</dcterms:created>
  <dc:creator>kylin</dc:creator>
  <cp:lastModifiedBy>wxb</cp:lastModifiedBy>
  <cp:lastPrinted>2022-08-26T22:51:00Z</cp:lastPrinted>
  <dcterms:modified xsi:type="dcterms:W3CDTF">2023-09-08T17:25:01Z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11e3a98b515040998b5b42b781857838_23</vt:lpwstr>
  </property>
</Properties>
</file>