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jc w:val="center"/>
        <w:textAlignment w:val="baseline"/>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东丽区工业经济发</w:t>
      </w:r>
      <w:r>
        <w:rPr>
          <w:rFonts w:hint="eastAsia" w:ascii="方正小标宋简体" w:hAnsi="Times New Roman" w:eastAsia="方正小标宋简体" w:cs="Times New Roman"/>
          <w:b/>
          <w:sz w:val="44"/>
          <w:szCs w:val="44"/>
        </w:rPr>
        <w:t>展“十四五”规</w:t>
      </w:r>
      <w:r>
        <w:rPr>
          <w:rFonts w:hint="eastAsia" w:ascii="Times New Roman" w:hAnsi="Times New Roman" w:eastAsia="方正小标宋简体" w:cs="Times New Roman"/>
          <w:b/>
          <w:sz w:val="44"/>
          <w:szCs w:val="44"/>
        </w:rPr>
        <w:t>划</w:t>
      </w: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vertAlign w:val="superscript"/>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Cs/>
          <w:sz w:val="20"/>
          <w:szCs w:val="32"/>
        </w:rPr>
      </w:pPr>
      <w:bookmarkStart w:id="150" w:name="_GoBack"/>
      <w:r>
        <w:rPr>
          <w:rFonts w:hint="eastAsia" w:ascii="仿宋_GB2312" w:hAnsi="仿宋_GB2312" w:eastAsia="仿宋_GB2312" w:cs="仿宋_GB2312"/>
          <w:bCs/>
          <w:sz w:val="32"/>
          <w:szCs w:val="32"/>
        </w:rPr>
        <w:t>2021年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bookmarkEnd w:id="150"/>
    </w:p>
    <w:p>
      <w:pPr>
        <w:widowControl/>
        <w:jc w:val="left"/>
        <w:textAlignment w:val="baseline"/>
        <w:rPr>
          <w:rFonts w:ascii="Times New Roman" w:hAnsi="Times New Roman" w:cs="Times New Roman"/>
          <w:b/>
          <w:sz w:val="36"/>
        </w:rPr>
      </w:pPr>
    </w:p>
    <w:p>
      <w:pPr>
        <w:pStyle w:val="2"/>
        <w:textAlignment w:val="baseline"/>
        <w:rPr>
          <w:lang w:val="en-US" w:bidi="ar-SA"/>
        </w:rPr>
      </w:pPr>
    </w:p>
    <w:p>
      <w:pPr>
        <w:textAlignment w:val="baseline"/>
        <w:rPr>
          <w:b/>
          <w:i/>
          <w:caps/>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textAlignment w:val="baseline"/>
        <w:rPr>
          <w:b/>
          <w:i/>
          <w:caps/>
        </w:rPr>
      </w:pPr>
    </w:p>
    <w:p>
      <w:pPr>
        <w:pStyle w:val="2"/>
        <w:textAlignment w:val="baseline"/>
        <w:sectPr>
          <w:footerReference r:id="rId6" w:type="first"/>
          <w:footerReference r:id="rId5" w:type="default"/>
          <w:pgSz w:w="11906" w:h="16838"/>
          <w:pgMar w:top="1440" w:right="1800" w:bottom="1440" w:left="1800" w:header="851" w:footer="992" w:gutter="0"/>
          <w:pgNumType w:fmt="upperRoman" w:start="1"/>
          <w:cols w:space="425" w:num="1"/>
          <w:titlePg/>
          <w:docGrid w:type="lines" w:linePitch="435" w:charSpace="0"/>
        </w:sectPr>
      </w:pPr>
    </w:p>
    <w:p>
      <w:pPr>
        <w:pStyle w:val="29"/>
        <w:ind w:firstLine="0" w:firstLineChars="0"/>
        <w:jc w:val="center"/>
        <w:textAlignment w:val="baseline"/>
        <w:rPr>
          <w:rFonts w:ascii="Times New Roman" w:hAnsi="Times New Roman" w:eastAsia="方正小标宋简体" w:cs="Times New Roman"/>
          <w:bCs/>
          <w:kern w:val="0"/>
          <w:sz w:val="44"/>
          <w:szCs w:val="44"/>
        </w:rPr>
      </w:pPr>
      <w:bookmarkStart w:id="0" w:name="_Toc47557140"/>
      <w:bookmarkStart w:id="1" w:name="_Hlk40707955"/>
      <w:r>
        <w:rPr>
          <w:rFonts w:hint="eastAsia" w:ascii="Times New Roman" w:hAnsi="Times New Roman" w:eastAsia="方正小标宋简体" w:cs="Times New Roman"/>
          <w:bCs/>
          <w:kern w:val="0"/>
          <w:sz w:val="44"/>
          <w:szCs w:val="44"/>
        </w:rPr>
        <w:t xml:space="preserve">目 </w:t>
      </w:r>
      <w:r>
        <w:rPr>
          <w:rFonts w:ascii="Times New Roman" w:hAnsi="Times New Roman" w:eastAsia="方正小标宋简体" w:cs="Times New Roman"/>
          <w:bCs/>
          <w:kern w:val="0"/>
          <w:sz w:val="44"/>
          <w:szCs w:val="44"/>
        </w:rPr>
        <w:t xml:space="preserve"> </w:t>
      </w:r>
      <w:r>
        <w:rPr>
          <w:rFonts w:hint="eastAsia" w:ascii="Times New Roman" w:hAnsi="Times New Roman" w:eastAsia="方正小标宋简体" w:cs="Times New Roman"/>
          <w:bCs/>
          <w:kern w:val="0"/>
          <w:sz w:val="44"/>
          <w:szCs w:val="44"/>
        </w:rPr>
        <w:t>录</w:t>
      </w:r>
      <w:bookmarkEnd w:id="0"/>
    </w:p>
    <w:p>
      <w:pPr>
        <w:tabs>
          <w:tab w:val="right" w:leader="dot" w:pos="8296"/>
        </w:tabs>
        <w:spacing w:line="600" w:lineRule="exact"/>
        <w:textAlignment w:val="baseline"/>
        <w:rPr>
          <w:rFonts w:ascii="Times New Roman" w:hAnsi="Times New Roman" w:cs="Times New Roman"/>
          <w:b/>
          <w:bCs/>
          <w:sz w:val="30"/>
          <w:szCs w:val="30"/>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"_Toc61343586" </w:instrText>
      </w:r>
      <w:r>
        <w:fldChar w:fldCharType="separate"/>
      </w:r>
      <w:r>
        <w:rPr>
          <w:rFonts w:ascii="Times New Roman" w:hAnsi="Times New Roman" w:cs="Times New Roman"/>
          <w:b/>
          <w:bCs/>
          <w:sz w:val="30"/>
          <w:szCs w:val="30"/>
        </w:rPr>
        <w:t>一、</w:t>
      </w:r>
      <w:r>
        <w:rPr>
          <w:rFonts w:hint="eastAsia" w:ascii="Times New Roman" w:hAnsi="Times New Roman" w:cs="Times New Roman"/>
          <w:b/>
          <w:bCs/>
          <w:sz w:val="30"/>
          <w:szCs w:val="30"/>
        </w:rPr>
        <w:t>“十三五”发展</w:t>
      </w:r>
      <w:r>
        <w:rPr>
          <w:rFonts w:ascii="Times New Roman" w:hAnsi="Times New Roman" w:cs="Times New Roman"/>
          <w:b/>
          <w:bCs/>
          <w:sz w:val="30"/>
          <w:szCs w:val="30"/>
        </w:rPr>
        <w:t>回顾</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_Toc61343586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"_Toc61343587" </w:instrText>
      </w:r>
      <w:r>
        <w:fldChar w:fldCharType="separate"/>
      </w:r>
      <w:r>
        <w:rPr>
          <w:rFonts w:hint="eastAsia" w:ascii="Times New Roman" w:hAnsi="Times New Roman" w:cs="Times New Roman"/>
          <w:bCs/>
          <w:sz w:val="30"/>
          <w:szCs w:val="30"/>
        </w:rPr>
        <w:t>（一）发展基础</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_Toc61343587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"_Toc61343593" </w:instrText>
      </w:r>
      <w:r>
        <w:fldChar w:fldCharType="separate"/>
      </w:r>
      <w:r>
        <w:rPr>
          <w:rFonts w:hint="eastAsia" w:ascii="Times New Roman" w:hAnsi="Times New Roman" w:cs="Times New Roman"/>
          <w:bCs/>
          <w:sz w:val="30"/>
          <w:szCs w:val="30"/>
        </w:rPr>
        <w:t>（二）面临形势</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"_Toc61343594" </w:instrText>
      </w:r>
      <w:r>
        <w:fldChar w:fldCharType="separate"/>
      </w:r>
      <w:r>
        <w:rPr>
          <w:rFonts w:ascii="Times New Roman" w:hAnsi="Times New Roman" w:cs="Times New Roman"/>
          <w:b/>
          <w:bCs/>
          <w:sz w:val="30"/>
          <w:szCs w:val="30"/>
        </w:rPr>
        <w:t>二、</w:t>
      </w:r>
      <w:r>
        <w:rPr>
          <w:rFonts w:hint="eastAsia" w:ascii="Times New Roman" w:hAnsi="Times New Roman" w:cs="Times New Roman"/>
          <w:b/>
          <w:bCs/>
          <w:sz w:val="30"/>
          <w:szCs w:val="30"/>
        </w:rPr>
        <w:t>“十四五”发展</w:t>
      </w:r>
      <w:r>
        <w:rPr>
          <w:rFonts w:ascii="Times New Roman" w:hAnsi="Times New Roman" w:cs="Times New Roman"/>
          <w:b/>
          <w:bCs/>
          <w:sz w:val="30"/>
          <w:szCs w:val="30"/>
        </w:rPr>
        <w:t>思路和总体目标</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"_Toc61343595" </w:instrText>
      </w:r>
      <w:r>
        <w:fldChar w:fldCharType="separate"/>
      </w:r>
      <w:r>
        <w:rPr>
          <w:rFonts w:hint="eastAsia" w:ascii="Times New Roman" w:hAnsi="Times New Roman" w:cs="Times New Roman"/>
          <w:bCs/>
          <w:sz w:val="30"/>
          <w:szCs w:val="30"/>
        </w:rPr>
        <w:t>（一）发展思路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"_Toc61343596" </w:instrText>
      </w:r>
      <w:r>
        <w:fldChar w:fldCharType="separate"/>
      </w:r>
      <w:r>
        <w:rPr>
          <w:rFonts w:hint="eastAsia" w:ascii="Times New Roman" w:hAnsi="Times New Roman" w:cs="Times New Roman"/>
          <w:bCs/>
          <w:sz w:val="30"/>
          <w:szCs w:val="30"/>
        </w:rPr>
        <w:t>（二）基本原则</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_Toc61343596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"_Toc61343597" </w:instrText>
      </w:r>
      <w:r>
        <w:fldChar w:fldCharType="separate"/>
      </w:r>
      <w:r>
        <w:rPr>
          <w:rFonts w:hint="eastAsia" w:ascii="Times New Roman" w:hAnsi="Times New Roman" w:cs="Times New Roman"/>
          <w:bCs/>
          <w:sz w:val="30"/>
          <w:szCs w:val="30"/>
        </w:rPr>
        <w:t>（三）总体目标</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_Toc61343597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"_Toc61343598" </w:instrText>
      </w:r>
      <w:r>
        <w:fldChar w:fldCharType="separate"/>
      </w:r>
      <w:r>
        <w:rPr>
          <w:rFonts w:ascii="Times New Roman" w:hAnsi="Times New Roman" w:cs="Times New Roman"/>
          <w:b/>
          <w:bCs/>
          <w:sz w:val="30"/>
          <w:szCs w:val="30"/>
        </w:rPr>
        <w:t>三、重点产业</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"_Toc61343599" </w:instrText>
      </w:r>
      <w:r>
        <w:fldChar w:fldCharType="separate"/>
      </w:r>
      <w:r>
        <w:rPr>
          <w:rFonts w:ascii="Times New Roman" w:hAnsi="Times New Roman" w:cs="Times New Roman"/>
          <w:bCs/>
          <w:sz w:val="30"/>
          <w:szCs w:val="30"/>
        </w:rPr>
        <w:t>（一）高端装备制造</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"_Toc61343600"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智能装备制造</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_Toc61343600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"_Toc61343601"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航空产业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"_Toc61343602"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工业机器人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"_Toc61343603" </w:instrText>
      </w:r>
      <w:r>
        <w:fldChar w:fldCharType="separate"/>
      </w:r>
      <w:r>
        <w:rPr>
          <w:rFonts w:ascii="Times New Roman" w:hAnsi="Times New Roman" w:cs="Times New Roman"/>
          <w:bCs/>
          <w:sz w:val="30"/>
          <w:szCs w:val="30"/>
        </w:rPr>
        <w:t>（二）新一代汽车技术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_Toc61343603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"_Toc61343604"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新能源汽车关键零部件</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_Toc61343604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"_Toc61343605"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智能网联汽车产业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_Toc61343605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"_Toc61343606"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动力电池产业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_Toc61343606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"_Toc61343607" </w:instrText>
      </w:r>
      <w:r>
        <w:fldChar w:fldCharType="separate"/>
      </w:r>
      <w:r>
        <w:rPr>
          <w:rFonts w:ascii="Times New Roman" w:hAnsi="Times New Roman" w:cs="Times New Roman"/>
          <w:bCs/>
          <w:sz w:val="30"/>
          <w:szCs w:val="30"/>
        </w:rPr>
        <w:t>（三）新材料</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_Toc61343607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"_Toc61343608"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先进钢铁材料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"_Toc61343609"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先进焊接材料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"_Toc61343610"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高性能纤维及制品和复合材料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_Toc61343610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"_Toc61343611" </w:instrText>
      </w:r>
      <w:r>
        <w:fldChar w:fldCharType="separate"/>
      </w:r>
      <w:r>
        <w:rPr>
          <w:rFonts w:ascii="Times New Roman" w:hAnsi="Times New Roman" w:cs="Times New Roman"/>
          <w:bCs/>
          <w:sz w:val="30"/>
          <w:szCs w:val="30"/>
        </w:rPr>
        <w:t>（四）生物医药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_Toc61343611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"_Toc61343612"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高端医疗器械</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_Toc61343612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"_Toc61343613"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生物制药</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_Toc61343613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"_Toc61343614"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智慧医疗与大健康</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_Toc61343614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"_Toc61343615" </w:instrText>
      </w:r>
      <w:r>
        <w:fldChar w:fldCharType="separate"/>
      </w:r>
      <w:r>
        <w:rPr>
          <w:rFonts w:ascii="Times New Roman" w:hAnsi="Times New Roman" w:cs="Times New Roman"/>
          <w:b/>
          <w:bCs/>
          <w:sz w:val="30"/>
          <w:szCs w:val="30"/>
        </w:rPr>
        <w:t>四、空间布局</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_Toc61343615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"_Toc61343616" </w:instrText>
      </w:r>
      <w:r>
        <w:fldChar w:fldCharType="separate"/>
      </w:r>
      <w:r>
        <w:rPr>
          <w:rFonts w:hint="eastAsia" w:ascii="Times New Roman" w:hAnsi="Times New Roman" w:cs="Times New Roman"/>
          <w:bCs/>
          <w:sz w:val="30"/>
          <w:szCs w:val="30"/>
        </w:rPr>
        <w:t>（一）一核：东丽经开区</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_Toc61343616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"_Toc61343617" </w:instrText>
      </w:r>
      <w:r>
        <w:fldChar w:fldCharType="separate"/>
      </w:r>
      <w:r>
        <w:rPr>
          <w:rFonts w:hint="eastAsia" w:ascii="Times New Roman" w:hAnsi="Times New Roman" w:cs="Times New Roman"/>
          <w:bCs/>
          <w:sz w:val="30"/>
          <w:szCs w:val="30"/>
        </w:rPr>
        <w:t>（二）双区：华明高新区、临空经济区</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_Toc61343617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"_Toc61343618"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华明高新区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"_Toc61343619"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临空经济区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"_Toc61343620" </w:instrText>
      </w:r>
      <w:r>
        <w:fldChar w:fldCharType="separate"/>
      </w:r>
      <w:r>
        <w:rPr>
          <w:rFonts w:ascii="Times New Roman" w:hAnsi="Times New Roman" w:cs="Times New Roman"/>
          <w:b/>
          <w:bCs/>
          <w:sz w:val="30"/>
          <w:szCs w:val="30"/>
        </w:rPr>
        <w:t>五、重点任务</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pacing w:val="-6"/>
          <w:sz w:val="21"/>
        </w:rPr>
      </w:pPr>
      <w:r>
        <w:fldChar w:fldCharType="begin"/>
      </w:r>
      <w:r>
        <w:instrText xml:space="preserve"> HYPERLINK \l "_Toc61343621" </w:instrText>
      </w:r>
      <w:r>
        <w:fldChar w:fldCharType="separate"/>
      </w:r>
      <w:r>
        <w:rPr>
          <w:rFonts w:ascii="Times New Roman" w:hAnsi="Times New Roman" w:cs="Times New Roman"/>
          <w:spacing w:val="-6"/>
          <w:sz w:val="30"/>
          <w:szCs w:val="30"/>
        </w:rPr>
        <w:t>（一）培育壮大优势产业集群，提升产业链现代化水平</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_Toc61343621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pacing w:val="-6"/>
          <w:sz w:val="21"/>
        </w:rPr>
      </w:pPr>
      <w:r>
        <w:fldChar w:fldCharType="begin"/>
      </w:r>
      <w:r>
        <w:instrText xml:space="preserve"> HYPERLINK \l "_Toc61343622" </w:instrText>
      </w:r>
      <w:r>
        <w:fldChar w:fldCharType="separate"/>
      </w:r>
      <w:r>
        <w:rPr>
          <w:rFonts w:ascii="Times New Roman" w:hAnsi="Times New Roman" w:cs="Times New Roman"/>
          <w:spacing w:val="-6"/>
          <w:sz w:val="30"/>
          <w:szCs w:val="30"/>
        </w:rPr>
        <w:t>（二）推动园区跨越转型升级，构建企业梯次培育体系</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"_Toc61343623" </w:instrText>
      </w:r>
      <w:r>
        <w:fldChar w:fldCharType="separate"/>
      </w:r>
      <w:r>
        <w:rPr>
          <w:rFonts w:ascii="Times New Roman" w:hAnsi="Times New Roman" w:cs="Times New Roman"/>
          <w:spacing w:val="-6"/>
          <w:sz w:val="30"/>
          <w:szCs w:val="30"/>
        </w:rPr>
        <w:t>（三）强化企业创新主体地位，全面提升自主创新能力</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"_Toc61343624" </w:instrText>
      </w:r>
      <w:r>
        <w:fldChar w:fldCharType="separate"/>
      </w:r>
      <w:r>
        <w:rPr>
          <w:rFonts w:ascii="Times New Roman" w:hAnsi="Times New Roman" w:cs="Times New Roman"/>
          <w:spacing w:val="-6"/>
          <w:sz w:val="30"/>
          <w:szCs w:val="30"/>
        </w:rPr>
        <w:t>（四）大力推广绿色生产方式，增强制造业竞争新优势</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_Toc61343624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"_Toc61343625" </w:instrText>
      </w:r>
      <w:r>
        <w:fldChar w:fldCharType="separate"/>
      </w:r>
      <w:r>
        <w:rPr>
          <w:rFonts w:hint="eastAsia" w:ascii="Times New Roman" w:hAnsi="Times New Roman" w:cs="Times New Roman"/>
          <w:bCs/>
          <w:spacing w:val="-6"/>
          <w:sz w:val="30"/>
          <w:szCs w:val="30"/>
        </w:rPr>
        <w:t>（五）实施质量品牌提升计划，持续提升工业“软实力”</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_Toc61343625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"_Toc61343626" </w:instrText>
      </w:r>
      <w:r>
        <w:fldChar w:fldCharType="separate"/>
      </w:r>
      <w:r>
        <w:rPr>
          <w:rFonts w:ascii="Times New Roman" w:hAnsi="Times New Roman" w:cs="Times New Roman"/>
          <w:spacing w:val="-6"/>
          <w:sz w:val="30"/>
          <w:szCs w:val="30"/>
        </w:rPr>
        <w:t>（六）强化新型基础设施建设，助力应用场景加速落地</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_Toc61343626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"_Toc61343627" </w:instrText>
      </w:r>
      <w:r>
        <w:fldChar w:fldCharType="separate"/>
      </w:r>
      <w:r>
        <w:rPr>
          <w:rFonts w:ascii="Times New Roman" w:hAnsi="Times New Roman" w:cs="Times New Roman"/>
          <w:b/>
          <w:bCs/>
          <w:sz w:val="30"/>
          <w:szCs w:val="30"/>
        </w:rPr>
        <w:t>六、保障措施</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_Toc61343627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"_Toc61343628" </w:instrText>
      </w:r>
      <w:r>
        <w:fldChar w:fldCharType="separate"/>
      </w:r>
      <w:r>
        <w:rPr>
          <w:rFonts w:hint="eastAsia" w:ascii="Times New Roman" w:hAnsi="Times New Roman" w:cs="Times New Roman"/>
          <w:bCs/>
          <w:sz w:val="30"/>
          <w:szCs w:val="30"/>
        </w:rPr>
        <w:t>（一）健全组织协调机制</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_Toc61343628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"_Toc61343629" </w:instrText>
      </w:r>
      <w:r>
        <w:fldChar w:fldCharType="separate"/>
      </w:r>
      <w:r>
        <w:rPr>
          <w:rFonts w:hint="eastAsia" w:ascii="Times New Roman" w:hAnsi="Times New Roman" w:cs="Times New Roman"/>
          <w:bCs/>
          <w:sz w:val="30"/>
          <w:szCs w:val="30"/>
        </w:rPr>
        <w:t>（二）强化生产要素保障</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_Toc61343629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"_Toc61343630" </w:instrText>
      </w:r>
      <w:r>
        <w:fldChar w:fldCharType="separate"/>
      </w:r>
      <w:r>
        <w:rPr>
          <w:rFonts w:hint="eastAsia" w:ascii="Times New Roman" w:hAnsi="Times New Roman" w:cs="Times New Roman"/>
          <w:bCs/>
          <w:sz w:val="30"/>
          <w:szCs w:val="30"/>
        </w:rPr>
        <w:t>（三）不断优化营商环境</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_Toc61343630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"_Toc61343631" </w:instrText>
      </w:r>
      <w:r>
        <w:fldChar w:fldCharType="separate"/>
      </w:r>
      <w:r>
        <w:rPr>
          <w:rFonts w:hint="eastAsia" w:ascii="Times New Roman" w:hAnsi="Times New Roman" w:cs="Times New Roman"/>
          <w:bCs/>
          <w:sz w:val="30"/>
          <w:szCs w:val="30"/>
        </w:rPr>
        <w:t>（四）加大招商引资力度</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_Toc61343631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"_Toc61343632" </w:instrText>
      </w:r>
      <w:r>
        <w:fldChar w:fldCharType="separate"/>
      </w:r>
      <w:r>
        <w:rPr>
          <w:rFonts w:hint="eastAsia" w:ascii="Times New Roman" w:hAnsi="Times New Roman" w:cs="Times New Roman"/>
          <w:bCs/>
          <w:sz w:val="30"/>
          <w:szCs w:val="30"/>
        </w:rPr>
        <w:t>（五）切实保障安全生产</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_Toc61343632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z w:val="20"/>
        </w:rPr>
      </w:pPr>
      <w:r>
        <w:rPr>
          <w:rFonts w:ascii="Times New Roman" w:hAnsi="Times New Roman" w:cs="Times New Roman"/>
        </w:rPr>
        <w:fldChar w:fldCharType="end"/>
      </w:r>
    </w:p>
    <w:p>
      <w:pPr>
        <w:textAlignment w:val="baseline"/>
        <w:rPr>
          <w:b/>
          <w:i/>
          <w:caps/>
        </w:rPr>
        <w:sectPr>
          <w:footerReference r:id="rId8" w:type="first"/>
          <w:footerReference r:id="rId7" w:type="default"/>
          <w:pgSz w:w="11906" w:h="16838"/>
          <w:pgMar w:top="1440" w:right="1800" w:bottom="1440" w:left="1800" w:header="851" w:footer="992" w:gutter="0"/>
          <w:pgNumType w:fmt="upperRoman" w:start="1"/>
          <w:cols w:space="425" w:num="1"/>
          <w:titlePg/>
          <w:docGrid w:type="lines" w:linePitch="435" w:charSpace="0"/>
        </w:sectPr>
      </w:pPr>
    </w:p>
    <w:p>
      <w:pPr>
        <w:pStyle w:val="3"/>
        <w:keepLines w:val="0"/>
        <w:pageBreakBefore/>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2" w:name="_Toc61343586"/>
      <w:bookmarkStart w:id="3" w:name="_Hlk59722418"/>
      <w:r>
        <w:rPr>
          <w:rFonts w:hint="eastAsia" w:ascii="Times New Roman" w:hAnsi="Times New Roman" w:cs="Times New Roman"/>
          <w:b w:val="0"/>
          <w:bCs w:val="0"/>
          <w:kern w:val="2"/>
          <w:szCs w:val="32"/>
        </w:rPr>
        <w:t>一、</w:t>
      </w:r>
      <w:r>
        <w:rPr>
          <w:rFonts w:hint="eastAsia" w:ascii="黑体" w:hAnsi="黑体" w:cs="Times New Roman"/>
          <w:b w:val="0"/>
          <w:bCs w:val="0"/>
          <w:kern w:val="2"/>
          <w:szCs w:val="32"/>
        </w:rPr>
        <w:t>“十三五”发展</w:t>
      </w:r>
      <w:r>
        <w:rPr>
          <w:rFonts w:hint="eastAsia" w:ascii="Times New Roman" w:hAnsi="Times New Roman" w:cs="Times New Roman"/>
          <w:b w:val="0"/>
          <w:bCs w:val="0"/>
          <w:kern w:val="2"/>
          <w:szCs w:val="32"/>
        </w:rPr>
        <w:t>回顾</w:t>
      </w:r>
      <w:bookmarkEnd w:id="2"/>
    </w:p>
    <w:p>
      <w:pPr>
        <w:widowControl/>
        <w:snapToGrid w:val="0"/>
        <w:ind w:firstLine="642" w:firstLineChars="200"/>
        <w:jc w:val="left"/>
        <w:textAlignment w:val="baseline"/>
        <w:rPr>
          <w:rFonts w:ascii="楷体_GB2312" w:hAnsi="Calibri" w:eastAsia="楷体_GB2312" w:cs="Times New Roman"/>
          <w:b/>
          <w:sz w:val="20"/>
          <w:szCs w:val="32"/>
        </w:rPr>
      </w:pPr>
      <w:bookmarkStart w:id="4" w:name="_Toc61343587"/>
      <w:r>
        <w:rPr>
          <w:rFonts w:ascii="楷体_GB2312" w:hAnsi="Calibri" w:eastAsia="楷体_GB2312" w:cs="Times New Roman"/>
          <w:b/>
          <w:szCs w:val="32"/>
        </w:rPr>
        <w:t>（一）</w:t>
      </w:r>
      <w:r>
        <w:rPr>
          <w:rFonts w:hint="eastAsia" w:ascii="楷体_GB2312" w:hAnsi="Calibri" w:eastAsia="楷体_GB2312" w:cs="Times New Roman"/>
          <w:b/>
          <w:szCs w:val="32"/>
        </w:rPr>
        <w:t>发展基础</w:t>
      </w:r>
      <w:bookmarkEnd w:id="4"/>
    </w:p>
    <w:bookmarkEnd w:id="3"/>
    <w:p>
      <w:pPr>
        <w:ind w:firstLine="640" w:firstLineChars="200"/>
        <w:textAlignment w:val="baseline"/>
        <w:rPr>
          <w:rFonts w:ascii="仿宋_GB2312" w:hAnsi="Times New Roman" w:cs="Times New Roman"/>
          <w:bCs/>
          <w:kern w:val="0"/>
          <w:sz w:val="20"/>
        </w:rPr>
      </w:pPr>
      <w:bookmarkStart w:id="5" w:name="_Hlk59722436"/>
      <w:r>
        <w:rPr>
          <w:rFonts w:hint="eastAsia" w:ascii="仿宋_GB2312" w:hAnsi="Times New Roman" w:cs="Times New Roman"/>
          <w:bCs/>
          <w:kern w:val="0"/>
        </w:rPr>
        <w:t>“十三五”时期，面对复杂严峻的国内外宏观经济形势和繁重艰巨的改革发展使命，全区以习近平新时代中国特色社会主义思想为指引，深入贯彻习近平总书记对天津工作“三个着力”重要要求，全面落实制造强国、网络强国战略部署，全力应对中美经贸摩擦、新冠肺炎疫情等国内外风险挑战，坚持科技强区与绿色高质量发展并行，</w:t>
      </w:r>
      <w:r>
        <w:rPr>
          <w:rFonts w:ascii="仿宋_GB2312" w:hAnsi="Times New Roman" w:cs="Times New Roman"/>
          <w:bCs/>
          <w:kern w:val="0"/>
        </w:rPr>
        <w:t>主动调结构</w:t>
      </w:r>
      <w:r>
        <w:rPr>
          <w:rFonts w:hint="eastAsia" w:ascii="仿宋_GB2312" w:hAnsi="Times New Roman" w:cs="Times New Roman"/>
          <w:bCs/>
          <w:kern w:val="0"/>
        </w:rPr>
        <w:t>、挤水分、去虚高，</w:t>
      </w:r>
      <w:r>
        <w:rPr>
          <w:rFonts w:ascii="仿宋_GB2312" w:hAnsi="Times New Roman" w:cs="Times New Roman"/>
          <w:bCs/>
          <w:kern w:val="0"/>
        </w:rPr>
        <w:t>深入推进污染治理，加快淘汰落后产能和</w:t>
      </w:r>
      <w:r>
        <w:rPr>
          <w:rFonts w:hint="eastAsia" w:ascii="仿宋_GB2312" w:hAnsi="Times New Roman" w:cs="Times New Roman"/>
          <w:bCs/>
          <w:kern w:val="0"/>
        </w:rPr>
        <w:t>化解</w:t>
      </w:r>
      <w:r>
        <w:rPr>
          <w:rFonts w:ascii="仿宋_GB2312" w:hAnsi="Times New Roman" w:cs="Times New Roman"/>
          <w:bCs/>
          <w:kern w:val="0"/>
        </w:rPr>
        <w:t>过剩产能</w:t>
      </w:r>
      <w:r>
        <w:rPr>
          <w:rFonts w:hint="eastAsia" w:ascii="仿宋_GB2312" w:hAnsi="Times New Roman" w:cs="Times New Roman"/>
          <w:bCs/>
          <w:kern w:val="0"/>
        </w:rPr>
        <w:t>，</w:t>
      </w:r>
      <w:r>
        <w:rPr>
          <w:rFonts w:ascii="仿宋_GB2312" w:hAnsi="Times New Roman" w:cs="Times New Roman"/>
          <w:bCs/>
          <w:kern w:val="0"/>
        </w:rPr>
        <w:t>破</w:t>
      </w:r>
      <w:r>
        <w:rPr>
          <w:rFonts w:hint="eastAsia" w:ascii="仿宋_GB2312" w:hAnsi="Times New Roman" w:cs="Times New Roman"/>
          <w:bCs/>
          <w:kern w:val="0"/>
        </w:rPr>
        <w:t>解“钢铁围城”和“园区围城”难题</w:t>
      </w:r>
      <w:r>
        <w:rPr>
          <w:rFonts w:ascii="仿宋_GB2312" w:hAnsi="Times New Roman" w:cs="Times New Roman"/>
          <w:bCs/>
          <w:kern w:val="0"/>
        </w:rPr>
        <w:t>，加大产业结构调整力度</w:t>
      </w:r>
      <w:r>
        <w:rPr>
          <w:rFonts w:hint="eastAsia" w:ascii="仿宋_GB2312" w:hAnsi="Times New Roman" w:cs="Times New Roman"/>
          <w:bCs/>
          <w:kern w:val="0"/>
        </w:rPr>
        <w:t>，推动企业转型提质增效，深度挖掘培育新增长点，工业经济高质量发展态势初步形成。</w:t>
      </w:r>
    </w:p>
    <w:bookmarkEnd w:id="5"/>
    <w:p>
      <w:pPr>
        <w:ind w:firstLine="642" w:firstLineChars="200"/>
        <w:textAlignment w:val="baseline"/>
        <w:rPr>
          <w:rFonts w:ascii="Times New Roman" w:hAnsi="Times New Roman" w:cs="Times New Roman"/>
          <w:b/>
          <w:bCs/>
          <w:sz w:val="20"/>
        </w:rPr>
      </w:pPr>
      <w:bookmarkStart w:id="6" w:name="_Hlk59722468"/>
      <w:bookmarkStart w:id="7" w:name="_Toc59728474"/>
      <w:bookmarkStart w:id="8" w:name="_Toc61343588"/>
      <w:bookmarkStart w:id="9" w:name="_Toc50133386"/>
      <w:bookmarkStart w:id="10" w:name="_Toc47557143"/>
      <w:bookmarkStart w:id="11" w:name="_Toc48837316"/>
      <w:r>
        <w:rPr>
          <w:rFonts w:hint="eastAsia" w:ascii="Times New Roman" w:hAnsi="Times New Roman" w:cs="Times New Roman"/>
          <w:b/>
          <w:szCs w:val="32"/>
        </w:rPr>
        <w:t>1.</w:t>
      </w:r>
      <w:bookmarkStart w:id="12" w:name="_Hlk59722484"/>
      <w:r>
        <w:rPr>
          <w:rFonts w:hint="eastAsia" w:ascii="Times New Roman" w:hAnsi="Times New Roman" w:cs="Times New Roman"/>
          <w:b/>
          <w:szCs w:val="32"/>
        </w:rPr>
        <w:t>工业质量效益稳步提升</w:t>
      </w:r>
      <w:bookmarkEnd w:id="6"/>
      <w:bookmarkEnd w:id="12"/>
      <w:r>
        <w:rPr>
          <w:rFonts w:hint="eastAsia" w:ascii="Times New Roman" w:hAnsi="Times New Roman" w:cs="Times New Roman"/>
          <w:b/>
          <w:szCs w:val="32"/>
        </w:rPr>
        <w:t>。</w:t>
      </w:r>
      <w:r>
        <w:rPr>
          <w:rFonts w:hint="eastAsia" w:ascii="仿宋_GB2312" w:hAnsi="Times New Roman" w:cs="Times New Roman"/>
          <w:bCs/>
          <w:kern w:val="0"/>
        </w:rPr>
        <w:t>“十三五”时期</w:t>
      </w:r>
      <w:r>
        <w:rPr>
          <w:rFonts w:ascii="仿宋_GB2312" w:hAnsi="Times New Roman" w:cs="Times New Roman"/>
          <w:szCs w:val="32"/>
        </w:rPr>
        <w:t>，</w:t>
      </w:r>
      <w:r>
        <w:rPr>
          <w:rFonts w:hint="eastAsia" w:ascii="仿宋_GB2312" w:hAnsi="Times New Roman" w:cs="Times New Roman"/>
          <w:szCs w:val="32"/>
        </w:rPr>
        <w:t>全</w:t>
      </w:r>
      <w:r>
        <w:rPr>
          <w:rFonts w:hint="eastAsia" w:ascii="Times New Roman" w:hAnsi="Times New Roman" w:cs="Times New Roman"/>
          <w:szCs w:val="32"/>
        </w:rPr>
        <w:t>区工业加快</w:t>
      </w:r>
      <w:r>
        <w:rPr>
          <w:rFonts w:hint="eastAsia" w:ascii="Times New Roman" w:hAnsi="Times New Roman" w:cs="Times New Roman"/>
          <w:bCs/>
          <w:szCs w:val="32"/>
        </w:rPr>
        <w:t>由高速增长向高质量发展转变，工业经济进入增速换挡、动力转换的新阶段。2</w:t>
      </w:r>
      <w:r>
        <w:rPr>
          <w:rFonts w:ascii="Times New Roman" w:hAnsi="Times New Roman" w:cs="Times New Roman"/>
          <w:bCs/>
          <w:szCs w:val="32"/>
        </w:rPr>
        <w:t>020</w:t>
      </w:r>
      <w:r>
        <w:rPr>
          <w:rFonts w:hint="eastAsia" w:ascii="Times New Roman" w:hAnsi="Times New Roman" w:cs="Times New Roman"/>
          <w:bCs/>
          <w:szCs w:val="32"/>
        </w:rPr>
        <w:t>年，全区规上工业总产值8</w:t>
      </w:r>
      <w:r>
        <w:rPr>
          <w:rFonts w:ascii="Times New Roman" w:hAnsi="Times New Roman" w:cs="Times New Roman"/>
          <w:bCs/>
          <w:szCs w:val="32"/>
        </w:rPr>
        <w:t>22</w:t>
      </w:r>
      <w:r>
        <w:rPr>
          <w:rFonts w:hint="eastAsia" w:ascii="Times New Roman" w:hAnsi="Times New Roman" w:cs="Times New Roman"/>
          <w:bCs/>
          <w:szCs w:val="32"/>
        </w:rPr>
        <w:t>亿元，占全市比重4</w:t>
      </w:r>
      <w:r>
        <w:rPr>
          <w:rFonts w:ascii="Times New Roman" w:hAnsi="Times New Roman" w:cs="Times New Roman"/>
          <w:bCs/>
          <w:szCs w:val="32"/>
        </w:rPr>
        <w:t>.9</w:t>
      </w:r>
      <w:r>
        <w:rPr>
          <w:rFonts w:hint="eastAsia" w:ascii="Times New Roman" w:hAnsi="Times New Roman" w:cs="Times New Roman"/>
          <w:bCs/>
          <w:szCs w:val="32"/>
        </w:rPr>
        <w:t>%，比“十二五”末提高</w:t>
      </w:r>
      <w:r>
        <w:rPr>
          <w:rFonts w:ascii="Times New Roman" w:hAnsi="Times New Roman" w:cs="Times New Roman"/>
          <w:bCs/>
          <w:szCs w:val="32"/>
        </w:rPr>
        <w:t>0.5</w:t>
      </w:r>
      <w:r>
        <w:rPr>
          <w:rFonts w:hint="eastAsia" w:ascii="Times New Roman" w:hAnsi="Times New Roman" w:cs="Times New Roman"/>
          <w:bCs/>
          <w:szCs w:val="32"/>
        </w:rPr>
        <w:t>个百分点；工业增加值达2</w:t>
      </w:r>
      <w:r>
        <w:rPr>
          <w:rFonts w:ascii="Times New Roman" w:hAnsi="Times New Roman" w:cs="Times New Roman"/>
          <w:bCs/>
          <w:szCs w:val="32"/>
        </w:rPr>
        <w:t>35.1</w:t>
      </w:r>
      <w:r>
        <w:rPr>
          <w:rFonts w:hint="eastAsia" w:ascii="Times New Roman" w:hAnsi="Times New Roman" w:cs="Times New Roman"/>
          <w:bCs/>
          <w:szCs w:val="32"/>
        </w:rPr>
        <w:t>亿元，占全区G</w:t>
      </w:r>
      <w:r>
        <w:rPr>
          <w:rFonts w:ascii="Times New Roman" w:hAnsi="Times New Roman" w:cs="Times New Roman"/>
          <w:bCs/>
          <w:szCs w:val="32"/>
        </w:rPr>
        <w:t>DP</w:t>
      </w:r>
      <w:r>
        <w:rPr>
          <w:rFonts w:hint="eastAsia" w:ascii="Times New Roman" w:hAnsi="Times New Roman" w:cs="Times New Roman"/>
          <w:bCs/>
          <w:szCs w:val="32"/>
        </w:rPr>
        <w:t>比重</w:t>
      </w:r>
      <w:r>
        <w:rPr>
          <w:rFonts w:ascii="Times New Roman" w:hAnsi="Times New Roman" w:cs="Times New Roman"/>
          <w:bCs/>
          <w:szCs w:val="32"/>
        </w:rPr>
        <w:t>36.1</w:t>
      </w:r>
      <w:r>
        <w:rPr>
          <w:rFonts w:hint="eastAsia" w:ascii="Times New Roman" w:hAnsi="Times New Roman" w:cs="Times New Roman"/>
          <w:bCs/>
          <w:szCs w:val="32"/>
        </w:rPr>
        <w:t>%，“十三五”时期年均增长</w:t>
      </w:r>
      <w:r>
        <w:rPr>
          <w:rFonts w:ascii="Times New Roman" w:hAnsi="Times New Roman" w:cs="Times New Roman"/>
          <w:bCs/>
          <w:szCs w:val="32"/>
        </w:rPr>
        <w:t>2.8</w:t>
      </w:r>
      <w:r>
        <w:rPr>
          <w:rFonts w:hint="eastAsia" w:ascii="Times New Roman" w:hAnsi="Times New Roman" w:cs="Times New Roman"/>
          <w:bCs/>
          <w:szCs w:val="32"/>
        </w:rPr>
        <w:t>%；规上工业增加值率达22.</w:t>
      </w:r>
      <w:r>
        <w:rPr>
          <w:rFonts w:ascii="Times New Roman" w:hAnsi="Times New Roman" w:cs="Times New Roman"/>
          <w:bCs/>
          <w:szCs w:val="32"/>
        </w:rPr>
        <w:t>6</w:t>
      </w:r>
      <w:r>
        <w:rPr>
          <w:rFonts w:hint="eastAsia" w:ascii="Times New Roman" w:hAnsi="Times New Roman" w:cs="Times New Roman"/>
          <w:bCs/>
          <w:szCs w:val="32"/>
        </w:rPr>
        <w:t>%，比“十二五”末提高3.</w:t>
      </w:r>
      <w:r>
        <w:rPr>
          <w:rFonts w:ascii="Times New Roman" w:hAnsi="Times New Roman" w:cs="Times New Roman"/>
          <w:bCs/>
          <w:szCs w:val="32"/>
        </w:rPr>
        <w:t>7</w:t>
      </w:r>
      <w:r>
        <w:rPr>
          <w:rFonts w:hint="eastAsia" w:ascii="Times New Roman" w:hAnsi="Times New Roman" w:cs="Times New Roman"/>
          <w:bCs/>
          <w:szCs w:val="32"/>
        </w:rPr>
        <w:t>个百分点；规上工业企业百元营业收入成本84.5元，比“十二五”末降低7.2元；工业固定资产投资稳步提升，为促进工业经济高质量发展提供强劲支撑。</w:t>
      </w:r>
      <w:bookmarkEnd w:id="7"/>
      <w:bookmarkEnd w:id="8"/>
    </w:p>
    <w:bookmarkEnd w:id="9"/>
    <w:bookmarkEnd w:id="10"/>
    <w:bookmarkEnd w:id="11"/>
    <w:p>
      <w:pPr>
        <w:ind w:firstLine="642" w:firstLineChars="200"/>
        <w:textAlignment w:val="baseline"/>
        <w:rPr>
          <w:rFonts w:ascii="Times New Roman" w:hAnsi="Times New Roman" w:cs="Times New Roman"/>
          <w:sz w:val="20"/>
          <w:szCs w:val="32"/>
        </w:rPr>
      </w:pPr>
      <w:bookmarkStart w:id="13" w:name="_Toc47557144"/>
      <w:bookmarkStart w:id="14" w:name="_Toc48837317"/>
      <w:bookmarkStart w:id="15" w:name="_Toc59728475"/>
      <w:bookmarkStart w:id="16" w:name="_Toc61343589"/>
      <w:bookmarkStart w:id="17" w:name="_Toc50133387"/>
      <w:r>
        <w:rPr>
          <w:rFonts w:hint="eastAsia" w:ascii="Times New Roman" w:hAnsi="Times New Roman" w:cs="Times New Roman"/>
          <w:b/>
          <w:szCs w:val="32"/>
        </w:rPr>
        <w:t>2.</w:t>
      </w:r>
      <w:bookmarkStart w:id="18" w:name="_Hlk59112083"/>
      <w:r>
        <w:rPr>
          <w:rFonts w:hint="eastAsia" w:ascii="Times New Roman" w:hAnsi="Times New Roman" w:cs="Times New Roman"/>
          <w:b/>
          <w:szCs w:val="32"/>
        </w:rPr>
        <w:t>产业结构持续优化升级</w:t>
      </w:r>
      <w:bookmarkEnd w:id="18"/>
      <w:r>
        <w:rPr>
          <w:rFonts w:hint="eastAsia" w:ascii="Times New Roman" w:hAnsi="Times New Roman" w:cs="Times New Roman"/>
          <w:b/>
          <w:szCs w:val="32"/>
        </w:rPr>
        <w:t>。</w:t>
      </w:r>
      <w:r>
        <w:rPr>
          <w:rFonts w:hint="eastAsia" w:ascii="Times New Roman" w:hAnsi="Times New Roman" w:cs="Times New Roman"/>
          <w:szCs w:val="32"/>
        </w:rPr>
        <w:t>“十三五”时期，围绕高质量发展主题，提升改造传统产业，着力培育新兴产业，形成以高端装备制造、新材料、新一代汽车技术、生物医药为特色的产业体系。传统产业加快转型，</w:t>
      </w:r>
      <w:r>
        <w:rPr>
          <w:rFonts w:ascii="Times New Roman" w:hAnsi="Times New Roman" w:cs="Times New Roman"/>
          <w:szCs w:val="32"/>
        </w:rPr>
        <w:t>累计完成1003家企业创新转型</w:t>
      </w:r>
      <w:r>
        <w:rPr>
          <w:rFonts w:hint="eastAsia" w:ascii="Times New Roman" w:hAnsi="Times New Roman" w:cs="Times New Roman"/>
          <w:szCs w:val="32"/>
        </w:rPr>
        <w:t>，永昌焊丝示范车间、平高电气智能工厂等一批代表性企业转型升级步伐加快，博奥赛斯引入Axlas TCAutomation全自动流水线整体解决方案，产品质量、生产效率、产值利税等指标均实现大幅提升，永昌焊丝示范车间实现生产全过程数据化管理，生产效率提高3</w:t>
      </w:r>
      <w:r>
        <w:rPr>
          <w:rFonts w:ascii="Times New Roman" w:hAnsi="Times New Roman" w:cs="Times New Roman"/>
          <w:szCs w:val="32"/>
        </w:rPr>
        <w:t>0</w:t>
      </w:r>
      <w:r>
        <w:rPr>
          <w:rFonts w:hint="eastAsia" w:ascii="Times New Roman" w:hAnsi="Times New Roman" w:cs="Times New Roman"/>
          <w:szCs w:val="32"/>
        </w:rPr>
        <w:t>%、成本降低70%、能源利用效率提高4</w:t>
      </w:r>
      <w:r>
        <w:rPr>
          <w:rFonts w:ascii="Times New Roman" w:hAnsi="Times New Roman" w:cs="Times New Roman"/>
          <w:szCs w:val="32"/>
        </w:rPr>
        <w:t>0</w:t>
      </w:r>
      <w:r>
        <w:rPr>
          <w:rFonts w:hint="eastAsia" w:ascii="Times New Roman" w:hAnsi="Times New Roman" w:cs="Times New Roman"/>
          <w:szCs w:val="32"/>
        </w:rPr>
        <w:t>%。</w:t>
      </w:r>
      <w:r>
        <w:rPr>
          <w:rFonts w:ascii="Times New Roman" w:hAnsi="Times New Roman" w:cs="Times New Roman"/>
          <w:szCs w:val="32"/>
        </w:rPr>
        <w:t>新动能快速积聚，加快培育高端装备制造</w:t>
      </w:r>
      <w:r>
        <w:rPr>
          <w:rFonts w:hint="eastAsia" w:ascii="Times New Roman" w:hAnsi="Times New Roman" w:cs="Times New Roman"/>
          <w:szCs w:val="32"/>
        </w:rPr>
        <w:t>、生物医药</w:t>
      </w:r>
      <w:r>
        <w:rPr>
          <w:rFonts w:ascii="Times New Roman" w:hAnsi="Times New Roman" w:cs="Times New Roman"/>
          <w:szCs w:val="32"/>
        </w:rPr>
        <w:t>等战新产业</w:t>
      </w:r>
      <w:r>
        <w:rPr>
          <w:rFonts w:hint="eastAsia" w:ascii="Times New Roman" w:hAnsi="Times New Roman" w:cs="Times New Roman"/>
          <w:szCs w:val="32"/>
        </w:rPr>
        <w:t>，以2020年为例，49家工业战新企业完成产值16</w:t>
      </w:r>
      <w:r>
        <w:rPr>
          <w:rFonts w:ascii="Times New Roman" w:hAnsi="Times New Roman" w:cs="Times New Roman"/>
          <w:szCs w:val="32"/>
        </w:rPr>
        <w:t>5.4</w:t>
      </w:r>
      <w:r>
        <w:rPr>
          <w:rFonts w:hint="eastAsia" w:ascii="Times New Roman" w:hAnsi="Times New Roman" w:cs="Times New Roman"/>
          <w:szCs w:val="32"/>
        </w:rPr>
        <w:t>亿元，占规上工业总量20.</w:t>
      </w:r>
      <w:r>
        <w:rPr>
          <w:rFonts w:ascii="Times New Roman" w:hAnsi="Times New Roman" w:cs="Times New Roman"/>
          <w:szCs w:val="32"/>
        </w:rPr>
        <w:t>1</w:t>
      </w:r>
      <w:r>
        <w:rPr>
          <w:rFonts w:hint="eastAsia" w:ascii="Times New Roman" w:hAnsi="Times New Roman" w:cs="Times New Roman"/>
          <w:szCs w:val="32"/>
        </w:rPr>
        <w:t>%；15家规上工业高技术企业完成产值37.</w:t>
      </w:r>
      <w:r>
        <w:rPr>
          <w:rFonts w:ascii="Times New Roman" w:hAnsi="Times New Roman" w:cs="Times New Roman"/>
          <w:szCs w:val="32"/>
        </w:rPr>
        <w:t>4</w:t>
      </w:r>
      <w:r>
        <w:rPr>
          <w:rFonts w:hint="eastAsia" w:ascii="Times New Roman" w:hAnsi="Times New Roman" w:cs="Times New Roman"/>
          <w:szCs w:val="32"/>
        </w:rPr>
        <w:t>亿元，占规上工业4.5%。</w:t>
      </w:r>
      <w:r>
        <w:rPr>
          <w:rFonts w:hint="eastAsia" w:ascii="Times New Roman" w:hAnsi="Times New Roman" w:cs="Times New Roman"/>
          <w:bCs/>
          <w:szCs w:val="32"/>
        </w:rPr>
        <w:t>工业战略性新兴产业、高技术产业（制造业）增加值占规上工业比重分别达到2</w:t>
      </w:r>
      <w:r>
        <w:rPr>
          <w:rFonts w:ascii="Times New Roman" w:hAnsi="Times New Roman" w:cs="Times New Roman"/>
          <w:bCs/>
          <w:szCs w:val="32"/>
        </w:rPr>
        <w:t>1.2%</w:t>
      </w:r>
      <w:r>
        <w:rPr>
          <w:rFonts w:hint="eastAsia" w:ascii="Times New Roman" w:hAnsi="Times New Roman" w:cs="Times New Roman"/>
          <w:bCs/>
          <w:szCs w:val="32"/>
        </w:rPr>
        <w:t>、</w:t>
      </w:r>
      <w:r>
        <w:rPr>
          <w:rFonts w:ascii="Times New Roman" w:hAnsi="Times New Roman" w:cs="Times New Roman"/>
          <w:bCs/>
          <w:szCs w:val="32"/>
        </w:rPr>
        <w:t>6.4%</w:t>
      </w:r>
      <w:r>
        <w:rPr>
          <w:rFonts w:hint="eastAsia" w:ascii="Times New Roman" w:hAnsi="Times New Roman" w:cs="Times New Roman"/>
          <w:bCs/>
          <w:szCs w:val="32"/>
        </w:rPr>
        <w:t>，</w:t>
      </w:r>
      <w:r>
        <w:rPr>
          <w:rFonts w:ascii="Times New Roman" w:hAnsi="Times New Roman" w:cs="Times New Roman"/>
          <w:bCs/>
          <w:szCs w:val="32"/>
        </w:rPr>
        <w:t>新旧动能转换明显加快</w:t>
      </w:r>
      <w:r>
        <w:rPr>
          <w:rFonts w:hint="eastAsia" w:ascii="Times New Roman" w:hAnsi="Times New Roman" w:cs="Times New Roman"/>
          <w:bCs/>
          <w:szCs w:val="32"/>
        </w:rPr>
        <w:t>。</w:t>
      </w:r>
      <w:r>
        <w:rPr>
          <w:rFonts w:hint="eastAsia" w:ascii="Times New Roman" w:hAnsi="Times New Roman" w:cs="Times New Roman"/>
          <w:bCs/>
        </w:rPr>
        <w:t>积极淘汰过剩和落后产能，天钢、钢管公司炼铁、炼钢产能压减至</w:t>
      </w:r>
      <w:r>
        <w:rPr>
          <w:rFonts w:ascii="Times New Roman" w:hAnsi="Times New Roman" w:cs="Times New Roman"/>
          <w:bCs/>
        </w:rPr>
        <w:t>533万吨/年、640万吨/年。</w:t>
      </w:r>
      <w:r>
        <w:rPr>
          <w:rFonts w:ascii="Times New Roman" w:hAnsi="Times New Roman" w:cs="Times New Roman"/>
          <w:szCs w:val="32"/>
        </w:rPr>
        <w:t>优质企业梯次培育成效显著，国家专</w:t>
      </w:r>
      <w:r>
        <w:rPr>
          <w:rFonts w:hint="eastAsia" w:ascii="Times New Roman" w:hAnsi="Times New Roman" w:cs="Times New Roman"/>
          <w:szCs w:val="32"/>
        </w:rPr>
        <w:t>精特新“小巨人”企业达到4家，</w:t>
      </w:r>
      <w:r>
        <w:rPr>
          <w:rFonts w:hint="eastAsia" w:ascii="仿宋_GB2312" w:hAnsi="Times New Roman" w:cs="Times New Roman"/>
          <w:szCs w:val="32"/>
        </w:rPr>
        <w:t>实现“小巨人”企业零的突破</w:t>
      </w:r>
      <w:r>
        <w:rPr>
          <w:rFonts w:hint="eastAsia" w:ascii="Times New Roman" w:hAnsi="Times New Roman" w:cs="Times New Roman"/>
          <w:szCs w:val="32"/>
        </w:rPr>
        <w:t>。企业创新主体地位进一步增强，国家级企业技术中心达到3家，比“十二五”末增加</w:t>
      </w:r>
      <w:r>
        <w:rPr>
          <w:rFonts w:ascii="Times New Roman" w:hAnsi="Times New Roman" w:cs="Times New Roman"/>
          <w:szCs w:val="32"/>
        </w:rPr>
        <w:t>2</w:t>
      </w:r>
      <w:r>
        <w:rPr>
          <w:rFonts w:hint="eastAsia" w:ascii="Times New Roman" w:hAnsi="Times New Roman" w:cs="Times New Roman"/>
          <w:szCs w:val="32"/>
        </w:rPr>
        <w:t>家；市级企业技术中心达到</w:t>
      </w:r>
      <w:r>
        <w:rPr>
          <w:rFonts w:ascii="Times New Roman" w:hAnsi="Times New Roman" w:cs="Times New Roman"/>
          <w:szCs w:val="32"/>
        </w:rPr>
        <w:t>35</w:t>
      </w:r>
      <w:r>
        <w:rPr>
          <w:rFonts w:hint="eastAsia" w:ascii="Times New Roman" w:hAnsi="Times New Roman" w:cs="Times New Roman"/>
          <w:szCs w:val="32"/>
        </w:rPr>
        <w:t>家，比“十二五”末增加</w:t>
      </w:r>
      <w:r>
        <w:rPr>
          <w:rFonts w:ascii="Times New Roman" w:hAnsi="Times New Roman" w:cs="Times New Roman"/>
          <w:szCs w:val="32"/>
        </w:rPr>
        <w:t>8家</w:t>
      </w:r>
      <w:r>
        <w:rPr>
          <w:rFonts w:hint="eastAsia" w:ascii="Times New Roman" w:hAnsi="Times New Roman" w:cs="Times New Roman"/>
          <w:szCs w:val="32"/>
        </w:rPr>
        <w:t>。国字号中字头工业企业推动作用明显，</w:t>
      </w:r>
      <w:r>
        <w:rPr>
          <w:rFonts w:ascii="Times New Roman" w:hAnsi="Times New Roman" w:cs="Times New Roman"/>
          <w:szCs w:val="32"/>
        </w:rPr>
        <w:t>国有及国有控股企业产值</w:t>
      </w:r>
      <w:r>
        <w:rPr>
          <w:rFonts w:hint="eastAsia" w:ascii="Times New Roman" w:hAnsi="Times New Roman" w:cs="Times New Roman"/>
          <w:szCs w:val="32"/>
        </w:rPr>
        <w:t>占规上工业58</w:t>
      </w:r>
      <w:r>
        <w:rPr>
          <w:rFonts w:ascii="Times New Roman" w:hAnsi="Times New Roman" w:cs="Times New Roman"/>
          <w:szCs w:val="32"/>
        </w:rPr>
        <w:t>.</w:t>
      </w:r>
      <w:r>
        <w:rPr>
          <w:rFonts w:hint="eastAsia" w:ascii="Times New Roman" w:hAnsi="Times New Roman" w:cs="Times New Roman"/>
          <w:szCs w:val="32"/>
        </w:rPr>
        <w:t>5%，其中，一重天津重工2020年实现产值48.6亿元，同比增长116%，中车唐车轨道车辆2020年实现产值6.4亿元，同比增长204%，</w:t>
      </w:r>
      <w:bookmarkEnd w:id="13"/>
      <w:r>
        <w:rPr>
          <w:rFonts w:hint="eastAsia" w:ascii="Times New Roman" w:hAnsi="Times New Roman" w:cs="Times New Roman"/>
          <w:szCs w:val="32"/>
        </w:rPr>
        <w:t>有力支撑了工业经济高质量发展。</w:t>
      </w:r>
      <w:bookmarkEnd w:id="14"/>
      <w:bookmarkEnd w:id="15"/>
      <w:bookmarkEnd w:id="16"/>
      <w:bookmarkEnd w:id="17"/>
      <w:bookmarkStart w:id="19" w:name="_Toc47557146"/>
      <w:bookmarkStart w:id="20" w:name="_Toc48837318"/>
    </w:p>
    <w:p>
      <w:pPr>
        <w:ind w:firstLine="642" w:firstLineChars="200"/>
        <w:textAlignment w:val="baseline"/>
        <w:rPr>
          <w:b/>
          <w:i/>
          <w:caps/>
        </w:rPr>
      </w:pPr>
      <w:bookmarkStart w:id="21" w:name="_Toc61343590"/>
      <w:bookmarkStart w:id="22" w:name="_Toc59728476"/>
      <w:bookmarkStart w:id="23" w:name="_Toc50133388"/>
      <w:r>
        <w:rPr>
          <w:rFonts w:ascii="Times New Roman" w:hAnsi="Times New Roman" w:cs="Times New Roman"/>
          <w:b/>
          <w:szCs w:val="32"/>
        </w:rPr>
        <w:t>3.</w:t>
      </w:r>
      <w:bookmarkStart w:id="24" w:name="_Hlk59722497"/>
      <w:r>
        <w:rPr>
          <w:rFonts w:hint="eastAsia" w:ascii="Times New Roman" w:hAnsi="Times New Roman" w:cs="Times New Roman"/>
          <w:b/>
          <w:szCs w:val="32"/>
        </w:rPr>
        <w:t>智能制造发展成效显著</w:t>
      </w:r>
      <w:bookmarkEnd w:id="24"/>
      <w:r>
        <w:rPr>
          <w:rFonts w:hint="eastAsia" w:ascii="Times New Roman" w:hAnsi="Times New Roman" w:cs="Times New Roman"/>
          <w:b/>
          <w:szCs w:val="32"/>
        </w:rPr>
        <w:t>。</w:t>
      </w:r>
      <w:r>
        <w:rPr>
          <w:rFonts w:hint="eastAsia" w:ascii="Times New Roman" w:hAnsi="Times New Roman" w:cs="Times New Roman"/>
          <w:szCs w:val="32"/>
        </w:rPr>
        <w:t>“十三五”时期，“两化融合”</w:t>
      </w:r>
      <w:r>
        <w:rPr>
          <w:rFonts w:ascii="Times New Roman" w:hAnsi="Times New Roman" w:cs="Times New Roman"/>
          <w:szCs w:val="32"/>
        </w:rPr>
        <w:t>进程不断加快</w:t>
      </w:r>
      <w:r>
        <w:rPr>
          <w:rFonts w:hint="eastAsia" w:ascii="Times New Roman" w:hAnsi="Times New Roman" w:cs="Times New Roman"/>
          <w:szCs w:val="32"/>
        </w:rPr>
        <w:t>，</w:t>
      </w:r>
      <w:r>
        <w:rPr>
          <w:rFonts w:ascii="Times New Roman" w:hAnsi="Times New Roman" w:cs="Times New Roman"/>
          <w:szCs w:val="32"/>
        </w:rPr>
        <w:t>企业数字化、网络化、智能化</w:t>
      </w:r>
      <w:r>
        <w:rPr>
          <w:rFonts w:hint="eastAsia" w:ascii="Times New Roman" w:hAnsi="Times New Roman" w:cs="Times New Roman"/>
          <w:szCs w:val="32"/>
        </w:rPr>
        <w:t>水平不断提升。截至2</w:t>
      </w:r>
      <w:r>
        <w:rPr>
          <w:rFonts w:ascii="Times New Roman" w:hAnsi="Times New Roman" w:cs="Times New Roman"/>
          <w:szCs w:val="32"/>
        </w:rPr>
        <w:t>020</w:t>
      </w:r>
      <w:r>
        <w:rPr>
          <w:rFonts w:hint="eastAsia" w:ascii="Times New Roman" w:hAnsi="Times New Roman" w:cs="Times New Roman"/>
          <w:szCs w:val="32"/>
        </w:rPr>
        <w:t>年底，海特传动、</w:t>
      </w:r>
      <w:r>
        <w:rPr>
          <w:rFonts w:hint="eastAsia" w:ascii="Times New Roman" w:hAnsi="Times New Roman" w:cs="Times New Roman"/>
          <w:bCs/>
          <w:szCs w:val="32"/>
        </w:rPr>
        <w:t>思特玻璃</w:t>
      </w:r>
      <w:r>
        <w:rPr>
          <w:rFonts w:hint="eastAsia" w:ascii="Times New Roman" w:hAnsi="Times New Roman" w:cs="Times New Roman"/>
          <w:szCs w:val="32"/>
        </w:rPr>
        <w:t>等</w:t>
      </w:r>
      <w:r>
        <w:rPr>
          <w:rFonts w:ascii="Times New Roman" w:hAnsi="Times New Roman" w:cs="Times New Roman"/>
          <w:szCs w:val="32"/>
        </w:rPr>
        <w:t>20家企业入选两化融合管理体系贯标试点企业</w:t>
      </w:r>
      <w:r>
        <w:rPr>
          <w:rFonts w:hint="eastAsia" w:ascii="Times New Roman" w:hAnsi="Times New Roman" w:cs="Times New Roman"/>
          <w:szCs w:val="32"/>
        </w:rPr>
        <w:t>名单，海尔、浪潮等工业互联网和工业云项目建设成效显著，</w:t>
      </w:r>
      <w:r>
        <w:rPr>
          <w:rFonts w:hint="eastAsia" w:ascii="Times New Roman" w:hAnsi="Times New Roman" w:cs="Times New Roman"/>
          <w:bCs/>
          <w:szCs w:val="32"/>
        </w:rPr>
        <w:t>上云企业数量累计突破100家，累计为</w:t>
      </w:r>
      <w:r>
        <w:rPr>
          <w:rFonts w:ascii="Times New Roman" w:hAnsi="Times New Roman" w:cs="Times New Roman"/>
          <w:bCs/>
          <w:szCs w:val="32"/>
        </w:rPr>
        <w:t>18</w:t>
      </w:r>
      <w:r>
        <w:rPr>
          <w:rFonts w:hint="eastAsia" w:ascii="Times New Roman" w:hAnsi="Times New Roman" w:cs="Times New Roman"/>
          <w:bCs/>
          <w:szCs w:val="32"/>
        </w:rPr>
        <w:t>家中小企业免费进行“数字体检”和评估评测</w:t>
      </w:r>
      <w:r>
        <w:rPr>
          <w:rFonts w:hint="eastAsia" w:ascii="Times New Roman" w:hAnsi="Times New Roman" w:cs="Times New Roman"/>
          <w:szCs w:val="32"/>
        </w:rPr>
        <w:t>。海尔依托COSMOPlat工业互联网平台，为奥瑞克、富士达等企业</w:t>
      </w:r>
      <w:r>
        <w:rPr>
          <w:rFonts w:ascii="Times New Roman" w:hAnsi="Times New Roman" w:cs="Times New Roman"/>
          <w:szCs w:val="32"/>
        </w:rPr>
        <w:t>提供智能</w:t>
      </w:r>
      <w:r>
        <w:rPr>
          <w:rFonts w:hint="eastAsia" w:ascii="Times New Roman" w:hAnsi="Times New Roman" w:cs="Times New Roman"/>
          <w:szCs w:val="32"/>
        </w:rPr>
        <w:t>制造咨询诊断、解决方案设计及系统集成服务，推动服装、机械、模具、材料、化工、医药等10余个行业企业转型升级。</w:t>
      </w:r>
      <w:r>
        <w:rPr>
          <w:rFonts w:hint="eastAsia" w:ascii="Times New Roman" w:hAnsi="Times New Roman" w:cs="Times New Roman"/>
          <w:bCs/>
        </w:rPr>
        <w:t>2</w:t>
      </w:r>
      <w:r>
        <w:rPr>
          <w:rFonts w:ascii="Times New Roman" w:hAnsi="Times New Roman" w:cs="Times New Roman"/>
          <w:bCs/>
        </w:rPr>
        <w:t>018</w:t>
      </w:r>
      <w:r>
        <w:rPr>
          <w:rFonts w:hint="eastAsia" w:ascii="Times New Roman" w:hAnsi="Times New Roman" w:cs="Times New Roman"/>
          <w:bCs/>
        </w:rPr>
        <w:t>-</w:t>
      </w:r>
      <w:r>
        <w:rPr>
          <w:rFonts w:ascii="Times New Roman" w:hAnsi="Times New Roman" w:cs="Times New Roman"/>
          <w:bCs/>
        </w:rPr>
        <w:t>2020</w:t>
      </w:r>
      <w:r>
        <w:rPr>
          <w:rFonts w:hint="eastAsia" w:ascii="Times New Roman" w:hAnsi="Times New Roman" w:cs="Times New Roman"/>
          <w:bCs/>
        </w:rPr>
        <w:t>年，全区</w:t>
      </w:r>
      <w:r>
        <w:rPr>
          <w:rFonts w:ascii="Times New Roman" w:hAnsi="Times New Roman" w:cs="Times New Roman"/>
          <w:bCs/>
        </w:rPr>
        <w:t>94</w:t>
      </w:r>
      <w:r>
        <w:rPr>
          <w:rFonts w:hint="eastAsia" w:ascii="Times New Roman" w:hAnsi="Times New Roman" w:cs="Times New Roman"/>
          <w:bCs/>
        </w:rPr>
        <w:t>个项目获得天津市智能制造专项资金支持1.36亿元，拉动企业智能化投资42亿元，形成了1:31的扩大效应。</w:t>
      </w:r>
      <w:r>
        <w:rPr>
          <w:rFonts w:hint="eastAsia" w:ascii="Times New Roman" w:hAnsi="Times New Roman" w:cs="Times New Roman"/>
          <w:szCs w:val="32"/>
        </w:rPr>
        <w:t>智能科技产业</w:t>
      </w:r>
      <w:r>
        <w:rPr>
          <w:rFonts w:ascii="Times New Roman" w:hAnsi="Times New Roman" w:cs="Times New Roman"/>
          <w:szCs w:val="32"/>
        </w:rPr>
        <w:t>加快集聚，浪潮北方总部</w:t>
      </w:r>
      <w:r>
        <w:rPr>
          <w:rFonts w:hint="eastAsia" w:ascii="Times New Roman" w:hAnsi="Times New Roman" w:cs="Times New Roman"/>
          <w:szCs w:val="32"/>
        </w:rPr>
        <w:t>、智能制造小镇等一批重点项目加速落地，中电华利、富士达等一批重点企业实现研发设计、生产制造、售后服务等领域</w:t>
      </w:r>
      <w:r>
        <w:rPr>
          <w:rFonts w:ascii="Times New Roman" w:hAnsi="Times New Roman" w:cs="Times New Roman"/>
          <w:szCs w:val="32"/>
        </w:rPr>
        <w:t>智能化</w:t>
      </w:r>
      <w:r>
        <w:rPr>
          <w:rFonts w:hint="eastAsia" w:ascii="Times New Roman" w:hAnsi="Times New Roman" w:cs="Times New Roman"/>
          <w:szCs w:val="32"/>
        </w:rPr>
        <w:t>转型升级。</w:t>
      </w:r>
      <w:r>
        <w:rPr>
          <w:rFonts w:hint="eastAsia" w:ascii="Times New Roman" w:hAnsi="Times New Roman" w:cs="Times New Roman"/>
          <w:bCs/>
        </w:rPr>
        <w:t>成功举办四届</w:t>
      </w:r>
      <w:r>
        <w:rPr>
          <w:rFonts w:ascii="Times New Roman" w:hAnsi="Times New Roman" w:cs="Times New Roman"/>
          <w:bCs/>
        </w:rPr>
        <w:t>世界智能驾驶挑战赛</w:t>
      </w:r>
      <w:r>
        <w:rPr>
          <w:rFonts w:hint="eastAsia" w:ascii="Times New Roman" w:hAnsi="Times New Roman" w:cs="Times New Roman"/>
          <w:bCs/>
        </w:rPr>
        <w:t>，</w:t>
      </w:r>
      <w:r>
        <w:rPr>
          <w:rFonts w:ascii="Times New Roman" w:hAnsi="Times New Roman" w:cs="Times New Roman"/>
          <w:bCs/>
        </w:rPr>
        <w:t>开通全长5.35公里智能网联汽车测试开放道路，</w:t>
      </w:r>
      <w:r>
        <w:rPr>
          <w:rFonts w:hint="eastAsia" w:ascii="Times New Roman" w:hAnsi="Times New Roman" w:cs="Times New Roman"/>
          <w:bCs/>
        </w:rPr>
        <w:t>国内首台示范运营的全自动驾驶园区通勤车已投入使用，全国首个真实道路环境下的智能网联汽车及智能交通技术认证、示范应用和公众体验基地加速成型。</w:t>
      </w:r>
      <w:r>
        <w:rPr>
          <w:rFonts w:hint="eastAsia" w:ascii="Times New Roman" w:hAnsi="Times New Roman" w:cs="Times New Roman"/>
          <w:szCs w:val="32"/>
        </w:rPr>
        <w:t>累计建成</w:t>
      </w:r>
      <w:r>
        <w:rPr>
          <w:rFonts w:ascii="Times New Roman" w:hAnsi="Times New Roman" w:cs="Times New Roman"/>
          <w:szCs w:val="32"/>
        </w:rPr>
        <w:t>2122个5G基站</w:t>
      </w:r>
      <w:r>
        <w:rPr>
          <w:rFonts w:hint="eastAsia" w:ascii="Times New Roman" w:hAnsi="Times New Roman" w:cs="Times New Roman"/>
          <w:szCs w:val="32"/>
        </w:rPr>
        <w:t>，</w:t>
      </w:r>
      <w:r>
        <w:rPr>
          <w:rFonts w:ascii="Times New Roman" w:hAnsi="Times New Roman" w:cs="Times New Roman"/>
          <w:szCs w:val="32"/>
        </w:rPr>
        <w:t>完成中汽中心、中安华典、</w:t>
      </w:r>
      <w:r>
        <w:rPr>
          <w:rFonts w:hint="eastAsia" w:ascii="Times New Roman" w:hAnsi="Times New Roman" w:cs="Times New Roman"/>
          <w:szCs w:val="32"/>
        </w:rPr>
        <w:t>天安象屿智慧城、海尔</w:t>
      </w:r>
      <w:r>
        <w:rPr>
          <w:rFonts w:ascii="Times New Roman" w:hAnsi="Times New Roman" w:cs="Times New Roman"/>
          <w:szCs w:val="32"/>
        </w:rPr>
        <w:t>4个5G应用场景建设</w:t>
      </w:r>
      <w:r>
        <w:rPr>
          <w:rFonts w:hint="eastAsia" w:ascii="Times New Roman" w:hAnsi="Times New Roman" w:cs="Times New Roman"/>
          <w:szCs w:val="32"/>
        </w:rPr>
        <w:t>，开放融合、创新发展的产业生态体系日益完善。</w:t>
      </w:r>
      <w:bookmarkEnd w:id="21"/>
      <w:bookmarkEnd w:id="22"/>
    </w:p>
    <w:bookmarkEnd w:id="19"/>
    <w:bookmarkEnd w:id="20"/>
    <w:bookmarkEnd w:id="23"/>
    <w:p>
      <w:pPr>
        <w:ind w:firstLine="642" w:firstLineChars="200"/>
        <w:textAlignment w:val="baseline"/>
        <w:rPr>
          <w:b/>
          <w:i/>
          <w:caps/>
        </w:rPr>
      </w:pPr>
      <w:bookmarkStart w:id="25" w:name="_Toc61343591"/>
      <w:bookmarkStart w:id="26" w:name="_Toc59728477"/>
      <w:bookmarkStart w:id="27" w:name="_Toc50133389"/>
      <w:bookmarkStart w:id="28" w:name="_Toc48837319"/>
      <w:bookmarkStart w:id="29" w:name="_Toc47557147"/>
      <w:r>
        <w:rPr>
          <w:rFonts w:ascii="Times New Roman" w:hAnsi="Times New Roman" w:cs="Times New Roman"/>
          <w:b/>
          <w:szCs w:val="32"/>
        </w:rPr>
        <w:t>4.</w:t>
      </w:r>
      <w:bookmarkStart w:id="30" w:name="_Hlk59722504"/>
      <w:r>
        <w:rPr>
          <w:rFonts w:ascii="Times New Roman" w:hAnsi="Times New Roman" w:cs="Times New Roman"/>
          <w:b/>
          <w:szCs w:val="32"/>
        </w:rPr>
        <w:t>园区</w:t>
      </w:r>
      <w:r>
        <w:rPr>
          <w:rFonts w:hint="eastAsia" w:ascii="Times New Roman" w:hAnsi="Times New Roman" w:cs="Times New Roman"/>
          <w:b/>
          <w:szCs w:val="32"/>
        </w:rPr>
        <w:t>集聚效应日益凸显</w:t>
      </w:r>
      <w:bookmarkEnd w:id="30"/>
      <w:r>
        <w:rPr>
          <w:rFonts w:hint="eastAsia" w:ascii="Times New Roman" w:hAnsi="Times New Roman" w:cs="Times New Roman"/>
          <w:b/>
          <w:szCs w:val="32"/>
        </w:rPr>
        <w:t>。</w:t>
      </w:r>
      <w:r>
        <w:rPr>
          <w:rFonts w:hint="eastAsia" w:ascii="Times New Roman" w:hAnsi="Times New Roman" w:cs="Times New Roman"/>
          <w:bCs/>
          <w:szCs w:val="32"/>
        </w:rPr>
        <w:t>“十三五”时期，东丽经开区、华明高新区等产业园区紧抓京津冀协同机遇，推动优质项目落地产出，地区生产总值均突破百亿元大关，对全区经济贡献日益突出，地位和作用明显增强。</w:t>
      </w:r>
      <w:r>
        <w:rPr>
          <w:rFonts w:ascii="Times New Roman" w:hAnsi="Times New Roman" w:cs="Times New Roman"/>
          <w:bCs/>
          <w:szCs w:val="32"/>
        </w:rPr>
        <w:t>2020</w:t>
      </w:r>
      <w:r>
        <w:rPr>
          <w:rFonts w:hint="eastAsia" w:ascii="Times New Roman" w:hAnsi="Times New Roman" w:cs="Times New Roman"/>
          <w:bCs/>
          <w:szCs w:val="32"/>
        </w:rPr>
        <w:t>年，园区规上工业总产值</w:t>
      </w:r>
      <w:r>
        <w:rPr>
          <w:rFonts w:ascii="Times New Roman" w:hAnsi="Times New Roman" w:cs="Times New Roman"/>
          <w:bCs/>
          <w:szCs w:val="32"/>
        </w:rPr>
        <w:t>664.1</w:t>
      </w:r>
      <w:r>
        <w:rPr>
          <w:rFonts w:hint="eastAsia" w:ascii="Times New Roman" w:hAnsi="Times New Roman" w:cs="Times New Roman"/>
          <w:bCs/>
          <w:szCs w:val="32"/>
        </w:rPr>
        <w:t>亿元，占全区比重的</w:t>
      </w:r>
      <w:r>
        <w:rPr>
          <w:rFonts w:ascii="Times New Roman" w:hAnsi="Times New Roman" w:cs="Times New Roman"/>
          <w:bCs/>
          <w:szCs w:val="32"/>
        </w:rPr>
        <w:t>77.0%</w:t>
      </w:r>
      <w:r>
        <w:rPr>
          <w:rFonts w:hint="eastAsia" w:ascii="Times New Roman" w:hAnsi="Times New Roman" w:cs="Times New Roman"/>
          <w:bCs/>
          <w:szCs w:val="32"/>
        </w:rPr>
        <w:t>；规上工业企业数量</w:t>
      </w:r>
      <w:r>
        <w:rPr>
          <w:rFonts w:ascii="Times New Roman" w:hAnsi="Times New Roman" w:cs="Times New Roman"/>
          <w:bCs/>
          <w:szCs w:val="32"/>
        </w:rPr>
        <w:t>148</w:t>
      </w:r>
      <w:r>
        <w:rPr>
          <w:rFonts w:hint="eastAsia" w:ascii="Times New Roman" w:hAnsi="Times New Roman" w:cs="Times New Roman"/>
          <w:bCs/>
          <w:szCs w:val="32"/>
        </w:rPr>
        <w:t>家，占全区比重的</w:t>
      </w:r>
      <w:r>
        <w:rPr>
          <w:rFonts w:ascii="Times New Roman" w:hAnsi="Times New Roman" w:cs="Times New Roman"/>
          <w:bCs/>
          <w:szCs w:val="32"/>
        </w:rPr>
        <w:t>75.1%</w:t>
      </w:r>
      <w:r>
        <w:rPr>
          <w:rFonts w:hint="eastAsia" w:ascii="Times New Roman" w:hAnsi="Times New Roman" w:cs="Times New Roman"/>
          <w:bCs/>
          <w:szCs w:val="32"/>
        </w:rPr>
        <w:t>。产业定位更加明晰，</w:t>
      </w:r>
      <w:bookmarkStart w:id="31" w:name="_Hlk64903249"/>
      <w:r>
        <w:rPr>
          <w:rFonts w:hint="eastAsia" w:ascii="Times New Roman" w:hAnsi="Times New Roman" w:cs="Times New Roman"/>
          <w:bCs/>
          <w:szCs w:val="32"/>
        </w:rPr>
        <w:t>东丽经开区完成“一区多园”管理模式改革，</w:t>
      </w:r>
      <w:bookmarkEnd w:id="31"/>
      <w:bookmarkStart w:id="32" w:name="_Hlk64903280"/>
      <w:r>
        <w:rPr>
          <w:rFonts w:hint="eastAsia" w:ascii="Times New Roman" w:hAnsi="Times New Roman" w:cs="Times New Roman"/>
          <w:bCs/>
          <w:szCs w:val="32"/>
        </w:rPr>
        <w:t>全面推行“小管委会、大运营公司”运营模式，</w:t>
      </w:r>
      <w:bookmarkEnd w:id="32"/>
      <w:r>
        <w:rPr>
          <w:rFonts w:hint="eastAsia" w:ascii="Times New Roman" w:hAnsi="Times New Roman" w:cs="Times New Roman"/>
          <w:bCs/>
          <w:szCs w:val="32"/>
        </w:rPr>
        <w:t>明确经开区核心区重点发展智能汽车及零部件、医疗器械、新材料及高端服务业，北区重点发展新经济相关轻工业和服务业，东区重点发展战略性装备制造业；华明高新区高新技术产业格局初步形成，高端装备制造、生物医药、新能源新材料等产业体系基本成型，先后获批智能智造小镇、知识产权小镇等称号</w:t>
      </w:r>
      <w:bookmarkStart w:id="33" w:name="_Hlk64903374"/>
      <w:r>
        <w:rPr>
          <w:rFonts w:hint="eastAsia" w:ascii="Times New Roman" w:hAnsi="Times New Roman" w:cs="Times New Roman"/>
          <w:bCs/>
          <w:szCs w:val="32"/>
        </w:rPr>
        <w:t>。</w:t>
      </w:r>
      <w:bookmarkEnd w:id="33"/>
      <w:r>
        <w:rPr>
          <w:rFonts w:hint="eastAsia" w:ascii="Times New Roman" w:hAnsi="Times New Roman" w:cs="Times New Roman"/>
          <w:bCs/>
          <w:szCs w:val="32"/>
        </w:rPr>
        <w:t>基础设施建设日益完善，电力设施、</w:t>
      </w:r>
      <w:r>
        <w:rPr>
          <w:rFonts w:ascii="Times New Roman" w:hAnsi="Times New Roman" w:cs="Times New Roman"/>
          <w:bCs/>
          <w:szCs w:val="32"/>
        </w:rPr>
        <w:t>管网改造、网络通信</w:t>
      </w:r>
      <w:r>
        <w:rPr>
          <w:rFonts w:hint="eastAsia" w:ascii="Times New Roman" w:hAnsi="Times New Roman" w:cs="Times New Roman"/>
          <w:bCs/>
          <w:szCs w:val="32"/>
        </w:rPr>
        <w:t>等硬件设施配套齐全，</w:t>
      </w:r>
      <w:r>
        <w:rPr>
          <w:rFonts w:ascii="Times New Roman" w:hAnsi="Times New Roman" w:cs="Times New Roman"/>
          <w:bCs/>
          <w:szCs w:val="32"/>
        </w:rPr>
        <w:t>综合承载能力不断提升，</w:t>
      </w:r>
      <w:r>
        <w:rPr>
          <w:rFonts w:hint="eastAsia" w:ascii="Times New Roman" w:hAnsi="Times New Roman" w:cs="Times New Roman"/>
          <w:bCs/>
          <w:szCs w:val="32"/>
        </w:rPr>
        <w:t>园区已成为吸引国内外投资、促进产业转型升级的坚实平台。</w:t>
      </w:r>
      <w:bookmarkEnd w:id="25"/>
      <w:bookmarkEnd w:id="26"/>
      <w:r>
        <w:rPr>
          <w:rFonts w:hint="eastAsia" w:ascii="Times New Roman" w:hAnsi="Times New Roman" w:cs="Times New Roman"/>
          <w:bCs/>
          <w:szCs w:val="32"/>
        </w:rPr>
        <w:t>园区围城治理取得显著进展。截至</w:t>
      </w:r>
      <w:r>
        <w:rPr>
          <w:rFonts w:ascii="Times New Roman" w:hAnsi="Times New Roman" w:cs="Times New Roman"/>
          <w:bCs/>
          <w:szCs w:val="32"/>
        </w:rPr>
        <w:t>2020</w:t>
      </w:r>
      <w:r>
        <w:rPr>
          <w:rFonts w:hint="eastAsia" w:ascii="Times New Roman" w:hAnsi="Times New Roman" w:cs="Times New Roman"/>
          <w:bCs/>
          <w:szCs w:val="32"/>
        </w:rPr>
        <w:t>年底，全面完成</w:t>
      </w:r>
      <w:r>
        <w:rPr>
          <w:rFonts w:ascii="Times New Roman" w:hAnsi="Times New Roman" w:cs="Times New Roman"/>
          <w:bCs/>
          <w:szCs w:val="32"/>
        </w:rPr>
        <w:t>36</w:t>
      </w:r>
      <w:r>
        <w:rPr>
          <w:rFonts w:hint="eastAsia" w:ascii="Times New Roman" w:hAnsi="Times New Roman" w:cs="Times New Roman"/>
          <w:bCs/>
          <w:szCs w:val="32"/>
        </w:rPr>
        <w:t>个工业园区（集聚区）治理工作，在全市率先完成</w:t>
      </w:r>
      <w:r>
        <w:rPr>
          <w:rFonts w:ascii="Times New Roman" w:hAnsi="Times New Roman" w:cs="Times New Roman"/>
          <w:bCs/>
          <w:szCs w:val="32"/>
        </w:rPr>
        <w:t>3</w:t>
      </w:r>
      <w:r>
        <w:rPr>
          <w:rFonts w:hint="eastAsia" w:ascii="Times New Roman" w:hAnsi="Times New Roman" w:cs="Times New Roman"/>
          <w:bCs/>
          <w:szCs w:val="32"/>
        </w:rPr>
        <w:t>年治理任务，工业高质量发展的载体支撑能力进一步提升。</w:t>
      </w:r>
    </w:p>
    <w:bookmarkEnd w:id="27"/>
    <w:bookmarkEnd w:id="28"/>
    <w:bookmarkEnd w:id="29"/>
    <w:p>
      <w:pPr>
        <w:ind w:firstLine="642" w:firstLineChars="200"/>
        <w:textAlignment w:val="baseline"/>
        <w:rPr>
          <w:rFonts w:ascii="Times New Roman" w:hAnsi="Times New Roman" w:cs="Times New Roman"/>
          <w:bCs/>
          <w:sz w:val="20"/>
          <w:szCs w:val="32"/>
        </w:rPr>
      </w:pPr>
      <w:bookmarkStart w:id="34" w:name="_Toc61343592"/>
      <w:bookmarkStart w:id="35" w:name="_Toc59728478"/>
      <w:bookmarkStart w:id="36" w:name="_Toc50133390"/>
      <w:bookmarkStart w:id="37" w:name="_Toc47557148"/>
      <w:bookmarkStart w:id="38" w:name="_Toc48837320"/>
      <w:r>
        <w:rPr>
          <w:rFonts w:ascii="Times New Roman" w:hAnsi="Times New Roman" w:cs="Times New Roman"/>
          <w:b/>
          <w:szCs w:val="32"/>
        </w:rPr>
        <w:t>5</w:t>
      </w:r>
      <w:r>
        <w:rPr>
          <w:rFonts w:hint="eastAsia" w:ascii="Times New Roman" w:hAnsi="Times New Roman" w:cs="Times New Roman"/>
          <w:b/>
          <w:szCs w:val="32"/>
        </w:rPr>
        <w:t>.</w:t>
      </w:r>
      <w:bookmarkStart w:id="39" w:name="_Hlk59722509"/>
      <w:r>
        <w:rPr>
          <w:rFonts w:hint="eastAsia" w:ascii="Times New Roman" w:hAnsi="Times New Roman" w:cs="Times New Roman"/>
          <w:b/>
          <w:szCs w:val="32"/>
        </w:rPr>
        <w:t>绿色发展取得积极成效</w:t>
      </w:r>
      <w:bookmarkEnd w:id="39"/>
      <w:r>
        <w:rPr>
          <w:rFonts w:hint="eastAsia" w:ascii="Times New Roman" w:hAnsi="Times New Roman" w:cs="Times New Roman"/>
          <w:b/>
          <w:szCs w:val="32"/>
        </w:rPr>
        <w:t>。</w:t>
      </w:r>
      <w:r>
        <w:rPr>
          <w:rFonts w:hint="eastAsia" w:ascii="Times New Roman" w:hAnsi="Times New Roman" w:cs="Times New Roman"/>
          <w:bCs/>
          <w:szCs w:val="32"/>
        </w:rPr>
        <w:t>“十三五”时期，全区严格落实</w:t>
      </w:r>
      <w:r>
        <w:rPr>
          <w:rFonts w:ascii="Times New Roman" w:hAnsi="Times New Roman" w:cs="Times New Roman"/>
          <w:bCs/>
          <w:szCs w:val="32"/>
        </w:rPr>
        <w:t>《东</w:t>
      </w:r>
      <w:r>
        <w:rPr>
          <w:rFonts w:hint="eastAsia" w:ascii="Times New Roman" w:hAnsi="Times New Roman" w:cs="Times New Roman"/>
          <w:bCs/>
          <w:szCs w:val="32"/>
        </w:rPr>
        <w:t>丽区“十三五”节能行动</w:t>
      </w:r>
      <w:r>
        <w:rPr>
          <w:rFonts w:ascii="Times New Roman" w:hAnsi="Times New Roman" w:cs="Times New Roman"/>
          <w:bCs/>
          <w:szCs w:val="32"/>
        </w:rPr>
        <w:t>实施方案》</w:t>
      </w:r>
      <w:r>
        <w:rPr>
          <w:rFonts w:hint="eastAsia" w:ascii="Times New Roman" w:hAnsi="Times New Roman" w:cs="Times New Roman"/>
          <w:bCs/>
          <w:szCs w:val="32"/>
        </w:rPr>
        <w:t>等政策文件要求，积极推动</w:t>
      </w:r>
      <w:r>
        <w:rPr>
          <w:rFonts w:ascii="Times New Roman" w:hAnsi="Times New Roman" w:cs="Times New Roman"/>
          <w:bCs/>
          <w:szCs w:val="32"/>
        </w:rPr>
        <w:t>资源节约高效利用</w:t>
      </w:r>
      <w:r>
        <w:rPr>
          <w:rFonts w:hint="eastAsia" w:ascii="Times New Roman" w:hAnsi="Times New Roman" w:cs="Times New Roman"/>
          <w:bCs/>
          <w:szCs w:val="32"/>
        </w:rPr>
        <w:t>，</w:t>
      </w:r>
      <w:r>
        <w:rPr>
          <w:rFonts w:hint="eastAsia" w:ascii="Times New Roman" w:hAnsi="Times New Roman" w:cs="Times New Roman"/>
          <w:szCs w:val="32"/>
        </w:rPr>
        <w:t>节能降耗工作成效显著。截至2</w:t>
      </w:r>
      <w:r>
        <w:rPr>
          <w:rFonts w:ascii="Times New Roman" w:hAnsi="Times New Roman" w:cs="Times New Roman"/>
          <w:szCs w:val="32"/>
        </w:rPr>
        <w:t>020</w:t>
      </w:r>
      <w:r>
        <w:rPr>
          <w:rFonts w:hint="eastAsia" w:ascii="Times New Roman" w:hAnsi="Times New Roman" w:cs="Times New Roman"/>
          <w:szCs w:val="32"/>
        </w:rPr>
        <w:t>年底，</w:t>
      </w:r>
      <w:r>
        <w:rPr>
          <w:rFonts w:hint="eastAsia" w:ascii="Times New Roman" w:hAnsi="Times New Roman" w:cs="Times New Roman"/>
          <w:bCs/>
          <w:szCs w:val="32"/>
        </w:rPr>
        <w:t>全区万元GDP能耗强度比“十二五”末累计下降22%。</w:t>
      </w:r>
      <w:r>
        <w:rPr>
          <w:rFonts w:hint="eastAsia" w:ascii="Times New Roman" w:hAnsi="Times New Roman" w:cs="Times New Roman"/>
          <w:szCs w:val="32"/>
        </w:rPr>
        <w:t>重点企业节能降耗和清洁生产成效突出，天铁炼焦通过“干法熄焦”改造每年减少</w:t>
      </w:r>
      <w:r>
        <w:rPr>
          <w:rFonts w:ascii="Times New Roman" w:hAnsi="Times New Roman" w:cs="Times New Roman"/>
          <w:szCs w:val="32"/>
        </w:rPr>
        <w:t>135吨二氧化硫、155吨粉尘</w:t>
      </w:r>
      <w:r>
        <w:rPr>
          <w:rFonts w:hint="eastAsia" w:ascii="Times New Roman" w:hAnsi="Times New Roman" w:cs="Times New Roman"/>
          <w:szCs w:val="32"/>
        </w:rPr>
        <w:t>、</w:t>
      </w:r>
      <w:r>
        <w:rPr>
          <w:rFonts w:ascii="Times New Roman" w:hAnsi="Times New Roman" w:cs="Times New Roman"/>
          <w:szCs w:val="32"/>
        </w:rPr>
        <w:t>50吨氨气、116吨酚</w:t>
      </w:r>
      <w:r>
        <w:rPr>
          <w:rFonts w:hint="eastAsia" w:ascii="Times New Roman" w:hAnsi="Times New Roman" w:cs="Times New Roman"/>
          <w:szCs w:val="32"/>
        </w:rPr>
        <w:t>等有害气体排放，节约</w:t>
      </w:r>
      <w:r>
        <w:rPr>
          <w:rFonts w:ascii="Times New Roman" w:hAnsi="Times New Roman" w:cs="Times New Roman"/>
          <w:szCs w:val="32"/>
        </w:rPr>
        <w:t>1.9万吨焦炭、50万吨中水，</w:t>
      </w:r>
      <w:r>
        <w:rPr>
          <w:rFonts w:hint="eastAsia" w:ascii="Times New Roman" w:hAnsi="Times New Roman" w:cs="Times New Roman"/>
          <w:szCs w:val="32"/>
        </w:rPr>
        <w:t>并可提供</w:t>
      </w:r>
      <w:r>
        <w:rPr>
          <w:rFonts w:ascii="Times New Roman" w:hAnsi="Times New Roman" w:cs="Times New Roman"/>
          <w:szCs w:val="32"/>
        </w:rPr>
        <w:t>16.5万吨低压蒸汽</w:t>
      </w:r>
      <w:r>
        <w:rPr>
          <w:rFonts w:hint="eastAsia" w:ascii="Times New Roman" w:hAnsi="Times New Roman" w:cs="Times New Roman"/>
          <w:szCs w:val="32"/>
        </w:rPr>
        <w:t>和1</w:t>
      </w:r>
      <w:r>
        <w:rPr>
          <w:rFonts w:ascii="Times New Roman" w:hAnsi="Times New Roman" w:cs="Times New Roman"/>
          <w:szCs w:val="32"/>
        </w:rPr>
        <w:t>.23</w:t>
      </w:r>
      <w:r>
        <w:rPr>
          <w:rFonts w:hint="eastAsia" w:ascii="Times New Roman" w:hAnsi="Times New Roman" w:cs="Times New Roman"/>
          <w:szCs w:val="32"/>
        </w:rPr>
        <w:t>亿</w:t>
      </w:r>
      <w:r>
        <w:rPr>
          <w:rFonts w:ascii="Times New Roman" w:hAnsi="Times New Roman" w:cs="Times New Roman"/>
          <w:szCs w:val="32"/>
        </w:rPr>
        <w:t>度电</w:t>
      </w:r>
      <w:r>
        <w:rPr>
          <w:rFonts w:hint="eastAsia" w:ascii="Times New Roman" w:hAnsi="Times New Roman" w:cs="Times New Roman"/>
          <w:szCs w:val="32"/>
        </w:rPr>
        <w:t>。累计创建天钢、金桥焊材、</w:t>
      </w:r>
      <w:r>
        <w:rPr>
          <w:rFonts w:ascii="Times New Roman" w:hAnsi="Times New Roman" w:cs="Times New Roman"/>
          <w:szCs w:val="32"/>
        </w:rPr>
        <w:t>精达里亚3家国家级绿色工厂</w:t>
      </w:r>
      <w:r>
        <w:rPr>
          <w:rFonts w:hint="eastAsia" w:ascii="Times New Roman" w:hAnsi="Times New Roman" w:cs="Times New Roman"/>
          <w:szCs w:val="32"/>
        </w:rPr>
        <w:t>和永昌焊丝、</w:t>
      </w:r>
      <w:r>
        <w:rPr>
          <w:rFonts w:ascii="Times New Roman" w:hAnsi="Times New Roman" w:cs="Times New Roman"/>
          <w:szCs w:val="32"/>
        </w:rPr>
        <w:t>海顺印业</w:t>
      </w:r>
      <w:r>
        <w:rPr>
          <w:rFonts w:hint="eastAsia" w:ascii="Times New Roman" w:hAnsi="Times New Roman" w:cs="Times New Roman"/>
          <w:szCs w:val="32"/>
        </w:rPr>
        <w:t>等</w:t>
      </w:r>
      <w:r>
        <w:rPr>
          <w:rFonts w:ascii="Times New Roman" w:hAnsi="Times New Roman" w:cs="Times New Roman"/>
          <w:szCs w:val="32"/>
        </w:rPr>
        <w:t>11家市级绿色工厂</w:t>
      </w:r>
      <w:r>
        <w:rPr>
          <w:rFonts w:hint="eastAsia" w:ascii="Times New Roman" w:hAnsi="Times New Roman" w:cs="Times New Roman"/>
          <w:szCs w:val="32"/>
        </w:rPr>
        <w:t>。</w:t>
      </w:r>
      <w:r>
        <w:rPr>
          <w:rFonts w:ascii="Times New Roman" w:hAnsi="Times New Roman" w:cs="Times New Roman"/>
          <w:szCs w:val="32"/>
        </w:rPr>
        <w:t>新能源汽车推广工作取得显著成效</w:t>
      </w:r>
      <w:r>
        <w:rPr>
          <w:rFonts w:hint="eastAsia" w:ascii="Times New Roman" w:hAnsi="Times New Roman" w:cs="Times New Roman"/>
          <w:szCs w:val="32"/>
        </w:rPr>
        <w:t>，购置更新公交车全部选用新能源汽车，新能源汽车占营运车辆数量比重达到100%。充电基础设施建设稳步推进，全区有24处公交首末站安装充电设施达207个，满足54条运营线路959部新能源汽车的充电需求。</w:t>
      </w:r>
      <w:bookmarkEnd w:id="34"/>
      <w:bookmarkEnd w:id="35"/>
    </w:p>
    <w:bookmarkEnd w:id="36"/>
    <w:bookmarkEnd w:id="37"/>
    <w:bookmarkEnd w:id="38"/>
    <w:p>
      <w:pPr>
        <w:ind w:firstLine="640" w:firstLineChars="200"/>
        <w:textAlignment w:val="baseline"/>
        <w:rPr>
          <w:b/>
          <w:i/>
          <w:caps/>
        </w:rPr>
      </w:pPr>
      <w:bookmarkStart w:id="40" w:name="_Hlk59722574"/>
      <w:r>
        <w:rPr>
          <w:rFonts w:hint="eastAsia" w:ascii="Times New Roman" w:hAnsi="Times New Roman" w:cs="Times New Roman"/>
          <w:szCs w:val="32"/>
        </w:rPr>
        <w:t>在看到成绩的同时</w:t>
      </w:r>
      <w:r>
        <w:rPr>
          <w:rFonts w:hint="eastAsia" w:ascii="Times New Roman" w:hAnsi="Times New Roman" w:cs="Times New Roman"/>
          <w:b/>
          <w:bCs/>
          <w:szCs w:val="32"/>
        </w:rPr>
        <w:t>，</w:t>
      </w:r>
      <w:r>
        <w:rPr>
          <w:rFonts w:hint="eastAsia" w:ascii="Times New Roman" w:hAnsi="Times New Roman" w:cs="Times New Roman"/>
          <w:szCs w:val="32"/>
        </w:rPr>
        <w:t>也要看到工业发展还存在着一些深层次的问题和矛盾，</w:t>
      </w:r>
      <w:r>
        <w:rPr>
          <w:rFonts w:hint="eastAsia" w:ascii="Times New Roman" w:hAnsi="Times New Roman" w:cs="Times New Roman"/>
          <w:b/>
          <w:bCs/>
          <w:szCs w:val="32"/>
        </w:rPr>
        <w:t>主要表现在：一是</w:t>
      </w:r>
      <w:r>
        <w:rPr>
          <w:rFonts w:ascii="Times New Roman" w:hAnsi="Times New Roman" w:cs="Times New Roman"/>
          <w:b/>
          <w:szCs w:val="32"/>
        </w:rPr>
        <w:t>工业经济体量偏小，</w:t>
      </w:r>
      <w:r>
        <w:rPr>
          <w:rFonts w:hint="eastAsia" w:ascii="Times New Roman" w:hAnsi="Times New Roman" w:cs="Times New Roman"/>
          <w:b/>
          <w:szCs w:val="32"/>
        </w:rPr>
        <w:t>新旧动能转换不畅。</w:t>
      </w:r>
      <w:r>
        <w:rPr>
          <w:rFonts w:ascii="Times New Roman" w:hAnsi="Times New Roman" w:cs="Times New Roman"/>
        </w:rPr>
        <w:t>2020年</w:t>
      </w:r>
      <w:r>
        <w:rPr>
          <w:rFonts w:hint="eastAsia" w:ascii="Times New Roman" w:hAnsi="Times New Roman" w:cs="Times New Roman"/>
        </w:rPr>
        <w:t>，全区规上</w:t>
      </w:r>
      <w:r>
        <w:rPr>
          <w:rFonts w:ascii="Times New Roman" w:hAnsi="Times New Roman" w:cs="Times New Roman"/>
        </w:rPr>
        <w:t>工业增加值率22.6%，</w:t>
      </w:r>
      <w:r>
        <w:rPr>
          <w:rFonts w:hint="eastAsia" w:ascii="Times New Roman" w:hAnsi="Times New Roman" w:cs="Times New Roman"/>
        </w:rPr>
        <w:t>与全市平均水平相比仍有较大差距。新动能尚在加速培育，难以弥补传统动能下降形成的缺口。</w:t>
      </w:r>
      <w:r>
        <w:rPr>
          <w:rFonts w:hint="eastAsia" w:ascii="Times New Roman" w:hAnsi="Times New Roman" w:cs="Times New Roman"/>
          <w:b/>
          <w:bCs/>
        </w:rPr>
        <w:t>二是</w:t>
      </w:r>
      <w:r>
        <w:rPr>
          <w:rFonts w:hint="eastAsia" w:ascii="Times New Roman" w:hAnsi="Times New Roman" w:cs="Times New Roman"/>
          <w:b/>
          <w:bCs/>
          <w:szCs w:val="32"/>
        </w:rPr>
        <w:t>产业结构不合理，产业层次偏低。</w:t>
      </w:r>
      <w:r>
        <w:rPr>
          <w:rFonts w:hint="eastAsia" w:ascii="Times New Roman" w:hAnsi="Times New Roman" w:cs="Times New Roman"/>
        </w:rPr>
        <w:t>全</w:t>
      </w:r>
      <w:r>
        <w:rPr>
          <w:rFonts w:ascii="Times New Roman" w:hAnsi="Times New Roman" w:cs="Times New Roman"/>
        </w:rPr>
        <w:t>区产业结构比例失调，黑色金属冶炼和压延加工业</w:t>
      </w:r>
      <w:r>
        <w:rPr>
          <w:rFonts w:hint="eastAsia" w:ascii="Times New Roman" w:hAnsi="Times New Roman" w:cs="Times New Roman"/>
        </w:rPr>
        <w:t>占比过大，</w:t>
      </w:r>
      <w:r>
        <w:rPr>
          <w:rFonts w:ascii="Times New Roman" w:hAnsi="Times New Roman" w:cs="Times New Roman"/>
        </w:rPr>
        <w:t>钢铁和钢管企业在地产值占全区经济总量的40%，传统型的高污染、</w:t>
      </w:r>
      <w:bookmarkStart w:id="41" w:name="_Hlk64963425"/>
      <w:r>
        <w:rPr>
          <w:rFonts w:ascii="Times New Roman" w:hAnsi="Times New Roman" w:cs="Times New Roman"/>
        </w:rPr>
        <w:t>低科技含量、低附加值行业所占比重过大，</w:t>
      </w:r>
      <w:bookmarkEnd w:id="41"/>
      <w:r>
        <w:rPr>
          <w:rFonts w:ascii="Times New Roman" w:hAnsi="Times New Roman" w:cs="Times New Roman"/>
        </w:rPr>
        <w:t>产品竞争力不足</w:t>
      </w:r>
      <w:r>
        <w:rPr>
          <w:rFonts w:hint="eastAsia" w:ascii="Times New Roman" w:hAnsi="Times New Roman" w:cs="Times New Roman"/>
        </w:rPr>
        <w:t>，产业结构层次亟待提升。</w:t>
      </w:r>
      <w:r>
        <w:rPr>
          <w:rFonts w:hint="eastAsia" w:ascii="Times New Roman" w:hAnsi="Times New Roman" w:cs="Times New Roman"/>
          <w:b/>
          <w:bCs/>
        </w:rPr>
        <w:t>三是</w:t>
      </w:r>
      <w:r>
        <w:rPr>
          <w:rFonts w:ascii="Times New Roman" w:hAnsi="Times New Roman" w:cs="Times New Roman"/>
          <w:b/>
          <w:bCs/>
          <w:szCs w:val="32"/>
        </w:rPr>
        <w:t>主导产业不突出，产业链条不完整</w:t>
      </w:r>
      <w:r>
        <w:rPr>
          <w:rFonts w:hint="eastAsia" w:ascii="Times New Roman" w:hAnsi="Times New Roman" w:cs="Times New Roman"/>
          <w:b/>
          <w:bCs/>
          <w:szCs w:val="32"/>
        </w:rPr>
        <w:t>。</w:t>
      </w:r>
      <w:r>
        <w:rPr>
          <w:rFonts w:hint="eastAsia" w:ascii="Times New Roman" w:hAnsi="Times New Roman" w:cs="Times New Roman"/>
          <w:szCs w:val="32"/>
        </w:rPr>
        <w:t>四大主导产业规模总量偏小，战新产业企业、高新技术企业数量有待提升，龙头企业的本地化配套率不足，</w:t>
      </w:r>
      <w:r>
        <w:rPr>
          <w:rFonts w:ascii="Times New Roman" w:hAnsi="Times New Roman" w:cs="Times New Roman"/>
        </w:rPr>
        <w:t>产业对本地经济发展的辐射带动作用有限，产品品类单一，难以获得</w:t>
      </w:r>
      <w:r>
        <w:rPr>
          <w:rFonts w:hint="eastAsia" w:ascii="Times New Roman" w:hAnsi="Times New Roman" w:cs="Times New Roman"/>
        </w:rPr>
        <w:t>产品组合优势和形成市场规模优势。</w:t>
      </w:r>
      <w:r>
        <w:rPr>
          <w:rFonts w:hint="eastAsia" w:ascii="Times New Roman" w:hAnsi="Times New Roman" w:cs="Times New Roman"/>
          <w:b/>
          <w:bCs/>
        </w:rPr>
        <w:t>四是</w:t>
      </w:r>
      <w:r>
        <w:rPr>
          <w:rFonts w:ascii="Times New Roman" w:hAnsi="Times New Roman" w:cs="Times New Roman"/>
          <w:b/>
          <w:bCs/>
          <w:szCs w:val="32"/>
        </w:rPr>
        <w:t>园区空间承载能力受限，土地产出率低</w:t>
      </w:r>
      <w:r>
        <w:rPr>
          <w:rFonts w:hint="eastAsia" w:ascii="Times New Roman" w:hAnsi="Times New Roman" w:cs="Times New Roman"/>
          <w:b/>
          <w:bCs/>
          <w:szCs w:val="32"/>
        </w:rPr>
        <w:t>。</w:t>
      </w:r>
      <w:r>
        <w:rPr>
          <w:rFonts w:ascii="Times New Roman" w:hAnsi="Times New Roman" w:cs="Times New Roman"/>
          <w:szCs w:val="32"/>
        </w:rPr>
        <w:t>土地利用效率低</w:t>
      </w:r>
      <w:r>
        <w:rPr>
          <w:rFonts w:hint="eastAsia" w:ascii="Times New Roman" w:hAnsi="Times New Roman" w:cs="Times New Roman"/>
          <w:szCs w:val="32"/>
        </w:rPr>
        <w:t>、</w:t>
      </w:r>
      <w:r>
        <w:rPr>
          <w:rFonts w:ascii="Times New Roman" w:hAnsi="Times New Roman" w:cs="Times New Roman"/>
          <w:szCs w:val="32"/>
        </w:rPr>
        <w:t>工业用地供给短缺</w:t>
      </w:r>
      <w:r>
        <w:rPr>
          <w:rFonts w:hint="eastAsia" w:ascii="Times New Roman" w:hAnsi="Times New Roman" w:cs="Times New Roman"/>
          <w:szCs w:val="32"/>
        </w:rPr>
        <w:t>、</w:t>
      </w:r>
      <w:r>
        <w:rPr>
          <w:rFonts w:ascii="Times New Roman" w:hAnsi="Times New Roman" w:cs="Times New Roman"/>
          <w:szCs w:val="32"/>
        </w:rPr>
        <w:t>产业投资强度低</w:t>
      </w:r>
      <w:r>
        <w:rPr>
          <w:rFonts w:hint="eastAsia" w:ascii="Times New Roman" w:hAnsi="Times New Roman" w:cs="Times New Roman"/>
          <w:szCs w:val="32"/>
        </w:rPr>
        <w:t>和</w:t>
      </w:r>
      <w:r>
        <w:rPr>
          <w:rFonts w:ascii="Times New Roman" w:hAnsi="Times New Roman" w:cs="Times New Roman"/>
          <w:szCs w:val="32"/>
        </w:rPr>
        <w:t>产出效益不高</w:t>
      </w:r>
      <w:r>
        <w:rPr>
          <w:rFonts w:hint="eastAsia" w:ascii="Times New Roman" w:hAnsi="Times New Roman" w:cs="Times New Roman"/>
          <w:szCs w:val="32"/>
        </w:rPr>
        <w:t>等问题较为突出。</w:t>
      </w:r>
      <w:r>
        <w:rPr>
          <w:rFonts w:hint="eastAsia" w:ascii="Times New Roman" w:hAnsi="Times New Roman" w:cs="Times New Roman"/>
          <w:b/>
          <w:bCs/>
          <w:szCs w:val="32"/>
        </w:rPr>
        <w:t>五是</w:t>
      </w:r>
      <w:r>
        <w:rPr>
          <w:b/>
          <w:bCs/>
        </w:rPr>
        <w:t>新发展理念树得不牢，</w:t>
      </w:r>
      <w:r>
        <w:rPr>
          <w:rFonts w:hint="eastAsia"/>
          <w:b/>
          <w:bCs/>
        </w:rPr>
        <w:t>举措不够有力。</w:t>
      </w:r>
      <w:r>
        <w:rPr>
          <w:bCs/>
        </w:rPr>
        <w:t>推进</w:t>
      </w:r>
      <w:r>
        <w:rPr>
          <w:rFonts w:hint="eastAsia"/>
          <w:bCs/>
        </w:rPr>
        <w:t>工业</w:t>
      </w:r>
      <w:r>
        <w:rPr>
          <w:bCs/>
        </w:rPr>
        <w:t>存量升级增量转型的招法不够新，推进工业高质量发展的成效不够明显。</w:t>
      </w:r>
    </w:p>
    <w:bookmarkEnd w:id="40"/>
    <w:p>
      <w:pPr>
        <w:snapToGrid w:val="0"/>
        <w:ind w:firstLine="642" w:firstLineChars="200"/>
        <w:jc w:val="left"/>
        <w:textAlignment w:val="baseline"/>
        <w:rPr>
          <w:rFonts w:ascii="楷体_GB2312" w:hAnsi="Calibri" w:eastAsia="楷体_GB2312" w:cs="Times New Roman"/>
          <w:b/>
          <w:sz w:val="20"/>
          <w:szCs w:val="32"/>
        </w:rPr>
      </w:pPr>
      <w:bookmarkStart w:id="42" w:name="_Toc61343593"/>
      <w:bookmarkStart w:id="43" w:name="_Hlk59722635"/>
      <w:r>
        <w:rPr>
          <w:rFonts w:ascii="楷体_GB2312" w:hAnsi="Calibri" w:eastAsia="楷体_GB2312" w:cs="Times New Roman"/>
          <w:b/>
          <w:szCs w:val="32"/>
        </w:rPr>
        <w:t>（</w:t>
      </w:r>
      <w:r>
        <w:rPr>
          <w:rFonts w:hint="eastAsia" w:ascii="楷体_GB2312" w:hAnsi="Calibri" w:eastAsia="楷体_GB2312" w:cs="Times New Roman"/>
          <w:b/>
          <w:szCs w:val="32"/>
        </w:rPr>
        <w:t>二</w:t>
      </w:r>
      <w:r>
        <w:rPr>
          <w:rFonts w:ascii="楷体_GB2312" w:hAnsi="Calibri" w:eastAsia="楷体_GB2312" w:cs="Times New Roman"/>
          <w:b/>
          <w:szCs w:val="32"/>
        </w:rPr>
        <w:t>）</w:t>
      </w:r>
      <w:r>
        <w:rPr>
          <w:rFonts w:hint="eastAsia" w:ascii="楷体_GB2312" w:hAnsi="Calibri" w:eastAsia="楷体_GB2312" w:cs="Times New Roman"/>
          <w:b/>
          <w:szCs w:val="32"/>
        </w:rPr>
        <w:t>面临形势</w:t>
      </w:r>
      <w:bookmarkEnd w:id="42"/>
    </w:p>
    <w:bookmarkEnd w:id="43"/>
    <w:p>
      <w:pPr>
        <w:ind w:firstLine="640" w:firstLineChars="200"/>
        <w:textAlignment w:val="baseline"/>
        <w:rPr>
          <w:rFonts w:ascii="Times New Roman" w:hAnsi="Times New Roman" w:cs="Times New Roman"/>
          <w:sz w:val="20"/>
        </w:rPr>
      </w:pPr>
      <w:bookmarkStart w:id="44" w:name="_Hlk59722639"/>
      <w:r>
        <w:rPr>
          <w:rFonts w:hint="eastAsia" w:ascii="Times New Roman" w:hAnsi="Times New Roman" w:cs="Times New Roman"/>
        </w:rPr>
        <w:t>“十四五”时期是开启社会主义现代化新征程，主动应对百年未有之大变局的第一个五年，我国将加快构建以国内大循环为主体、国内国际双循环相互促进的新发展格局，天津工业发展面临的外部环境和内部条件将发生复杂而深刻的重大变化，整体进入发展的重要战略机遇期。东丽区要积极主动作为，在实现高质量发展的道路上不断取得新突破、新成果。</w:t>
      </w:r>
    </w:p>
    <w:bookmarkEnd w:id="44"/>
    <w:p>
      <w:pPr>
        <w:ind w:firstLine="642" w:firstLineChars="200"/>
        <w:textAlignment w:val="baseline"/>
        <w:rPr>
          <w:rFonts w:ascii="Times New Roman" w:hAnsi="Times New Roman" w:cs="Times New Roman"/>
          <w:sz w:val="20"/>
        </w:rPr>
      </w:pPr>
      <w:bookmarkStart w:id="45" w:name="_Hlk59722642"/>
      <w:r>
        <w:rPr>
          <w:rFonts w:hint="eastAsia" w:ascii="Times New Roman" w:hAnsi="Times New Roman" w:cs="Times New Roman"/>
          <w:b/>
        </w:rPr>
        <w:t>1.当前国际环境复杂多变，高质量发展要求赋予新使命。</w:t>
      </w:r>
      <w:bookmarkEnd w:id="45"/>
      <w:r>
        <w:rPr>
          <w:rFonts w:hint="eastAsia" w:ascii="Times New Roman" w:hAnsi="Times New Roman" w:cs="Times New Roman"/>
        </w:rPr>
        <w:t>当今世界正处于百年未有之大变局，逆全球化思潮泛起，贸易保护主义抬头，美国从贸易、投资、科技等多领域对我国进行全方位打压，已成为我国建设制造强国的首要外部风险。新冠疫情蔓延且未来影响仍有较大不确定性，全球正经历大萧条以来最严重的经济衰退。我国既面临深度参与全球治理、构建新的全球经济循环体系的历史机遇，也面临西方重构贸易规则并与我国经济脱钩的挑战，必须坚定不移的发展实体经济。制造业是实体经济的主体，制造业的高质量发展关系到经济高质量发展的全局，必须摆在更加突出的位置，坚定不移建设制造强国。全国先进制造研发基地是京津冀协同发展赋予天津的重要功能定位之一，“十四五”将是实现这一定位的关键期。东丽区地处津滨发展主轴，区位优势突出，水陆空交通便捷，与津城、滨城产业协同发展具有先天优势，</w:t>
      </w:r>
      <w:bookmarkStart w:id="46" w:name="_Hlk64966276"/>
      <w:r>
        <w:rPr>
          <w:rFonts w:hint="eastAsia" w:ascii="Times New Roman" w:hAnsi="Times New Roman" w:cs="Times New Roman"/>
        </w:rPr>
        <w:t>应牢牢把握天津制造业转型升级的历史机遇，</w:t>
      </w:r>
      <w:bookmarkEnd w:id="46"/>
      <w:r>
        <w:rPr>
          <w:rFonts w:hint="eastAsia" w:ascii="Times New Roman" w:hAnsi="Times New Roman" w:cs="Times New Roman"/>
        </w:rPr>
        <w:t>加速培育高质量的新兴产业和未来产业，</w:t>
      </w:r>
      <w:bookmarkStart w:id="47" w:name="_Hlk64966342"/>
      <w:r>
        <w:rPr>
          <w:rFonts w:hint="eastAsia" w:ascii="Times New Roman" w:hAnsi="Times New Roman" w:cs="Times New Roman"/>
        </w:rPr>
        <w:t>加快赋能传统优势产业，做强做大新动能“底盘”</w:t>
      </w:r>
      <w:bookmarkEnd w:id="47"/>
      <w:r>
        <w:rPr>
          <w:rFonts w:hint="eastAsia" w:ascii="Times New Roman" w:hAnsi="Times New Roman" w:cs="Times New Roman"/>
        </w:rPr>
        <w:t>，实现制造业的高端、高质、高新转型，不断推动全区工业经济实现高质量发展。</w:t>
      </w:r>
    </w:p>
    <w:p>
      <w:pPr>
        <w:ind w:firstLine="642" w:firstLineChars="200"/>
        <w:textAlignment w:val="baseline"/>
        <w:rPr>
          <w:rFonts w:ascii="Times New Roman" w:hAnsi="Times New Roman" w:cs="Times New Roman"/>
          <w:sz w:val="20"/>
        </w:rPr>
      </w:pPr>
      <w:bookmarkStart w:id="48" w:name="_Hlk59722647"/>
      <w:r>
        <w:rPr>
          <w:rFonts w:ascii="Times New Roman" w:hAnsi="Times New Roman" w:cs="Times New Roman"/>
          <w:b/>
        </w:rPr>
        <w:t>2</w:t>
      </w:r>
      <w:r>
        <w:rPr>
          <w:rFonts w:hint="eastAsia" w:ascii="Times New Roman" w:hAnsi="Times New Roman" w:cs="Times New Roman"/>
          <w:b/>
        </w:rPr>
        <w:t>.</w:t>
      </w:r>
      <w:bookmarkStart w:id="49" w:name="_Hlk64966658"/>
      <w:r>
        <w:rPr>
          <w:rFonts w:hint="eastAsia" w:ascii="Times New Roman" w:hAnsi="Times New Roman" w:cs="Times New Roman"/>
          <w:b/>
        </w:rPr>
        <w:t>智能变革加速产业升级，为区域产业发展带来新机遇</w:t>
      </w:r>
      <w:r>
        <w:rPr>
          <w:rFonts w:hint="eastAsia" w:ascii="Times New Roman" w:hAnsi="Times New Roman" w:cs="Times New Roman"/>
        </w:rPr>
        <w:t>。</w:t>
      </w:r>
      <w:bookmarkEnd w:id="48"/>
      <w:bookmarkEnd w:id="49"/>
      <w:r>
        <w:rPr>
          <w:rFonts w:hint="eastAsia" w:ascii="Times New Roman" w:hAnsi="Times New Roman" w:cs="Times New Roman"/>
        </w:rPr>
        <w:t>以大数据、人工智能、</w:t>
      </w:r>
      <w:r>
        <w:rPr>
          <w:rFonts w:ascii="Times New Roman" w:hAnsi="Times New Roman" w:cs="Times New Roman"/>
        </w:rPr>
        <w:t>5G、区块链等智能科技为代表的新一轮产业革命浪潮已悄然兴起，</w:t>
      </w:r>
      <w:r>
        <w:rPr>
          <w:rFonts w:hint="eastAsia" w:ascii="Times New Roman" w:hAnsi="Times New Roman" w:cs="Times New Roman"/>
        </w:rPr>
        <w:t>全球已迎来前所未有产业机遇，产业更新迭代速度不断加快，重大科技突破和组织变革对全球产业形态、产业格局、产业分工和生产方式带来了深远影响，新技术、新业态、新模式不断涌现，释放了巨大的发展潜力。</w:t>
      </w:r>
      <w:bookmarkStart w:id="50" w:name="_Hlk64966671"/>
      <w:r>
        <w:rPr>
          <w:rFonts w:hint="eastAsia" w:ascii="Times New Roman" w:hAnsi="Times New Roman" w:cs="Times New Roman"/>
        </w:rPr>
        <w:t>“十四五”时期，天津市提出“坚持制造业立市、建设制造强市”的战略部署，明确以信创产业为主攻方向，增强智能科技产业引领力，加快构建“1+3+4”现代工业产业体系，为东丽区工业高质量发展指明方向。</w:t>
      </w:r>
      <w:bookmarkEnd w:id="50"/>
      <w:bookmarkStart w:id="51" w:name="_Hlk64966677"/>
      <w:r>
        <w:rPr>
          <w:rFonts w:hint="eastAsia" w:ascii="Times New Roman" w:hAnsi="Times New Roman" w:cs="Times New Roman"/>
        </w:rPr>
        <w:t>东丽区科研院所、科技人才等创新资源高度集聚，以战略性新兴产业、高科技产业为特色的工业产业体系基本成型，已成为京津冀协同创新发展的重要产业承载区之一，是天津科技创新资源最为密集和科技成果转化氛围最为浓厚的区域之一。</w:t>
      </w:r>
      <w:bookmarkEnd w:id="51"/>
      <w:r>
        <w:rPr>
          <w:rFonts w:hint="eastAsia" w:ascii="Times New Roman" w:hAnsi="Times New Roman" w:cs="Times New Roman"/>
        </w:rPr>
        <w:t>“十四五”时期，要充分把握全球产业变革的重大机遇和地处天津政策洼地的先天优势，以新动能引育为抓手，以智能制造引领传统产业转型升级，形成“鼎新带动革故、增量带动存量”的良好发展格局，加快推进产业向中高端迈进。</w:t>
      </w:r>
    </w:p>
    <w:p>
      <w:pPr>
        <w:ind w:firstLine="642" w:firstLineChars="200"/>
        <w:textAlignment w:val="baseline"/>
        <w:rPr>
          <w:rFonts w:ascii="Times New Roman" w:hAnsi="Times New Roman" w:cs="Times New Roman"/>
          <w:sz w:val="20"/>
        </w:rPr>
      </w:pPr>
      <w:bookmarkStart w:id="52" w:name="_Hlk59722653"/>
      <w:r>
        <w:rPr>
          <w:rFonts w:ascii="Times New Roman" w:hAnsi="Times New Roman" w:cs="Times New Roman"/>
          <w:b/>
        </w:rPr>
        <w:t>3</w:t>
      </w:r>
      <w:r>
        <w:rPr>
          <w:rFonts w:hint="eastAsia" w:ascii="Times New Roman" w:hAnsi="Times New Roman" w:cs="Times New Roman"/>
          <w:b/>
        </w:rPr>
        <w:t>.外部环境压力日益严峻，为区域协同发展提出新要求。</w:t>
      </w:r>
      <w:bookmarkEnd w:id="52"/>
      <w:bookmarkStart w:id="53" w:name="_Hlk64968582"/>
      <w:r>
        <w:rPr>
          <w:rFonts w:hint="eastAsia" w:ascii="Times New Roman" w:hAnsi="Times New Roman" w:cs="Times New Roman"/>
        </w:rPr>
        <w:t>随着支撑我国传统制造业快速发展的劳动力、土地等成本优势明显减弱，发达国家高端回流和其他新兴经济体中低端分流的“双向挤压”挑战加大，自主创新能力不足、关键核心技术和装备受制于人等问题日益凸显，加快新旧动能转换的要求更加紧迫。</w:t>
      </w:r>
      <w:bookmarkEnd w:id="53"/>
      <w:r>
        <w:rPr>
          <w:rFonts w:hint="eastAsia" w:ascii="Times New Roman" w:hAnsi="Times New Roman" w:cs="Times New Roman"/>
        </w:rPr>
        <w:t>同时，</w:t>
      </w:r>
      <w:r>
        <w:rPr>
          <w:rFonts w:ascii="Times New Roman" w:hAnsi="Times New Roman" w:cs="Times New Roman"/>
        </w:rPr>
        <w:t>城市间分化现象日趋严重</w:t>
      </w:r>
      <w:r>
        <w:rPr>
          <w:rFonts w:hint="eastAsia" w:ascii="Times New Roman" w:hAnsi="Times New Roman" w:cs="Times New Roman"/>
        </w:rPr>
        <w:t>，发展动力极化现象突出，上海、广州、苏州等城市在</w:t>
      </w:r>
      <w:r>
        <w:rPr>
          <w:rFonts w:hint="eastAsia" w:ascii="Times New Roman" w:hAnsi="Times New Roman" w:cs="Times New Roman"/>
          <w:bCs/>
        </w:rPr>
        <w:t>基础设施水平、产业成熟度、科技人才储备等方面均具有明显优势，为东丽区招商引资和提质增效发展带来较大竞争压力。同时，</w:t>
      </w:r>
      <w:r>
        <w:rPr>
          <w:rFonts w:ascii="Times New Roman" w:hAnsi="Times New Roman" w:cs="Times New Roman"/>
          <w:bCs/>
        </w:rPr>
        <w:t>京津冀</w:t>
      </w:r>
      <w:r>
        <w:rPr>
          <w:rFonts w:hint="eastAsia" w:ascii="Times New Roman" w:hAnsi="Times New Roman" w:cs="Times New Roman"/>
          <w:bCs/>
        </w:rPr>
        <w:t>地区</w:t>
      </w:r>
      <w:r>
        <w:rPr>
          <w:rFonts w:ascii="Times New Roman" w:hAnsi="Times New Roman" w:cs="Times New Roman"/>
          <w:bCs/>
        </w:rPr>
        <w:t>实施最严格环保政策</w:t>
      </w:r>
      <w:r>
        <w:rPr>
          <w:rFonts w:hint="eastAsia" w:ascii="Times New Roman" w:hAnsi="Times New Roman" w:cs="Times New Roman"/>
          <w:bCs/>
        </w:rPr>
        <w:t>，进一步挤压中低端制造业发展空间。</w:t>
      </w:r>
      <w:r>
        <w:rPr>
          <w:rFonts w:hint="eastAsia" w:ascii="Times New Roman" w:hAnsi="Times New Roman" w:cs="Times New Roman"/>
        </w:rPr>
        <w:t>此外，</w:t>
      </w:r>
      <w:bookmarkStart w:id="54" w:name="_Hlk64969493"/>
      <w:r>
        <w:rPr>
          <w:rFonts w:hint="eastAsia" w:ascii="Times New Roman" w:hAnsi="Times New Roman" w:cs="Times New Roman"/>
        </w:rPr>
        <w:t>东丽区各产业园区</w:t>
      </w:r>
      <w:r>
        <w:rPr>
          <w:rFonts w:ascii="Times New Roman" w:hAnsi="Times New Roman" w:cs="Times New Roman"/>
        </w:rPr>
        <w:t>质化竞争压力大</w:t>
      </w:r>
      <w:r>
        <w:rPr>
          <w:rFonts w:hint="eastAsia" w:ascii="Times New Roman" w:hAnsi="Times New Roman" w:cs="Times New Roman"/>
        </w:rPr>
        <w:t>，产业间关联度较弱，尚未形成具有核心竞争力的优势产业集群</w:t>
      </w:r>
      <w:bookmarkEnd w:id="54"/>
      <w:r>
        <w:rPr>
          <w:rFonts w:hint="eastAsia" w:ascii="Times New Roman" w:hAnsi="Times New Roman" w:cs="Times New Roman"/>
        </w:rPr>
        <w:t>。</w:t>
      </w:r>
    </w:p>
    <w:p>
      <w:pPr>
        <w:ind w:firstLine="640" w:firstLineChars="200"/>
        <w:textAlignment w:val="baseline"/>
        <w:rPr>
          <w:rFonts w:ascii="Times New Roman" w:hAnsi="Times New Roman" w:cs="Times New Roman"/>
          <w:sz w:val="20"/>
        </w:rPr>
      </w:pPr>
      <w:bookmarkStart w:id="55" w:name="_Hlk64970118"/>
      <w:r>
        <w:rPr>
          <w:rFonts w:hint="eastAsia" w:ascii="Times New Roman" w:hAnsi="Times New Roman" w:cs="Times New Roman"/>
        </w:rPr>
        <w:t>面对一系列机遇与挑战，东丽区加速融入京津冀产业协同发展格局，以新动能引育为抓手，优化重点产业链布局，协同推动产业链和产业集群发展，持续增强经济发展韧性和内生动力，打造新动能引育和经济高质量发展</w:t>
      </w:r>
      <w:r>
        <w:rPr>
          <w:rFonts w:ascii="Times New Roman" w:hAnsi="Times New Roman" w:cs="Times New Roman"/>
        </w:rPr>
        <w:t>典型样板</w:t>
      </w:r>
      <w:r>
        <w:rPr>
          <w:rFonts w:hint="eastAsia" w:ascii="Times New Roman" w:hAnsi="Times New Roman" w:cs="Times New Roman"/>
        </w:rPr>
        <w:t>。</w:t>
      </w:r>
    </w:p>
    <w:bookmarkEnd w:id="55"/>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56" w:name="_Toc61343594"/>
      <w:bookmarkStart w:id="57" w:name="_Hlk59722699"/>
      <w:r>
        <w:rPr>
          <w:rFonts w:hint="eastAsia" w:ascii="Times New Roman" w:hAnsi="Times New Roman" w:cs="Times New Roman"/>
          <w:b w:val="0"/>
          <w:bCs w:val="0"/>
          <w:kern w:val="2"/>
          <w:szCs w:val="32"/>
        </w:rPr>
        <w:t>二、“十四五”发展思路和总体目标</w:t>
      </w:r>
      <w:bookmarkEnd w:id="56"/>
    </w:p>
    <w:p>
      <w:pPr>
        <w:widowControl/>
        <w:snapToGrid w:val="0"/>
        <w:ind w:firstLine="642" w:firstLineChars="200"/>
        <w:jc w:val="left"/>
        <w:textAlignment w:val="baseline"/>
        <w:rPr>
          <w:rFonts w:ascii="楷体_GB2312" w:hAnsi="Calibri" w:eastAsia="楷体_GB2312" w:cs="Times New Roman"/>
          <w:b/>
          <w:sz w:val="20"/>
          <w:szCs w:val="32"/>
          <w:shd w:val="pct10" w:color="auto" w:fill="FFFFFF"/>
        </w:rPr>
      </w:pPr>
      <w:bookmarkStart w:id="58" w:name="_Toc61343595"/>
      <w:r>
        <w:rPr>
          <w:rFonts w:ascii="楷体_GB2312" w:hAnsi="Calibri" w:eastAsia="楷体_GB2312" w:cs="Times New Roman"/>
          <w:b/>
          <w:szCs w:val="32"/>
        </w:rPr>
        <w:t>（一）</w:t>
      </w:r>
      <w:r>
        <w:rPr>
          <w:rFonts w:hint="eastAsia" w:ascii="楷体_GB2312" w:hAnsi="Calibri" w:eastAsia="楷体_GB2312" w:cs="Times New Roman"/>
          <w:b/>
          <w:szCs w:val="32"/>
        </w:rPr>
        <w:t>发展思路</w:t>
      </w:r>
      <w:bookmarkEnd w:id="58"/>
    </w:p>
    <w:bookmarkEnd w:id="57"/>
    <w:p>
      <w:pPr>
        <w:ind w:firstLine="640" w:firstLineChars="200"/>
        <w:textAlignment w:val="baseline"/>
        <w:rPr>
          <w:rFonts w:ascii="Times New Roman" w:hAnsi="Times New Roman" w:cs="Times New Roman"/>
          <w:sz w:val="20"/>
        </w:rPr>
      </w:pPr>
      <w:bookmarkStart w:id="59" w:name="_Hlk59722744"/>
      <w:r>
        <w:rPr>
          <w:rFonts w:hint="eastAsia" w:ascii="Times New Roman" w:hAnsi="Times New Roman" w:cs="Times New Roman"/>
        </w:rPr>
        <w:t>以习近平新时代中国特色社会主义思想为指导，深入贯彻习近平总书记对天津工作“三个着力”重要要求和一系列重要批示指示精神，</w:t>
      </w:r>
      <w:bookmarkStart w:id="60" w:name="_Hlk64899786"/>
      <w:r>
        <w:rPr>
          <w:rFonts w:hint="eastAsia" w:ascii="Times New Roman" w:hAnsi="Times New Roman" w:cs="Times New Roman"/>
        </w:rPr>
        <w:t>落实“制造业立市”战略部署</w:t>
      </w:r>
      <w:bookmarkEnd w:id="60"/>
      <w:r>
        <w:rPr>
          <w:rFonts w:hint="eastAsia" w:ascii="Times New Roman" w:hAnsi="Times New Roman" w:cs="Times New Roman"/>
        </w:rPr>
        <w:t>，</w:t>
      </w:r>
      <w:r>
        <w:rPr>
          <w:rFonts w:ascii="Times New Roman" w:hAnsi="Times New Roman" w:cs="Times New Roman"/>
        </w:rPr>
        <w:t>围</w:t>
      </w:r>
      <w:r>
        <w:rPr>
          <w:rFonts w:hint="eastAsia" w:ascii="仿宋_GB2312" w:hAnsi="Times New Roman" w:cs="Times New Roman"/>
        </w:rPr>
        <w:t>绕东丽“科创绿谷·临空新城”总</w:t>
      </w:r>
      <w:r>
        <w:rPr>
          <w:rFonts w:ascii="Times New Roman" w:hAnsi="Times New Roman" w:cs="Times New Roman"/>
        </w:rPr>
        <w:t>体定位</w:t>
      </w:r>
      <w:r>
        <w:rPr>
          <w:rFonts w:hint="eastAsia" w:ascii="Times New Roman" w:hAnsi="Times New Roman" w:cs="Times New Roman"/>
        </w:rPr>
        <w:t>，坚持新发展理念，以推动高质量发展为主题，以深化供给侧结构性改革为主线，以新动能引育为抓手，以提质增效和转型升级为着力点，打好产业基础高级化、产业链现代化攻坚战，推进制造业高端化、绿色化、智能化、融合化发展，大力发展高端装备、新材料、新一代汽车技术及生物医药产业，鼓励企业提升自主创新能力，培育壮大民族品牌产品，促进实体经济与数字经济融合创新发展，加快推动智能科技产业、战略性新兴产业和先进制造业发展，打造</w:t>
      </w:r>
      <w:bookmarkStart w:id="61" w:name="_Hlk64967159"/>
      <w:r>
        <w:rPr>
          <w:rFonts w:hint="eastAsia" w:ascii="Times New Roman" w:hAnsi="Times New Roman" w:cs="Times New Roman"/>
        </w:rPr>
        <w:t>全国先进制造研发基地核心引领区</w:t>
      </w:r>
      <w:bookmarkEnd w:id="61"/>
      <w:r>
        <w:rPr>
          <w:rFonts w:hint="eastAsia" w:ascii="Times New Roman" w:hAnsi="Times New Roman" w:cs="Times New Roman"/>
        </w:rPr>
        <w:t>、京津冀现代化工业新城区、新动能引育示范引领区。</w:t>
      </w:r>
    </w:p>
    <w:bookmarkEnd w:id="59"/>
    <w:p>
      <w:pPr>
        <w:widowControl/>
        <w:snapToGrid w:val="0"/>
        <w:ind w:firstLine="642" w:firstLineChars="200"/>
        <w:jc w:val="left"/>
        <w:textAlignment w:val="baseline"/>
        <w:rPr>
          <w:rFonts w:ascii="楷体_GB2312" w:hAnsi="Calibri" w:eastAsia="楷体_GB2312" w:cs="Times New Roman"/>
          <w:b/>
          <w:sz w:val="20"/>
          <w:szCs w:val="32"/>
        </w:rPr>
      </w:pPr>
      <w:bookmarkStart w:id="62" w:name="_Toc61343596"/>
      <w:bookmarkStart w:id="63" w:name="_Hlk59722704"/>
      <w:r>
        <w:rPr>
          <w:rFonts w:hint="eastAsia" w:ascii="楷体_GB2312" w:hAnsi="Calibri" w:eastAsia="楷体_GB2312" w:cs="Times New Roman"/>
          <w:b/>
          <w:szCs w:val="32"/>
        </w:rPr>
        <w:t>（二）基本原则</w:t>
      </w:r>
      <w:bookmarkEnd w:id="62"/>
    </w:p>
    <w:bookmarkEnd w:id="63"/>
    <w:p>
      <w:pPr>
        <w:ind w:firstLine="642" w:firstLineChars="200"/>
        <w:textAlignment w:val="baseline"/>
        <w:rPr>
          <w:rFonts w:ascii="Times New Roman" w:hAnsi="Times New Roman" w:cs="Times New Roman"/>
          <w:sz w:val="20"/>
        </w:rPr>
      </w:pPr>
      <w:bookmarkStart w:id="64" w:name="_Hlk59722754"/>
      <w:r>
        <w:rPr>
          <w:rFonts w:hint="eastAsia" w:ascii="Times New Roman" w:hAnsi="Times New Roman" w:cs="Times New Roman"/>
          <w:b/>
          <w:bCs/>
        </w:rPr>
        <w:t>动能转换、双轮驱动</w:t>
      </w:r>
      <w:bookmarkEnd w:id="64"/>
      <w:r>
        <w:rPr>
          <w:rFonts w:hint="eastAsia" w:ascii="Times New Roman" w:hAnsi="Times New Roman" w:cs="Times New Roman"/>
          <w:b/>
          <w:bCs/>
        </w:rPr>
        <w:t>。</w:t>
      </w:r>
      <w:r>
        <w:rPr>
          <w:rFonts w:hint="eastAsia" w:ascii="Times New Roman" w:hAnsi="Times New Roman" w:cs="Times New Roman"/>
        </w:rPr>
        <w:t>坚持创新引领，大力引育新动能，培育发展战略性新兴产业，深化传统制造业改造提升，前瞻布局未来产业，以新技术、新产业、新业态、新模式构筑工业高质量发展新引擎，推动改造提升传统产业与培育壮大新兴产业“双轮驱动”，努力塑造更多依靠创新驱动的引领型发展，实现新旧动能接续转换。</w:t>
      </w:r>
    </w:p>
    <w:p>
      <w:pPr>
        <w:ind w:firstLine="642" w:firstLineChars="200"/>
        <w:textAlignment w:val="baseline"/>
        <w:rPr>
          <w:rFonts w:ascii="Times New Roman" w:hAnsi="Times New Roman" w:cs="Times New Roman"/>
          <w:sz w:val="20"/>
        </w:rPr>
      </w:pPr>
      <w:bookmarkStart w:id="65" w:name="_Hlk59722758"/>
      <w:r>
        <w:rPr>
          <w:rFonts w:ascii="Times New Roman" w:hAnsi="Times New Roman" w:cs="Times New Roman"/>
          <w:b/>
          <w:bCs/>
        </w:rPr>
        <w:t>智能赋能、融合发展</w:t>
      </w:r>
      <w:bookmarkEnd w:id="65"/>
      <w:r>
        <w:rPr>
          <w:rFonts w:ascii="Times New Roman" w:hAnsi="Times New Roman" w:cs="Times New Roman"/>
          <w:b/>
          <w:bCs/>
        </w:rPr>
        <w:t>。</w:t>
      </w:r>
      <w:r>
        <w:rPr>
          <w:rFonts w:hint="eastAsia" w:ascii="Times New Roman" w:hAnsi="Times New Roman" w:cs="Times New Roman"/>
        </w:rPr>
        <w:t>以</w:t>
      </w:r>
      <w:r>
        <w:rPr>
          <w:rFonts w:ascii="Times New Roman" w:hAnsi="Times New Roman" w:cs="Times New Roman"/>
        </w:rPr>
        <w:t>智能制造为主攻方向，</w:t>
      </w:r>
      <w:r>
        <w:rPr>
          <w:rFonts w:hint="eastAsia" w:ascii="Times New Roman" w:hAnsi="Times New Roman" w:cs="Times New Roman"/>
        </w:rPr>
        <w:t>充分利用云计算、大数据、物联网等先进技术，推动5</w:t>
      </w:r>
      <w:r>
        <w:rPr>
          <w:rFonts w:ascii="Times New Roman" w:hAnsi="Times New Roman" w:cs="Times New Roman"/>
        </w:rPr>
        <w:t>G</w:t>
      </w:r>
      <w:r>
        <w:rPr>
          <w:rFonts w:hint="eastAsia" w:ascii="Times New Roman" w:hAnsi="Times New Roman" w:cs="Times New Roman"/>
        </w:rPr>
        <w:t>、工业互联网等创新发展，</w:t>
      </w:r>
      <w:r>
        <w:rPr>
          <w:rFonts w:ascii="Times New Roman" w:hAnsi="Times New Roman" w:cs="Times New Roman"/>
        </w:rPr>
        <w:t>深入挖掘工业企业需求和5G网络应用场景</w:t>
      </w:r>
      <w:r>
        <w:rPr>
          <w:rFonts w:hint="eastAsia" w:ascii="Times New Roman" w:hAnsi="Times New Roman" w:cs="Times New Roman"/>
        </w:rPr>
        <w:t>，</w:t>
      </w:r>
      <w:r>
        <w:rPr>
          <w:rFonts w:ascii="Times New Roman" w:hAnsi="Times New Roman" w:cs="Times New Roman"/>
        </w:rPr>
        <w:t>加快制造业数字化、网络化、智能化升级步伐</w:t>
      </w:r>
      <w:r>
        <w:rPr>
          <w:rFonts w:hint="eastAsia" w:ascii="Times New Roman" w:hAnsi="Times New Roman" w:cs="Times New Roman"/>
        </w:rPr>
        <w:t>。以服务型制造为重要抓手，大力发展生产性服务业，</w:t>
      </w:r>
      <w:r>
        <w:rPr>
          <w:rFonts w:ascii="Times New Roman" w:hAnsi="Times New Roman" w:cs="Times New Roman"/>
        </w:rPr>
        <w:t>推进新一代信息技术与制造业深度融合发展</w:t>
      </w:r>
      <w:r>
        <w:rPr>
          <w:rFonts w:hint="eastAsia" w:ascii="Times New Roman" w:hAnsi="Times New Roman" w:cs="Times New Roman"/>
        </w:rPr>
        <w:t>。</w:t>
      </w:r>
    </w:p>
    <w:p>
      <w:pPr>
        <w:ind w:firstLine="642" w:firstLineChars="200"/>
        <w:textAlignment w:val="baseline"/>
        <w:rPr>
          <w:rFonts w:ascii="Times New Roman" w:hAnsi="Times New Roman" w:cs="Times New Roman"/>
          <w:sz w:val="20"/>
        </w:rPr>
      </w:pPr>
      <w:bookmarkStart w:id="66" w:name="_Hlk59722762"/>
      <w:r>
        <w:rPr>
          <w:rFonts w:hint="eastAsia" w:ascii="Times New Roman" w:hAnsi="Times New Roman" w:cs="Times New Roman"/>
          <w:b/>
          <w:bCs/>
        </w:rPr>
        <w:t>集约集聚、绿色发展</w:t>
      </w:r>
      <w:bookmarkEnd w:id="66"/>
      <w:r>
        <w:rPr>
          <w:rFonts w:hint="eastAsia" w:ascii="Times New Roman" w:hAnsi="Times New Roman" w:cs="Times New Roman"/>
          <w:b/>
          <w:bCs/>
        </w:rPr>
        <w:t>。</w:t>
      </w:r>
      <w:r>
        <w:rPr>
          <w:rFonts w:hint="eastAsia" w:ascii="Times New Roman" w:hAnsi="Times New Roman" w:cs="Times New Roman"/>
        </w:rPr>
        <w:t>加快产城融合步伐，推进要素向园区集约、项目向园区集中、产业向园区集群发展，打造一批高水平工业园区、高质量科创载体、高能级开放平台，形成一批</w:t>
      </w:r>
      <w:r>
        <w:rPr>
          <w:rFonts w:ascii="Times New Roman" w:hAnsi="Times New Roman" w:cs="Times New Roman"/>
        </w:rPr>
        <w:t>具有持久竞争力的制造业集群</w:t>
      </w:r>
      <w:r>
        <w:rPr>
          <w:rFonts w:hint="eastAsia" w:ascii="Times New Roman" w:hAnsi="Times New Roman" w:cs="Times New Roman"/>
        </w:rPr>
        <w:t>。加快构建绿色制造体系，加强绿色技术研发和产品应用，不断提高绿色精益制造能力，推动工业绿色发展。</w:t>
      </w:r>
    </w:p>
    <w:p>
      <w:pPr>
        <w:ind w:firstLine="642" w:firstLineChars="200"/>
        <w:textAlignment w:val="baseline"/>
        <w:rPr>
          <w:rFonts w:ascii="Times New Roman" w:hAnsi="Times New Roman" w:cs="Times New Roman"/>
          <w:sz w:val="20"/>
        </w:rPr>
      </w:pPr>
      <w:bookmarkStart w:id="67" w:name="_Hlk59722766"/>
      <w:r>
        <w:rPr>
          <w:rFonts w:hint="eastAsia" w:ascii="Times New Roman" w:hAnsi="Times New Roman" w:cs="Times New Roman"/>
          <w:b/>
          <w:bCs/>
        </w:rPr>
        <w:t>市场主导、政府引导</w:t>
      </w:r>
      <w:bookmarkEnd w:id="67"/>
      <w:r>
        <w:rPr>
          <w:rFonts w:hint="eastAsia" w:ascii="Times New Roman" w:hAnsi="Times New Roman" w:cs="Times New Roman"/>
          <w:b/>
          <w:bCs/>
        </w:rPr>
        <w:t>。</w:t>
      </w:r>
      <w:r>
        <w:rPr>
          <w:rFonts w:hint="eastAsia" w:ascii="Times New Roman" w:hAnsi="Times New Roman" w:cs="Times New Roman"/>
        </w:rPr>
        <w:t>充分发挥市场在资源配置中的决定性作用，不断强化企业的创新主体地位，进一步激发企业内生动力和创新活力。更好发挥政府作用，深入推进工业领域供给侧结构性改革，创新政府管理方式，推动形成更有吸引力的国际化、法制化、便利化营商环境。</w:t>
      </w:r>
    </w:p>
    <w:p>
      <w:pPr>
        <w:ind w:firstLine="642" w:firstLineChars="200"/>
        <w:textAlignment w:val="baseline"/>
        <w:rPr>
          <w:sz w:val="20"/>
        </w:rPr>
      </w:pPr>
      <w:bookmarkStart w:id="68" w:name="_Hlk59722770"/>
      <w:r>
        <w:rPr>
          <w:rFonts w:hint="eastAsia" w:ascii="Times New Roman" w:hAnsi="Times New Roman" w:cs="Times New Roman"/>
          <w:b/>
          <w:bCs/>
        </w:rPr>
        <w:t>内生驱动、协同发展</w:t>
      </w:r>
      <w:bookmarkEnd w:id="68"/>
      <w:r>
        <w:rPr>
          <w:rFonts w:hint="eastAsia" w:ascii="Times New Roman" w:hAnsi="Times New Roman" w:cs="Times New Roman"/>
          <w:b/>
          <w:bCs/>
        </w:rPr>
        <w:t>。</w:t>
      </w:r>
      <w:r>
        <w:rPr>
          <w:rFonts w:hint="eastAsia" w:ascii="Times New Roman" w:hAnsi="Times New Roman" w:cs="Times New Roman"/>
        </w:rPr>
        <w:t>立足京津冀协同发展大局，积极承接北京非首都功能疏解，形成按产业链纵向分工和相关产业横向聚集的专业化特色产业园区和产业密集带，加快推进产业协同发展。坚持以国内大循环为主体，国内国际双循环相互促进，推进更高水平对外开放，提升产业链供应链稳定性和竞争力。</w:t>
      </w:r>
    </w:p>
    <w:p>
      <w:pPr>
        <w:widowControl/>
        <w:snapToGrid w:val="0"/>
        <w:ind w:firstLine="642" w:firstLineChars="200"/>
        <w:jc w:val="left"/>
        <w:textAlignment w:val="baseline"/>
        <w:rPr>
          <w:rFonts w:ascii="楷体_GB2312" w:hAnsi="Calibri" w:eastAsia="楷体_GB2312" w:cs="Times New Roman"/>
          <w:b/>
          <w:sz w:val="20"/>
          <w:szCs w:val="32"/>
        </w:rPr>
      </w:pPr>
      <w:bookmarkStart w:id="69" w:name="_Toc61343597"/>
      <w:bookmarkStart w:id="70" w:name="_Hlk59722710"/>
      <w:r>
        <w:rPr>
          <w:rFonts w:hint="eastAsia" w:ascii="楷体_GB2312" w:hAnsi="Calibri" w:eastAsia="楷体_GB2312" w:cs="Times New Roman"/>
          <w:b/>
          <w:szCs w:val="32"/>
        </w:rPr>
        <w:t>（三）总体目标</w:t>
      </w:r>
      <w:bookmarkEnd w:id="69"/>
    </w:p>
    <w:bookmarkEnd w:id="70"/>
    <w:p>
      <w:pPr>
        <w:ind w:firstLine="640" w:firstLineChars="200"/>
        <w:textAlignment w:val="baseline"/>
        <w:rPr>
          <w:rFonts w:ascii="Times New Roman" w:hAnsi="Times New Roman" w:cs="Times New Roman"/>
          <w:sz w:val="20"/>
        </w:rPr>
      </w:pPr>
      <w:bookmarkStart w:id="71" w:name="_Hlk59722717"/>
      <w:r>
        <w:rPr>
          <w:rFonts w:hint="eastAsia" w:ascii="Times New Roman" w:hAnsi="Times New Roman" w:cs="Times New Roman"/>
        </w:rPr>
        <w:t>通过五年时间努力，推动产业高端化、平台高能级、企业雁阵式、服务精准化，力争工业结构、质量、效益和创新能力再上新台阶，新动能引育实现突破性进展，将东丽打造成为全市经济发展新增长点。到2</w:t>
      </w:r>
      <w:r>
        <w:rPr>
          <w:rFonts w:ascii="Times New Roman" w:hAnsi="Times New Roman" w:cs="Times New Roman"/>
        </w:rPr>
        <w:t>025</w:t>
      </w:r>
      <w:r>
        <w:rPr>
          <w:rFonts w:hint="eastAsia" w:ascii="Times New Roman" w:hAnsi="Times New Roman" w:cs="Times New Roman"/>
        </w:rPr>
        <w:t>年，工业增加值占全区G</w:t>
      </w:r>
      <w:r>
        <w:rPr>
          <w:rFonts w:ascii="Times New Roman" w:hAnsi="Times New Roman" w:cs="Times New Roman"/>
        </w:rPr>
        <w:t>DP</w:t>
      </w:r>
      <w:r>
        <w:rPr>
          <w:rFonts w:hint="eastAsia" w:ascii="Times New Roman" w:hAnsi="Times New Roman" w:cs="Times New Roman"/>
        </w:rPr>
        <w:t>比重保持在35</w:t>
      </w:r>
      <w:r>
        <w:rPr>
          <w:rFonts w:ascii="Times New Roman" w:hAnsi="Times New Roman" w:cs="Times New Roman"/>
        </w:rPr>
        <w:t>%</w:t>
      </w:r>
      <w:r>
        <w:rPr>
          <w:rFonts w:hint="eastAsia" w:ascii="Times New Roman" w:hAnsi="Times New Roman" w:cs="Times New Roman"/>
        </w:rPr>
        <w:t>以上，工业战略性新兴企业达到1</w:t>
      </w:r>
      <w:r>
        <w:rPr>
          <w:rFonts w:ascii="Times New Roman" w:hAnsi="Times New Roman" w:cs="Times New Roman"/>
        </w:rPr>
        <w:t>00</w:t>
      </w:r>
      <w:r>
        <w:rPr>
          <w:rFonts w:hint="eastAsia" w:ascii="Times New Roman" w:hAnsi="Times New Roman" w:cs="Times New Roman"/>
        </w:rPr>
        <w:t>家，工业战略性新兴产业增加值占全市规上工业增加值比重1</w:t>
      </w:r>
      <w:r>
        <w:rPr>
          <w:rFonts w:ascii="Times New Roman" w:hAnsi="Times New Roman" w:cs="Times New Roman"/>
        </w:rPr>
        <w:t>.5</w:t>
      </w:r>
      <w:r>
        <w:rPr>
          <w:rFonts w:hint="eastAsia" w:ascii="Times New Roman" w:hAnsi="Times New Roman" w:cs="Times New Roman"/>
        </w:rPr>
        <w:t>%，</w:t>
      </w:r>
      <w:bookmarkEnd w:id="71"/>
      <w:r>
        <w:rPr>
          <w:rFonts w:hint="eastAsia" w:ascii="Times New Roman" w:hAnsi="Times New Roman" w:cs="Times New Roman"/>
        </w:rPr>
        <w:t>具体目标包括：</w:t>
      </w:r>
    </w:p>
    <w:p>
      <w:pPr>
        <w:ind w:firstLine="642" w:firstLineChars="200"/>
        <w:textAlignment w:val="baseline"/>
        <w:rPr>
          <w:rFonts w:ascii="Times New Roman" w:hAnsi="Times New Roman" w:cs="Times New Roman"/>
          <w:sz w:val="20"/>
        </w:rPr>
      </w:pPr>
      <w:r>
        <w:rPr>
          <w:rFonts w:hint="eastAsia" w:ascii="Times New Roman" w:hAnsi="Times New Roman" w:cs="Times New Roman"/>
          <w:b/>
          <w:bCs/>
        </w:rPr>
        <w:t>—产业质量效益迈上新台阶。</w:t>
      </w:r>
      <w:r>
        <w:rPr>
          <w:rFonts w:hint="eastAsia" w:ascii="Times New Roman" w:hAnsi="Times New Roman" w:cs="Times New Roman"/>
        </w:rPr>
        <w:t>到2025年，全区规模以上工业增加值达到</w:t>
      </w:r>
      <w:r>
        <w:rPr>
          <w:rFonts w:ascii="Times New Roman" w:hAnsi="Times New Roman" w:cs="Times New Roman"/>
        </w:rPr>
        <w:t>310</w:t>
      </w:r>
      <w:r>
        <w:rPr>
          <w:rFonts w:hint="eastAsia" w:ascii="Times New Roman" w:hAnsi="Times New Roman" w:cs="Times New Roman"/>
        </w:rPr>
        <w:t>亿元，年均增长6%；规模以上工业增加值率稳步提升，工业经济发展质量和效益持续提高。</w:t>
      </w:r>
    </w:p>
    <w:p>
      <w:pPr>
        <w:pStyle w:val="2"/>
        <w:ind w:firstLine="642" w:firstLineChars="200"/>
        <w:jc w:val="both"/>
        <w:textAlignment w:val="baseline"/>
        <w:rPr>
          <w:rFonts w:ascii="Times New Roman" w:hAnsi="Times New Roman" w:eastAsia="仿宋_GB2312" w:cs="Times New Roman"/>
          <w:kern w:val="2"/>
          <w:szCs w:val="22"/>
          <w:lang w:val="en-US" w:bidi="ar-SA"/>
        </w:rPr>
      </w:pPr>
      <w:r>
        <w:rPr>
          <w:rFonts w:hint="eastAsia" w:ascii="Times New Roman" w:hAnsi="Times New Roman" w:eastAsia="仿宋_GB2312" w:cs="Times New Roman"/>
          <w:b/>
          <w:bCs/>
          <w:kern w:val="2"/>
          <w:szCs w:val="22"/>
          <w:lang w:val="en-US" w:bidi="ar-SA"/>
        </w:rPr>
        <w:t>—产业创新转型实现新提升。</w:t>
      </w:r>
      <w:r>
        <w:rPr>
          <w:rFonts w:hint="eastAsia" w:ascii="Times New Roman" w:hAnsi="Times New Roman" w:eastAsia="仿宋_GB2312" w:cs="Times New Roman"/>
          <w:kern w:val="2"/>
          <w:szCs w:val="22"/>
          <w:lang w:val="en-US" w:bidi="ar-SA"/>
        </w:rPr>
        <w:t>到</w:t>
      </w:r>
      <w:r>
        <w:rPr>
          <w:rFonts w:ascii="Times New Roman" w:hAnsi="Times New Roman" w:eastAsia="仿宋_GB2312" w:cs="Times New Roman"/>
          <w:kern w:val="2"/>
          <w:szCs w:val="22"/>
          <w:lang w:val="en-US" w:bidi="ar-SA"/>
        </w:rPr>
        <w:t>2025</w:t>
      </w:r>
      <w:r>
        <w:rPr>
          <w:rFonts w:hint="eastAsia" w:ascii="Times New Roman" w:hAnsi="Times New Roman" w:eastAsia="仿宋_GB2312" w:cs="Times New Roman"/>
          <w:kern w:val="2"/>
          <w:szCs w:val="22"/>
          <w:lang w:val="en-US" w:bidi="ar-SA"/>
        </w:rPr>
        <w:t>年，力争打造新材料</w:t>
      </w:r>
      <w:r>
        <w:rPr>
          <w:rFonts w:ascii="Times New Roman" w:hAnsi="Times New Roman" w:eastAsia="仿宋_GB2312" w:cs="Times New Roman"/>
          <w:kern w:val="2"/>
          <w:szCs w:val="22"/>
          <w:lang w:val="en-US" w:bidi="ar-SA"/>
        </w:rPr>
        <w:t>1</w:t>
      </w:r>
      <w:r>
        <w:rPr>
          <w:rFonts w:hint="eastAsia" w:ascii="Times New Roman" w:hAnsi="Times New Roman" w:eastAsia="仿宋_GB2312" w:cs="Times New Roman"/>
          <w:kern w:val="2"/>
          <w:szCs w:val="22"/>
          <w:lang w:val="en-US" w:bidi="ar-SA"/>
        </w:rPr>
        <w:t>个千亿级产业集群，高端装备制造、生物医药2个百亿级产业集群，</w:t>
      </w:r>
      <w:r>
        <w:rPr>
          <w:rFonts w:ascii="Times New Roman" w:hAnsi="Times New Roman" w:eastAsia="仿宋_GB2312" w:cs="Times New Roman"/>
          <w:kern w:val="2"/>
          <w:szCs w:val="22"/>
          <w:lang w:val="en-US" w:bidi="ar-SA"/>
        </w:rPr>
        <w:t>3</w:t>
      </w:r>
      <w:r>
        <w:rPr>
          <w:rFonts w:hint="eastAsia" w:ascii="Times New Roman" w:hAnsi="Times New Roman" w:eastAsia="仿宋_GB2312" w:cs="Times New Roman"/>
          <w:kern w:val="2"/>
          <w:szCs w:val="22"/>
          <w:lang w:val="en-US" w:bidi="ar-SA"/>
        </w:rPr>
        <w:t>家特色主题园区；培育一批领航企业、单项冠军企业</w:t>
      </w:r>
      <w:r>
        <w:rPr>
          <w:rFonts w:hint="eastAsia" w:ascii="仿宋_GB2312" w:hAnsi="Times New Roman" w:eastAsia="仿宋_GB2312" w:cs="Times New Roman"/>
          <w:kern w:val="2"/>
          <w:szCs w:val="22"/>
          <w:lang w:val="en-US" w:bidi="ar-SA"/>
        </w:rPr>
        <w:t>、国家专精特新“小巨人”企业、市级“专精特新”中小企业；进一步强化企业创新主体地位，市级“专精特新”中小</w:t>
      </w:r>
      <w:r>
        <w:rPr>
          <w:rFonts w:ascii="Times New Roman" w:hAnsi="Times New Roman" w:eastAsia="仿宋_GB2312" w:cs="Times New Roman"/>
          <w:kern w:val="2"/>
          <w:szCs w:val="22"/>
          <w:lang w:val="en-US" w:bidi="ar-SA"/>
        </w:rPr>
        <w:t>企业</w:t>
      </w:r>
      <w:r>
        <w:rPr>
          <w:rFonts w:hint="eastAsia" w:ascii="Times New Roman" w:hAnsi="Times New Roman" w:eastAsia="仿宋_GB2312" w:cs="Times New Roman"/>
          <w:kern w:val="2"/>
          <w:szCs w:val="22"/>
          <w:lang w:val="en-US" w:bidi="ar-SA"/>
        </w:rPr>
        <w:t>累计获批数量</w:t>
      </w:r>
      <w:r>
        <w:rPr>
          <w:rFonts w:ascii="Times New Roman" w:hAnsi="Times New Roman" w:eastAsia="仿宋_GB2312" w:cs="Times New Roman"/>
          <w:kern w:val="2"/>
          <w:szCs w:val="22"/>
          <w:lang w:val="en-US" w:bidi="ar-SA"/>
        </w:rPr>
        <w:t>达到50家以上；</w:t>
      </w:r>
      <w:r>
        <w:rPr>
          <w:rFonts w:hint="eastAsia" w:ascii="Times New Roman" w:hAnsi="Times New Roman" w:eastAsia="仿宋_GB2312" w:cs="Times New Roman"/>
          <w:kern w:val="2"/>
          <w:szCs w:val="22"/>
          <w:lang w:val="en-US" w:bidi="ar-SA"/>
        </w:rPr>
        <w:t>加快推动</w:t>
      </w:r>
      <w:r>
        <w:rPr>
          <w:rFonts w:ascii="Times New Roman" w:hAnsi="Times New Roman" w:eastAsia="仿宋_GB2312" w:cs="Times New Roman"/>
          <w:kern w:val="2"/>
          <w:szCs w:val="22"/>
          <w:lang w:val="en-US" w:bidi="ar-SA"/>
        </w:rPr>
        <w:t>5G</w:t>
      </w:r>
      <w:r>
        <w:rPr>
          <w:rFonts w:hint="eastAsia" w:ascii="Times New Roman" w:hAnsi="Times New Roman" w:eastAsia="仿宋_GB2312" w:cs="Times New Roman"/>
          <w:kern w:val="2"/>
          <w:szCs w:val="22"/>
          <w:lang w:val="en-US" w:bidi="ar-SA"/>
        </w:rPr>
        <w:t>与垂直行业融合发展，打造</w:t>
      </w:r>
      <w:r>
        <w:rPr>
          <w:rFonts w:ascii="Times New Roman" w:hAnsi="Times New Roman" w:eastAsia="仿宋_GB2312" w:cs="Times New Roman"/>
          <w:kern w:val="2"/>
          <w:szCs w:val="22"/>
          <w:lang w:val="en-US" w:bidi="ar-SA"/>
        </w:rPr>
        <w:t>30个5G</w:t>
      </w:r>
      <w:r>
        <w:rPr>
          <w:rFonts w:hint="eastAsia" w:ascii="Times New Roman" w:hAnsi="Times New Roman" w:eastAsia="仿宋_GB2312" w:cs="Times New Roman"/>
          <w:kern w:val="2"/>
          <w:szCs w:val="22"/>
          <w:lang w:val="en-US" w:bidi="ar-SA"/>
        </w:rPr>
        <w:t>典型</w:t>
      </w:r>
      <w:r>
        <w:rPr>
          <w:rFonts w:ascii="Times New Roman" w:hAnsi="Times New Roman" w:eastAsia="仿宋_GB2312" w:cs="Times New Roman"/>
          <w:kern w:val="2"/>
          <w:szCs w:val="22"/>
          <w:lang w:val="en-US" w:bidi="ar-SA"/>
        </w:rPr>
        <w:t>应用场景</w:t>
      </w:r>
      <w:r>
        <w:rPr>
          <w:rFonts w:hint="eastAsia" w:ascii="Times New Roman" w:hAnsi="Times New Roman" w:eastAsia="仿宋_GB2312" w:cs="Times New Roman"/>
          <w:kern w:val="2"/>
          <w:szCs w:val="22"/>
          <w:lang w:val="en-US" w:bidi="ar-SA"/>
        </w:rPr>
        <w:t>。</w:t>
      </w:r>
    </w:p>
    <w:p>
      <w:pPr>
        <w:ind w:firstLine="642" w:firstLineChars="200"/>
        <w:textAlignment w:val="baseline"/>
        <w:rPr>
          <w:rFonts w:ascii="Times New Roman" w:hAnsi="Times New Roman" w:cs="Times New Roman"/>
          <w:sz w:val="20"/>
        </w:rPr>
      </w:pPr>
      <w:r>
        <w:rPr>
          <w:rFonts w:hint="eastAsia" w:ascii="Times New Roman" w:hAnsi="Times New Roman" w:cs="Times New Roman"/>
          <w:b/>
          <w:bCs/>
        </w:rPr>
        <w:t>—</w:t>
      </w:r>
      <w:bookmarkStart w:id="72" w:name="_Hlk64971855"/>
      <w:r>
        <w:rPr>
          <w:rFonts w:hint="eastAsia" w:ascii="Times New Roman" w:hAnsi="Times New Roman" w:cs="Times New Roman"/>
          <w:b/>
          <w:bCs/>
        </w:rPr>
        <w:t>绿色发展能力取得新成效</w:t>
      </w:r>
      <w:bookmarkEnd w:id="72"/>
      <w:r>
        <w:rPr>
          <w:rFonts w:hint="eastAsia" w:ascii="Times New Roman" w:hAnsi="Times New Roman" w:cs="Times New Roman"/>
          <w:b/>
          <w:bCs/>
        </w:rPr>
        <w:t>。</w:t>
      </w:r>
      <w:r>
        <w:rPr>
          <w:rFonts w:hint="eastAsia" w:ascii="Times New Roman" w:hAnsi="Times New Roman" w:cs="Times New Roman"/>
        </w:rPr>
        <w:t>到2</w:t>
      </w:r>
      <w:r>
        <w:rPr>
          <w:rFonts w:ascii="Times New Roman" w:hAnsi="Times New Roman" w:cs="Times New Roman"/>
        </w:rPr>
        <w:t>025</w:t>
      </w:r>
      <w:r>
        <w:rPr>
          <w:rFonts w:hint="eastAsia" w:ascii="Times New Roman" w:hAnsi="Times New Roman" w:cs="Times New Roman"/>
        </w:rPr>
        <w:t>年，</w:t>
      </w:r>
      <w:bookmarkStart w:id="73" w:name="_Hlk64971864"/>
      <w:r>
        <w:rPr>
          <w:rFonts w:hint="eastAsia" w:ascii="Times New Roman" w:hAnsi="Times New Roman" w:cs="Times New Roman"/>
        </w:rPr>
        <w:t>市级以上绿色工厂数量达到2</w:t>
      </w:r>
      <w:r>
        <w:rPr>
          <w:rFonts w:ascii="Times New Roman" w:hAnsi="Times New Roman" w:cs="Times New Roman"/>
        </w:rPr>
        <w:t>6</w:t>
      </w:r>
      <w:r>
        <w:rPr>
          <w:rFonts w:hint="eastAsia" w:ascii="Times New Roman" w:hAnsi="Times New Roman" w:cs="Times New Roman"/>
        </w:rPr>
        <w:t>家</w:t>
      </w:r>
      <w:bookmarkEnd w:id="73"/>
      <w:r>
        <w:rPr>
          <w:rFonts w:hint="eastAsia" w:ascii="Times New Roman" w:hAnsi="Times New Roman" w:cs="Times New Roman"/>
        </w:rPr>
        <w:t>，绿色制造技术得到普遍应用，规模以上工业万元增加值能耗、工业用地产业效率等指标达到市级要求标准，土地产出效益和集约利用水平大幅提升。</w:t>
      </w:r>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shd w:val="pct10" w:color="auto" w:fill="FFFFFF"/>
        </w:rPr>
      </w:pPr>
      <w:bookmarkStart w:id="74" w:name="_Toc61343598"/>
      <w:r>
        <w:rPr>
          <w:rFonts w:hint="eastAsia" w:ascii="Times New Roman" w:hAnsi="Times New Roman" w:cs="Times New Roman"/>
          <w:b w:val="0"/>
          <w:bCs w:val="0"/>
          <w:kern w:val="2"/>
          <w:szCs w:val="32"/>
        </w:rPr>
        <w:t>三、重点产业</w:t>
      </w:r>
      <w:bookmarkEnd w:id="74"/>
    </w:p>
    <w:p>
      <w:pPr>
        <w:ind w:firstLine="640" w:firstLineChars="200"/>
        <w:textAlignment w:val="baseline"/>
        <w:rPr>
          <w:rFonts w:ascii="Times New Roman" w:hAnsi="Times New Roman" w:cs="Times New Roman"/>
          <w:sz w:val="20"/>
        </w:rPr>
      </w:pPr>
      <w:bookmarkStart w:id="75" w:name="_Hlk64971186"/>
      <w:r>
        <w:rPr>
          <w:rFonts w:hint="eastAsia" w:ascii="Times New Roman" w:hAnsi="Times New Roman" w:cs="Times New Roman"/>
        </w:rPr>
        <w:t>立足现有产业基础和发展优势，</w:t>
      </w:r>
      <w:r>
        <w:rPr>
          <w:rFonts w:ascii="Times New Roman" w:hAnsi="Times New Roman" w:cs="Times New Roman"/>
        </w:rPr>
        <w:t>瞄准国际</w:t>
      </w:r>
      <w:r>
        <w:rPr>
          <w:rFonts w:hint="eastAsia" w:ascii="Times New Roman" w:hAnsi="Times New Roman" w:cs="Times New Roman"/>
        </w:rPr>
        <w:t>国内科技和产业变革前沿</w:t>
      </w:r>
      <w:r>
        <w:rPr>
          <w:rFonts w:ascii="Times New Roman" w:hAnsi="Times New Roman" w:cs="Times New Roman"/>
        </w:rPr>
        <w:t>，</w:t>
      </w:r>
      <w:r>
        <w:rPr>
          <w:rFonts w:hint="eastAsia" w:ascii="Times New Roman" w:hAnsi="Times New Roman" w:cs="Times New Roman"/>
        </w:rPr>
        <w:t>推动自主创新、开放协同创新双向发力，紧密结合天津市新动能引育计划和战新产业提升发展行动计划要求，加快推进智能科技产业发展，坚持引进和培育并重，培育壮大</w:t>
      </w:r>
      <w:bookmarkStart w:id="76" w:name="_Hlk64906354"/>
      <w:r>
        <w:rPr>
          <w:rFonts w:hint="eastAsia" w:ascii="Times New Roman" w:hAnsi="Times New Roman" w:cs="Times New Roman"/>
        </w:rPr>
        <w:t>高端装备制造、新一代汽车技术、新材料、生物医药四大主导产业</w:t>
      </w:r>
      <w:bookmarkEnd w:id="76"/>
      <w:r>
        <w:rPr>
          <w:rFonts w:hint="eastAsia" w:ascii="Times New Roman" w:hAnsi="Times New Roman" w:cs="Times New Roman"/>
        </w:rPr>
        <w:t>，前瞻谋划石墨烯、仿生材料等一批未来产业，抢抓新赛道、培育新业态、构建新平台、打造新场景，</w:t>
      </w:r>
      <w:bookmarkStart w:id="77" w:name="_Hlk65054341"/>
      <w:r>
        <w:rPr>
          <w:rFonts w:hint="eastAsia" w:ascii="Times New Roman" w:hAnsi="Times New Roman" w:cs="Times New Roman"/>
        </w:rPr>
        <w:t>着力构建以战略性新兴产业为引领，以先进制造业为支撑，以智能科技为特色的现代新型工业化体系，助推工业经济实现高质量发展。</w:t>
      </w:r>
      <w:bookmarkEnd w:id="77"/>
    </w:p>
    <w:bookmarkEnd w:id="75"/>
    <w:p>
      <w:pPr>
        <w:ind w:firstLine="642" w:firstLineChars="200"/>
        <w:textAlignment w:val="baseline"/>
        <w:rPr>
          <w:rFonts w:ascii="Times New Roman" w:hAnsi="Times New Roman" w:cs="Times New Roman"/>
          <w:b/>
          <w:sz w:val="20"/>
          <w:szCs w:val="32"/>
        </w:rPr>
      </w:pPr>
      <w:bookmarkStart w:id="78" w:name="_Toc61343599"/>
      <w:r>
        <w:rPr>
          <w:rFonts w:hint="eastAsia" w:ascii="Times New Roman" w:hAnsi="Times New Roman" w:cs="Times New Roman"/>
          <w:b/>
          <w:szCs w:val="32"/>
        </w:rPr>
        <w:t>（一）</w:t>
      </w:r>
      <w:r>
        <w:rPr>
          <w:rFonts w:ascii="Times New Roman" w:hAnsi="Times New Roman" w:cs="Times New Roman"/>
          <w:b/>
          <w:szCs w:val="32"/>
        </w:rPr>
        <w:t>高端装备</w:t>
      </w:r>
      <w:r>
        <w:rPr>
          <w:rFonts w:hint="eastAsia" w:ascii="Times New Roman" w:hAnsi="Times New Roman" w:cs="Times New Roman"/>
          <w:b/>
          <w:szCs w:val="32"/>
        </w:rPr>
        <w:t>制造</w:t>
      </w:r>
      <w:bookmarkEnd w:id="78"/>
    </w:p>
    <w:p>
      <w:pPr>
        <w:pStyle w:val="2"/>
        <w:ind w:firstLine="640" w:firstLineChars="200"/>
        <w:textAlignment w:val="baseline"/>
        <w:rPr>
          <w:rFonts w:ascii="Times New Roman" w:hAnsi="Times New Roman" w:eastAsia="仿宋_GB2312" w:cs="Times New Roman"/>
          <w:kern w:val="2"/>
          <w:szCs w:val="22"/>
          <w:lang w:val="en-US" w:bidi="ar-SA"/>
        </w:rPr>
      </w:pPr>
      <w:r>
        <w:rPr>
          <w:rFonts w:ascii="Times New Roman" w:hAnsi="Times New Roman" w:eastAsia="仿宋_GB2312" w:cs="Times New Roman"/>
          <w:kern w:val="2"/>
          <w:szCs w:val="22"/>
          <w:lang w:val="en-US" w:bidi="ar-SA"/>
        </w:rPr>
        <w:t>以</w:t>
      </w:r>
      <w:r>
        <w:rPr>
          <w:rFonts w:hint="eastAsia" w:ascii="Times New Roman" w:hAnsi="Times New Roman" w:eastAsia="仿宋_GB2312" w:cs="Times New Roman"/>
          <w:kern w:val="2"/>
          <w:szCs w:val="22"/>
          <w:lang w:val="en-US" w:bidi="ar-SA"/>
        </w:rPr>
        <w:t>高端化、绿色化、智能化、服务化为导向，聚焦研发设计、高端制造、系统集成和服务等核心环节，壮大智能装备制造产业，提升发展工业机器人、航空产业，</w:t>
      </w:r>
      <w:r>
        <w:rPr>
          <w:rFonts w:ascii="Times New Roman" w:hAnsi="Times New Roman" w:eastAsia="仿宋_GB2312" w:cs="Times New Roman"/>
          <w:kern w:val="2"/>
          <w:szCs w:val="22"/>
          <w:lang w:val="en-US" w:bidi="ar-SA"/>
        </w:rPr>
        <w:t>形成一批具有核心竞争力的高端产品</w:t>
      </w:r>
      <w:r>
        <w:rPr>
          <w:rFonts w:hint="eastAsia" w:ascii="Times New Roman" w:hAnsi="Times New Roman" w:eastAsia="仿宋_GB2312" w:cs="Times New Roman"/>
          <w:kern w:val="2"/>
          <w:szCs w:val="22"/>
          <w:lang w:val="en-US" w:bidi="ar-SA"/>
        </w:rPr>
        <w:t>。到2</w:t>
      </w:r>
      <w:r>
        <w:rPr>
          <w:rFonts w:ascii="Times New Roman" w:hAnsi="Times New Roman" w:eastAsia="仿宋_GB2312" w:cs="Times New Roman"/>
          <w:kern w:val="2"/>
          <w:szCs w:val="22"/>
          <w:lang w:val="en-US" w:bidi="ar-SA"/>
        </w:rPr>
        <w:t>025</w:t>
      </w:r>
      <w:r>
        <w:rPr>
          <w:rFonts w:hint="eastAsia" w:ascii="Times New Roman" w:hAnsi="Times New Roman" w:eastAsia="仿宋_GB2312" w:cs="Times New Roman"/>
          <w:kern w:val="2"/>
          <w:szCs w:val="22"/>
          <w:lang w:val="en-US" w:bidi="ar-SA"/>
        </w:rPr>
        <w:t>年，形成</w:t>
      </w:r>
      <w:r>
        <w:rPr>
          <w:rFonts w:ascii="Times New Roman" w:hAnsi="Times New Roman" w:eastAsia="仿宋_GB2312" w:cs="Times New Roman"/>
          <w:kern w:val="2"/>
          <w:szCs w:val="22"/>
          <w:lang w:val="en-US" w:bidi="ar-SA"/>
        </w:rPr>
        <w:t>百亿级</w:t>
      </w:r>
      <w:r>
        <w:rPr>
          <w:rFonts w:hint="eastAsia" w:ascii="Times New Roman" w:hAnsi="Times New Roman" w:eastAsia="仿宋_GB2312" w:cs="Times New Roman"/>
          <w:kern w:val="2"/>
          <w:szCs w:val="22"/>
          <w:lang w:val="en-US" w:bidi="ar-SA"/>
        </w:rPr>
        <w:t>高端装备制造产业集群。</w:t>
      </w:r>
    </w:p>
    <w:p>
      <w:pPr>
        <w:ind w:firstLine="642" w:firstLineChars="200"/>
        <w:textAlignment w:val="baseline"/>
        <w:rPr>
          <w:b/>
          <w:i/>
          <w:caps/>
        </w:rPr>
      </w:pPr>
      <w:bookmarkStart w:id="79" w:name="_Toc61343600"/>
      <w:r>
        <w:rPr>
          <w:rFonts w:ascii="Times New Roman" w:hAnsi="Times New Roman" w:cs="Times New Roman"/>
          <w:b/>
          <w:szCs w:val="32"/>
        </w:rPr>
        <w:t>1.智能装备制造。</w:t>
      </w:r>
      <w:r>
        <w:t>依托一重天津重工、中车</w:t>
      </w:r>
      <w:r>
        <w:rPr>
          <w:rFonts w:hint="eastAsia"/>
        </w:rPr>
        <w:t>唐车、</w:t>
      </w:r>
      <w:r>
        <w:t>平高电气、中电华利等龙头企业，聚焦核心零部件和整机装备制造领域，推动重型装备、轨道交通、高端电气、冶金设备等行业规模化、品牌化发展，推动机器人与增材设备、重大成套设备、智能测控装备、智能关键基础零部件等领域创新发展，引导支持龙头企业向总集成、总承包方向发展，提供具有网络通信、能源管理、远程监控、运维服务等功能的工业物联网整体解决方案服务。推动生产过程数字化、柔性化和智能化，加快智能制造成套设备的产业化和示范应用，大力提升智能制造成套装备的整</w:t>
      </w:r>
      <w:r>
        <w:rPr>
          <w:rFonts w:hint="eastAsia"/>
        </w:rPr>
        <w:t>体水平，形成一批具有核心竞争力的智能技术、智能产品和智能制造企业，打造全市智能装备制造产业转型升级的核心引领区。</w:t>
      </w:r>
      <w:bookmarkEnd w:id="79"/>
    </w:p>
    <w:p>
      <w:pPr>
        <w:pStyle w:val="2"/>
        <w:ind w:firstLine="642" w:firstLineChars="200"/>
        <w:jc w:val="both"/>
        <w:textAlignment w:val="baseline"/>
        <w:rPr>
          <w:rFonts w:ascii="Times New Roman" w:hAnsi="Times New Roman" w:eastAsia="仿宋_GB2312" w:cs="Times New Roman"/>
          <w:bCs/>
          <w:kern w:val="2"/>
          <w:lang w:val="en-US" w:bidi="ar-SA"/>
        </w:rPr>
      </w:pPr>
      <w:bookmarkStart w:id="80" w:name="_Hlk59722822"/>
      <w:bookmarkStart w:id="81" w:name="_Toc59728487"/>
      <w:bookmarkStart w:id="82" w:name="_Toc61343601"/>
      <w:r>
        <w:rPr>
          <w:rFonts w:ascii="Times New Roman" w:hAnsi="Times New Roman" w:eastAsia="仿宋_GB2312" w:cs="Times New Roman"/>
          <w:b/>
          <w:kern w:val="2"/>
          <w:lang w:val="en-US" w:bidi="ar-SA"/>
        </w:rPr>
        <w:t>2.航空产业。</w:t>
      </w:r>
      <w:bookmarkEnd w:id="80"/>
      <w:r>
        <w:rPr>
          <w:rFonts w:ascii="Times New Roman" w:hAnsi="Times New Roman" w:eastAsia="仿宋_GB2312" w:cs="Times New Roman"/>
          <w:bCs/>
          <w:kern w:val="2"/>
          <w:lang w:val="en-US" w:bidi="ar-SA"/>
        </w:rPr>
        <w:t>依托航天精工、成立航空、航天和兴等龙头企业，聚焦大飞机配套、飞机内饰、飞机结构、机载设备、动力系统等领域，以智慧值机服务设备为切入点</w:t>
      </w:r>
      <w:r>
        <w:rPr>
          <w:rFonts w:hint="eastAsia" w:ascii="Times New Roman" w:hAnsi="Times New Roman" w:eastAsia="仿宋_GB2312" w:cs="Times New Roman"/>
          <w:bCs/>
          <w:kern w:val="2"/>
          <w:lang w:val="en-US" w:bidi="ar-SA"/>
        </w:rPr>
        <w:t>，吸引智慧机场设备制造、通讯方案解决商、互联网智能类、电子商务类等领域</w:t>
      </w:r>
      <w:r>
        <w:rPr>
          <w:rFonts w:ascii="Times New Roman" w:hAnsi="Times New Roman" w:eastAsia="仿宋_GB2312" w:cs="Times New Roman"/>
          <w:bCs/>
          <w:kern w:val="2"/>
          <w:lang w:val="en-US" w:bidi="ar-SA"/>
        </w:rPr>
        <w:t>生产制造</w:t>
      </w:r>
      <w:r>
        <w:rPr>
          <w:rFonts w:hint="eastAsia" w:ascii="Times New Roman" w:hAnsi="Times New Roman" w:eastAsia="仿宋_GB2312" w:cs="Times New Roman"/>
          <w:bCs/>
          <w:kern w:val="2"/>
          <w:lang w:val="en-US" w:bidi="ar-SA"/>
        </w:rPr>
        <w:t>及上下游配套企业，搭建新型智慧机场创新应用场景，加快临空智能制造产业园、航空科技智慧谷等重点项目建设，</w:t>
      </w:r>
      <w:bookmarkStart w:id="83" w:name="_Hlk64980231"/>
      <w:r>
        <w:rPr>
          <w:rFonts w:ascii="Times New Roman" w:hAnsi="Times New Roman" w:eastAsia="仿宋_GB2312" w:cs="Times New Roman"/>
          <w:bCs/>
          <w:kern w:val="2"/>
          <w:lang w:val="en-US" w:bidi="ar-SA"/>
        </w:rPr>
        <w:t>重点发展高端紧固件、金属结构件、特种电线电缆等优势产品，</w:t>
      </w:r>
      <w:bookmarkEnd w:id="83"/>
      <w:r>
        <w:rPr>
          <w:rFonts w:ascii="Times New Roman" w:hAnsi="Times New Roman" w:eastAsia="仿宋_GB2312" w:cs="Times New Roman"/>
          <w:bCs/>
          <w:kern w:val="2"/>
          <w:lang w:val="en-US" w:bidi="ar-SA"/>
        </w:rPr>
        <w:t>培育引进无人机核心零部件研发、发动机生产及配套设备、智能检测监测设备、智能物流装备等一批重点项目，配套发展适航测试、航空维修等高附加值环节，打造集高端零部件制造、维修检测、智慧机场设备于一体的航空产业集群。</w:t>
      </w:r>
      <w:bookmarkEnd w:id="81"/>
      <w:bookmarkEnd w:id="82"/>
    </w:p>
    <w:p>
      <w:pPr>
        <w:ind w:firstLine="642" w:firstLineChars="200"/>
        <w:textAlignment w:val="baseline"/>
        <w:rPr>
          <w:rFonts w:ascii="Times New Roman" w:hAnsi="Times New Roman" w:cs="Times New Roman"/>
          <w:sz w:val="20"/>
          <w:szCs w:val="32"/>
        </w:rPr>
      </w:pPr>
      <w:bookmarkStart w:id="84" w:name="_Toc61343602"/>
      <w:r>
        <w:rPr>
          <w:rFonts w:ascii="Times New Roman" w:hAnsi="Times New Roman" w:cs="Times New Roman"/>
          <w:b/>
          <w:szCs w:val="32"/>
        </w:rPr>
        <w:t>3.</w:t>
      </w:r>
      <w:r>
        <w:rPr>
          <w:rFonts w:hint="eastAsia" w:ascii="Times New Roman" w:hAnsi="Times New Roman" w:cs="Times New Roman"/>
          <w:b/>
          <w:szCs w:val="32"/>
        </w:rPr>
        <w:t>工业机器人。</w:t>
      </w:r>
      <w:r>
        <w:rPr>
          <w:rFonts w:hint="eastAsia" w:ascii="Times New Roman" w:hAnsi="Times New Roman" w:cs="Times New Roman"/>
          <w:szCs w:val="32"/>
        </w:rPr>
        <w:t>依托海特传动、清研同创等优势</w:t>
      </w:r>
      <w:r>
        <w:rPr>
          <w:rFonts w:hint="eastAsia" w:ascii="Times New Roman" w:hAnsi="Times New Roman" w:cs="Times New Roman"/>
          <w:bCs/>
          <w:szCs w:val="32"/>
        </w:rPr>
        <w:t>企业，重点发展喷漆、焊接、搬运、涂胶、装配、检测等领域机器人，加大工业机器人配套零部件企业引育力度，不断</w:t>
      </w:r>
      <w:r>
        <w:rPr>
          <w:rFonts w:ascii="Times New Roman" w:hAnsi="Times New Roman" w:cs="Times New Roman"/>
          <w:bCs/>
          <w:szCs w:val="32"/>
        </w:rPr>
        <w:t>提高本地化配套率和配套水平</w:t>
      </w:r>
      <w:r>
        <w:rPr>
          <w:rFonts w:hint="eastAsia" w:ascii="Times New Roman" w:hAnsi="Times New Roman" w:cs="Times New Roman"/>
          <w:bCs/>
          <w:szCs w:val="32"/>
        </w:rPr>
        <w:t>。</w:t>
      </w:r>
      <w:r>
        <w:rPr>
          <w:rFonts w:ascii="Times New Roman" w:hAnsi="Times New Roman" w:cs="Times New Roman"/>
          <w:bCs/>
          <w:szCs w:val="32"/>
        </w:rPr>
        <w:t>依托清华高端院等载体</w:t>
      </w:r>
      <w:r>
        <w:rPr>
          <w:rFonts w:hint="eastAsia" w:ascii="Times New Roman" w:hAnsi="Times New Roman" w:cs="Times New Roman"/>
          <w:bCs/>
          <w:szCs w:val="32"/>
        </w:rPr>
        <w:t>，加快</w:t>
      </w:r>
      <w:r>
        <w:rPr>
          <w:rFonts w:ascii="Times New Roman" w:hAnsi="Times New Roman" w:cs="Times New Roman"/>
          <w:bCs/>
          <w:szCs w:val="32"/>
        </w:rPr>
        <w:t>培育和孵化高端创业企业，</w:t>
      </w:r>
      <w:r>
        <w:rPr>
          <w:rFonts w:hint="eastAsia" w:ascii="Times New Roman" w:hAnsi="Times New Roman" w:cs="Times New Roman"/>
          <w:bCs/>
          <w:szCs w:val="32"/>
        </w:rPr>
        <w:t>开展传统制造业</w:t>
      </w:r>
      <w:r>
        <w:rPr>
          <w:rFonts w:hint="eastAsia" w:ascii="仿宋_GB2312" w:hAnsi="Times New Roman" w:cs="Times New Roman"/>
          <w:bCs/>
          <w:szCs w:val="32"/>
        </w:rPr>
        <w:t>“机器换人”工程</w:t>
      </w:r>
      <w:r>
        <w:rPr>
          <w:rFonts w:hint="eastAsia" w:ascii="Times New Roman" w:hAnsi="Times New Roman" w:cs="Times New Roman"/>
          <w:bCs/>
          <w:szCs w:val="32"/>
        </w:rPr>
        <w:t>，加快推动</w:t>
      </w:r>
      <w:r>
        <w:rPr>
          <w:rFonts w:ascii="Times New Roman" w:hAnsi="Times New Roman" w:cs="Times New Roman"/>
          <w:bCs/>
          <w:szCs w:val="32"/>
        </w:rPr>
        <w:t>沃可达</w:t>
      </w:r>
      <w:r>
        <w:rPr>
          <w:rFonts w:hint="eastAsia" w:ascii="Times New Roman" w:hAnsi="Times New Roman" w:cs="Times New Roman"/>
          <w:bCs/>
          <w:szCs w:val="32"/>
        </w:rPr>
        <w:t>电力设备科技园、海特传动工业机器人等重点项目建设，</w:t>
      </w:r>
      <w:r>
        <w:rPr>
          <w:rFonts w:hint="eastAsia" w:ascii="Times New Roman" w:hAnsi="Times New Roman" w:cs="Times New Roman"/>
          <w:szCs w:val="32"/>
        </w:rPr>
        <w:t>不断提升工业机器人</w:t>
      </w:r>
      <w:r>
        <w:rPr>
          <w:rFonts w:ascii="Times New Roman" w:hAnsi="Times New Roman" w:cs="Times New Roman"/>
          <w:szCs w:val="32"/>
        </w:rPr>
        <w:t>技术发展和应用水平</w:t>
      </w:r>
      <w:r>
        <w:rPr>
          <w:rFonts w:hint="eastAsia" w:ascii="Times New Roman" w:hAnsi="Times New Roman" w:cs="Times New Roman"/>
          <w:szCs w:val="32"/>
        </w:rPr>
        <w:t>。</w:t>
      </w:r>
      <w:bookmarkEnd w:id="84"/>
    </w:p>
    <w:p>
      <w:pPr>
        <w:ind w:firstLine="642" w:firstLineChars="200"/>
        <w:textAlignment w:val="baseline"/>
        <w:rPr>
          <w:rFonts w:ascii="Times New Roman" w:hAnsi="Times New Roman" w:cs="Times New Roman"/>
          <w:b/>
          <w:sz w:val="20"/>
          <w:szCs w:val="32"/>
        </w:rPr>
      </w:pPr>
      <w:bookmarkStart w:id="85" w:name="_Toc61343603"/>
      <w:r>
        <w:rPr>
          <w:rFonts w:hint="eastAsia" w:ascii="Times New Roman" w:hAnsi="Times New Roman" w:cs="Times New Roman"/>
          <w:b/>
          <w:szCs w:val="32"/>
        </w:rPr>
        <w:t>（二）新一代汽车技术</w:t>
      </w:r>
      <w:bookmarkEnd w:id="85"/>
    </w:p>
    <w:p>
      <w:pPr>
        <w:pStyle w:val="2"/>
        <w:ind w:firstLine="640" w:firstLineChars="200"/>
        <w:textAlignment w:val="baseline"/>
        <w:rPr>
          <w:rFonts w:ascii="Times New Roman" w:hAnsi="Times New Roman" w:eastAsia="仿宋_GB2312" w:cs="Times New Roman"/>
          <w:kern w:val="2"/>
          <w:lang w:val="en-US" w:bidi="ar-SA"/>
        </w:rPr>
      </w:pPr>
      <w:r>
        <w:rPr>
          <w:rFonts w:hint="eastAsia" w:ascii="Times New Roman" w:hAnsi="Times New Roman" w:eastAsia="仿宋_GB2312" w:cs="Times New Roman"/>
          <w:kern w:val="2"/>
          <w:lang w:val="en-US" w:bidi="ar-SA"/>
        </w:rPr>
        <w:t>坚持电动化、网联化、智能化发展方向，大力发展新能源汽车关键零部件、智能网联汽车、动力电池产业，进一步提升新能源汽车</w:t>
      </w:r>
      <w:r>
        <w:rPr>
          <w:rFonts w:ascii="Times New Roman" w:hAnsi="Times New Roman" w:eastAsia="仿宋_GB2312" w:cs="Times New Roman"/>
          <w:kern w:val="2"/>
          <w:lang w:val="en-US" w:bidi="ar-SA"/>
        </w:rPr>
        <w:t>供应链协同</w:t>
      </w:r>
      <w:r>
        <w:rPr>
          <w:rFonts w:hint="eastAsia" w:ascii="Times New Roman" w:hAnsi="Times New Roman" w:eastAsia="仿宋_GB2312" w:cs="Times New Roman"/>
          <w:kern w:val="2"/>
          <w:lang w:val="en-US" w:bidi="ar-SA"/>
        </w:rPr>
        <w:t>创新</w:t>
      </w:r>
      <w:r>
        <w:rPr>
          <w:rFonts w:ascii="Times New Roman" w:hAnsi="Times New Roman" w:eastAsia="仿宋_GB2312" w:cs="Times New Roman"/>
          <w:kern w:val="2"/>
          <w:lang w:val="en-US" w:bidi="ar-SA"/>
        </w:rPr>
        <w:t>能力</w:t>
      </w:r>
      <w:r>
        <w:rPr>
          <w:rFonts w:hint="eastAsia" w:ascii="Times New Roman" w:hAnsi="Times New Roman" w:eastAsia="仿宋_GB2312" w:cs="Times New Roman"/>
          <w:kern w:val="2"/>
          <w:lang w:val="en-US" w:bidi="ar-SA"/>
        </w:rPr>
        <w:t>，打造京津冀地区新一代汽车技术产业发展高地。</w:t>
      </w:r>
    </w:p>
    <w:p>
      <w:pPr>
        <w:ind w:firstLine="642" w:firstLineChars="200"/>
        <w:textAlignment w:val="baseline"/>
        <w:rPr>
          <w:rFonts w:ascii="Times New Roman" w:hAnsi="Times New Roman" w:cs="Times New Roman"/>
          <w:sz w:val="20"/>
          <w:szCs w:val="32"/>
        </w:rPr>
      </w:pPr>
      <w:bookmarkStart w:id="86" w:name="_Toc61343604"/>
      <w:r>
        <w:rPr>
          <w:rFonts w:ascii="Times New Roman" w:hAnsi="Times New Roman" w:cs="Times New Roman"/>
          <w:b/>
          <w:bCs/>
        </w:rPr>
        <w:t>1.</w:t>
      </w:r>
      <w:r>
        <w:rPr>
          <w:rFonts w:hint="eastAsia" w:ascii="Times New Roman" w:hAnsi="Times New Roman" w:cs="Times New Roman"/>
          <w:b/>
          <w:bCs/>
        </w:rPr>
        <w:t>新能源汽车关键零部件。</w:t>
      </w:r>
      <w:r>
        <w:rPr>
          <w:rFonts w:hint="eastAsia" w:ascii="Times New Roman" w:hAnsi="Times New Roman" w:cs="Times New Roman"/>
        </w:rPr>
        <w:t>把握汽车及零部件行业轻量化、新能源化、智能网联化发展趋势，围绕新能源汽车关键零部件、智能网联汽车等领域，依托电装</w:t>
      </w:r>
      <w:r>
        <w:rPr>
          <w:rFonts w:ascii="Times New Roman" w:hAnsi="Times New Roman" w:cs="Times New Roman"/>
        </w:rPr>
        <w:t>电机、丰田合成等龙头企业</w:t>
      </w:r>
      <w:r>
        <w:rPr>
          <w:rFonts w:ascii="Times New Roman" w:hAnsi="Times New Roman" w:cs="Times New Roman"/>
          <w:szCs w:val="32"/>
        </w:rPr>
        <w:t>，</w:t>
      </w:r>
      <w:r>
        <w:rPr>
          <w:rFonts w:hint="eastAsia" w:ascii="Times New Roman" w:hAnsi="Times New Roman" w:cs="Times New Roman"/>
          <w:szCs w:val="32"/>
        </w:rPr>
        <w:t>重点发展驱动电机、电控系统、动力电池、电动转向、电动制动、充电桩等电动附件及充换电设备，加快推进</w:t>
      </w:r>
      <w:r>
        <w:rPr>
          <w:rFonts w:ascii="Times New Roman" w:hAnsi="Times New Roman" w:cs="Times New Roman"/>
          <w:szCs w:val="32"/>
        </w:rPr>
        <w:t>电装电机新能源汽车驱动电机及逆变器</w:t>
      </w:r>
      <w:r>
        <w:rPr>
          <w:rFonts w:hint="eastAsia" w:ascii="Times New Roman" w:hAnsi="Times New Roman" w:cs="Times New Roman"/>
          <w:szCs w:val="32"/>
        </w:rPr>
        <w:t>等重点项目建设，加强基于供应链、产业链、安全链的协同创新，推动汽车核心零部件模块化、</w:t>
      </w:r>
      <w:bookmarkStart w:id="87" w:name="baidusnap6"/>
      <w:bookmarkEnd w:id="87"/>
      <w:r>
        <w:rPr>
          <w:rFonts w:hint="eastAsia" w:ascii="Times New Roman" w:hAnsi="Times New Roman" w:cs="Times New Roman"/>
          <w:szCs w:val="32"/>
        </w:rPr>
        <w:t>专业化、规模化、品牌化发展，延伸汽车配套产业链，增强对整车的配套协作能力，构建</w:t>
      </w:r>
      <w:r>
        <w:rPr>
          <w:rFonts w:ascii="Times New Roman" w:hAnsi="Times New Roman" w:cs="Times New Roman"/>
          <w:szCs w:val="32"/>
        </w:rPr>
        <w:t>上下游紧密协同、供应链集约高效的产业集群。</w:t>
      </w:r>
      <w:bookmarkEnd w:id="86"/>
    </w:p>
    <w:p>
      <w:pPr>
        <w:ind w:firstLine="629" w:firstLineChars="196"/>
        <w:textAlignment w:val="baseline"/>
        <w:rPr>
          <w:rFonts w:ascii="Times New Roman" w:hAnsi="Times New Roman" w:cs="Times New Roman"/>
          <w:sz w:val="20"/>
        </w:rPr>
      </w:pPr>
      <w:bookmarkStart w:id="88" w:name="_Toc61343605"/>
      <w:r>
        <w:rPr>
          <w:rFonts w:ascii="Times New Roman" w:hAnsi="Times New Roman" w:cs="Times New Roman"/>
          <w:b/>
          <w:bCs/>
        </w:rPr>
        <w:t>2.</w:t>
      </w:r>
      <w:r>
        <w:rPr>
          <w:rFonts w:hint="eastAsia" w:ascii="Times New Roman" w:hAnsi="Times New Roman" w:cs="Times New Roman"/>
          <w:b/>
          <w:bCs/>
        </w:rPr>
        <w:t>智能网联汽车产业。</w:t>
      </w:r>
      <w:r>
        <w:rPr>
          <w:rFonts w:hint="eastAsia" w:ascii="Times New Roman" w:hAnsi="Times New Roman" w:cs="Times New Roman"/>
        </w:rPr>
        <w:t>依托</w:t>
      </w:r>
      <w:r>
        <w:rPr>
          <w:rFonts w:ascii="Times New Roman" w:hAnsi="Times New Roman" w:cs="Times New Roman"/>
        </w:rPr>
        <w:t>中汽中心</w:t>
      </w:r>
      <w:r>
        <w:rPr>
          <w:rFonts w:hint="eastAsia" w:ascii="Times New Roman" w:hAnsi="Times New Roman" w:cs="Times New Roman"/>
        </w:rPr>
        <w:t>、清智科技、奥特贝睿、理工雷科等优势企业，充分发挥</w:t>
      </w:r>
      <w:r>
        <w:rPr>
          <w:rFonts w:ascii="Times New Roman" w:hAnsi="Times New Roman" w:cs="Times New Roman"/>
        </w:rPr>
        <w:t>世界智能驾驶挑战赛和开放测试道路</w:t>
      </w:r>
      <w:r>
        <w:rPr>
          <w:rFonts w:hint="eastAsia" w:ascii="Times New Roman" w:hAnsi="Times New Roman" w:cs="Times New Roman"/>
        </w:rPr>
        <w:t>优势</w:t>
      </w:r>
      <w:r>
        <w:rPr>
          <w:rFonts w:ascii="Times New Roman" w:hAnsi="Times New Roman" w:cs="Times New Roman"/>
        </w:rPr>
        <w:t>，</w:t>
      </w:r>
      <w:r>
        <w:rPr>
          <w:rFonts w:hint="eastAsia" w:ascii="Times New Roman" w:hAnsi="Times New Roman" w:cs="Times New Roman"/>
        </w:rPr>
        <w:t>深入落实《世界智能驾驶挑战赛五年（</w:t>
      </w:r>
      <w:r>
        <w:rPr>
          <w:rFonts w:ascii="Times New Roman" w:hAnsi="Times New Roman" w:cs="Times New Roman"/>
        </w:rPr>
        <w:t>2021-2025)</w:t>
      </w:r>
      <w:r>
        <w:rPr>
          <w:rFonts w:hint="eastAsia" w:ascii="Times New Roman" w:hAnsi="Times New Roman" w:cs="Times New Roman"/>
        </w:rPr>
        <w:t>发展规划》，聚焦</w:t>
      </w:r>
      <w:r>
        <w:rPr>
          <w:rFonts w:ascii="Times New Roman" w:hAnsi="Times New Roman" w:cs="Times New Roman"/>
        </w:rPr>
        <w:t>智能网联汽车感知系统、控制系统、执行系统、动力系统</w:t>
      </w:r>
      <w:r>
        <w:rPr>
          <w:rFonts w:hint="eastAsia" w:ascii="Times New Roman" w:hAnsi="Times New Roman" w:cs="Times New Roman"/>
        </w:rPr>
        <w:t>等关键</w:t>
      </w:r>
      <w:r>
        <w:rPr>
          <w:rFonts w:ascii="Times New Roman" w:hAnsi="Times New Roman" w:cs="Times New Roman"/>
        </w:rPr>
        <w:t>领域</w:t>
      </w:r>
      <w:r>
        <w:rPr>
          <w:rFonts w:hint="eastAsia" w:ascii="Times New Roman" w:hAnsi="Times New Roman" w:cs="Times New Roman"/>
        </w:rPr>
        <w:t>，重点发展A</w:t>
      </w:r>
      <w:r>
        <w:rPr>
          <w:rFonts w:ascii="Times New Roman" w:hAnsi="Times New Roman" w:cs="Times New Roman"/>
        </w:rPr>
        <w:t>I算法、芯片、车联网和大数据、高精地图和出行服务</w:t>
      </w:r>
      <w:r>
        <w:rPr>
          <w:rFonts w:hint="eastAsia" w:ascii="Times New Roman" w:hAnsi="Times New Roman" w:cs="Times New Roman"/>
        </w:rPr>
        <w:t>等业态，</w:t>
      </w:r>
      <w:r>
        <w:rPr>
          <w:rFonts w:ascii="Times New Roman" w:hAnsi="Times New Roman" w:cs="Times New Roman"/>
        </w:rPr>
        <w:t>着力引进和孵化一批智能网联汽车创新项目、制造项目和平台项目，加速重点领域和关键环节突破发展，促进智能网联汽车产业集聚、集约、集群发展，构建优势突出、结构合理、链条完整的智能网联汽车产业体系。</w:t>
      </w:r>
      <w:r>
        <w:rPr>
          <w:rFonts w:hint="eastAsia" w:ascii="Times New Roman" w:hAnsi="Times New Roman" w:cs="Times New Roman"/>
        </w:rPr>
        <w:t>围绕“车、路、云、网、图”五大关键要素，协同推进创新能力建设，</w:t>
      </w:r>
      <w:r>
        <w:rPr>
          <w:rFonts w:ascii="Times New Roman" w:hAnsi="Times New Roman" w:cs="Times New Roman"/>
        </w:rPr>
        <w:t>丰富测试道路场景环境、拓展应用范围，加快</w:t>
      </w:r>
      <w:r>
        <w:rPr>
          <w:rFonts w:hint="eastAsia" w:ascii="Times New Roman" w:hAnsi="Times New Roman" w:cs="Times New Roman"/>
        </w:rPr>
        <w:t>构建与智能网联汽车高度契合的多元化应用场景，不断壮大智能网联汽车产业规模。</w:t>
      </w:r>
      <w:bookmarkEnd w:id="88"/>
    </w:p>
    <w:p>
      <w:pPr>
        <w:ind w:firstLine="642" w:firstLineChars="200"/>
        <w:textAlignment w:val="baseline"/>
        <w:rPr>
          <w:rFonts w:ascii="Times New Roman" w:hAnsi="Times New Roman" w:cs="Times New Roman"/>
          <w:sz w:val="20"/>
        </w:rPr>
      </w:pPr>
      <w:bookmarkStart w:id="89" w:name="_Toc61343606"/>
      <w:r>
        <w:rPr>
          <w:rFonts w:ascii="Times New Roman" w:hAnsi="Times New Roman" w:cs="Times New Roman"/>
          <w:b/>
          <w:bCs/>
        </w:rPr>
        <w:t>3.</w:t>
      </w:r>
      <w:r>
        <w:rPr>
          <w:rFonts w:hint="eastAsia" w:ascii="Times New Roman" w:hAnsi="Times New Roman" w:cs="Times New Roman"/>
          <w:b/>
          <w:bCs/>
        </w:rPr>
        <w:t>动力电池产业。</w:t>
      </w:r>
      <w:r>
        <w:rPr>
          <w:rFonts w:hint="eastAsia" w:ascii="Times New Roman" w:hAnsi="Times New Roman" w:cs="Times New Roman"/>
        </w:rPr>
        <w:t>依托中汽研等龙头企业，以氢燃料电池系统、电堆等关键零部件为突破口，加快推进氢燃料电池检测中心等重点项目建设，积极引进国际先进氢燃料电池关键零部件项目，引导支持关键材料、核心零部件的关键技术及系统集成研究，开展氢燃料电池汽车标准体系研究，申请创建国家氢燃料电池检测认证中心，加速产学研协同发展与成果转化，</w:t>
      </w:r>
      <w:bookmarkStart w:id="90" w:name="_Hlk64981433"/>
      <w:r>
        <w:rPr>
          <w:rFonts w:hint="eastAsia" w:ascii="Times New Roman" w:hAnsi="Times New Roman" w:cs="Times New Roman"/>
        </w:rPr>
        <w:t>推动氢燃料电池在轿车/</w:t>
      </w:r>
      <w:r>
        <w:rPr>
          <w:rFonts w:ascii="Times New Roman" w:hAnsi="Times New Roman" w:cs="Times New Roman"/>
        </w:rPr>
        <w:t>客车</w:t>
      </w:r>
      <w:r>
        <w:rPr>
          <w:rFonts w:hint="eastAsia" w:ascii="Times New Roman" w:hAnsi="Times New Roman" w:cs="Times New Roman"/>
        </w:rPr>
        <w:t>、</w:t>
      </w:r>
      <w:r>
        <w:rPr>
          <w:rFonts w:ascii="Times New Roman" w:hAnsi="Times New Roman" w:cs="Times New Roman"/>
        </w:rPr>
        <w:t>重型货车</w:t>
      </w:r>
      <w:bookmarkEnd w:id="90"/>
      <w:r>
        <w:rPr>
          <w:rFonts w:hint="eastAsia" w:ascii="Times New Roman" w:hAnsi="Times New Roman" w:cs="Times New Roman"/>
        </w:rPr>
        <w:t>、</w:t>
      </w:r>
      <w:r>
        <w:rPr>
          <w:rFonts w:ascii="Times New Roman" w:hAnsi="Times New Roman" w:cs="Times New Roman"/>
        </w:rPr>
        <w:t>电池叉车</w:t>
      </w:r>
      <w:r>
        <w:rPr>
          <w:rFonts w:hint="eastAsia" w:ascii="Times New Roman" w:hAnsi="Times New Roman" w:cs="Times New Roman"/>
        </w:rPr>
        <w:t>、</w:t>
      </w:r>
      <w:r>
        <w:rPr>
          <w:rFonts w:ascii="Times New Roman" w:hAnsi="Times New Roman" w:cs="Times New Roman"/>
        </w:rPr>
        <w:t>有轨电车</w:t>
      </w:r>
      <w:r>
        <w:rPr>
          <w:rFonts w:hint="eastAsia" w:ascii="Times New Roman" w:hAnsi="Times New Roman" w:cs="Times New Roman"/>
        </w:rPr>
        <w:t>、</w:t>
      </w:r>
      <w:r>
        <w:rPr>
          <w:rFonts w:ascii="Times New Roman" w:hAnsi="Times New Roman" w:cs="Times New Roman"/>
        </w:rPr>
        <w:t>无人机</w:t>
      </w:r>
      <w:r>
        <w:rPr>
          <w:rFonts w:hint="eastAsia" w:ascii="Times New Roman" w:hAnsi="Times New Roman" w:cs="Times New Roman"/>
        </w:rPr>
        <w:t>、</w:t>
      </w:r>
      <w:r>
        <w:rPr>
          <w:rFonts w:ascii="Times New Roman" w:hAnsi="Times New Roman" w:cs="Times New Roman"/>
        </w:rPr>
        <w:t>船舶</w:t>
      </w:r>
      <w:r>
        <w:rPr>
          <w:rFonts w:hint="eastAsia" w:ascii="Times New Roman" w:hAnsi="Times New Roman" w:cs="Times New Roman"/>
        </w:rPr>
        <w:t>等领域的推广应用，打造国内燃料电池汽车领域测试能力覆盖最全、规模最大的研发验证和测试基地。</w:t>
      </w:r>
      <w:bookmarkEnd w:id="89"/>
    </w:p>
    <w:p>
      <w:pPr>
        <w:ind w:firstLine="642" w:firstLineChars="200"/>
        <w:textAlignment w:val="baseline"/>
        <w:rPr>
          <w:rFonts w:ascii="Times New Roman" w:hAnsi="Times New Roman" w:cs="Times New Roman"/>
          <w:b/>
          <w:sz w:val="20"/>
          <w:szCs w:val="32"/>
        </w:rPr>
      </w:pPr>
      <w:bookmarkStart w:id="91" w:name="_Toc61343607"/>
      <w:r>
        <w:rPr>
          <w:rFonts w:hint="eastAsia" w:ascii="Times New Roman" w:hAnsi="Times New Roman" w:cs="Times New Roman"/>
          <w:b/>
          <w:szCs w:val="32"/>
        </w:rPr>
        <w:t>（三）</w:t>
      </w:r>
      <w:bookmarkStart w:id="92" w:name="_Hlk64981451"/>
      <w:r>
        <w:rPr>
          <w:rFonts w:hint="eastAsia" w:ascii="Times New Roman" w:hAnsi="Times New Roman" w:cs="Times New Roman"/>
          <w:b/>
          <w:szCs w:val="32"/>
        </w:rPr>
        <w:t>新材料</w:t>
      </w:r>
      <w:bookmarkEnd w:id="91"/>
      <w:bookmarkEnd w:id="92"/>
    </w:p>
    <w:p>
      <w:pPr>
        <w:pStyle w:val="2"/>
        <w:ind w:firstLine="640" w:firstLineChars="200"/>
        <w:textAlignment w:val="baseline"/>
      </w:pPr>
      <w:r>
        <w:rPr>
          <w:rFonts w:hint="eastAsia" w:ascii="Times New Roman" w:hAnsi="Times New Roman" w:eastAsia="仿宋_GB2312" w:cs="Times New Roman"/>
          <w:kern w:val="2"/>
          <w:szCs w:val="22"/>
          <w:lang w:val="en-US" w:bidi="ar-SA"/>
        </w:rPr>
        <w:t>面向先进制造业高质量发展要求，重点发展先进钢铁材料、先进焊接材料、高性能纤维及制品和复合材料三大领域，打造具有区域影响力的新材料产业高地。到2</w:t>
      </w:r>
      <w:r>
        <w:rPr>
          <w:rFonts w:ascii="Times New Roman" w:hAnsi="Times New Roman" w:eastAsia="仿宋_GB2312" w:cs="Times New Roman"/>
          <w:kern w:val="2"/>
          <w:szCs w:val="22"/>
          <w:lang w:val="en-US" w:bidi="ar-SA"/>
        </w:rPr>
        <w:t>025</w:t>
      </w:r>
      <w:r>
        <w:rPr>
          <w:rFonts w:hint="eastAsia" w:ascii="Times New Roman" w:hAnsi="Times New Roman" w:eastAsia="仿宋_GB2312" w:cs="Times New Roman"/>
          <w:kern w:val="2"/>
          <w:szCs w:val="22"/>
          <w:lang w:val="en-US" w:bidi="ar-SA"/>
        </w:rPr>
        <w:t>年，形成千亿级新材料产业集群。</w:t>
      </w:r>
    </w:p>
    <w:p>
      <w:pPr>
        <w:ind w:firstLine="642" w:firstLineChars="200"/>
        <w:textAlignment w:val="baseline"/>
        <w:rPr>
          <w:rFonts w:ascii="Times New Roman" w:hAnsi="Times New Roman" w:cs="Times New Roman"/>
          <w:sz w:val="20"/>
        </w:rPr>
      </w:pPr>
      <w:bookmarkStart w:id="93" w:name="_Toc61343608"/>
      <w:r>
        <w:rPr>
          <w:rFonts w:ascii="Times New Roman" w:hAnsi="Times New Roman" w:cs="Times New Roman"/>
          <w:b/>
          <w:bCs/>
        </w:rPr>
        <w:t>1.</w:t>
      </w:r>
      <w:r>
        <w:rPr>
          <w:rFonts w:hint="eastAsia" w:ascii="Times New Roman" w:hAnsi="Times New Roman" w:cs="Times New Roman"/>
          <w:b/>
          <w:bCs/>
        </w:rPr>
        <w:t>先进钢铁材料。</w:t>
      </w:r>
      <w:r>
        <w:rPr>
          <w:rFonts w:hint="eastAsia" w:ascii="Times New Roman" w:hAnsi="Times New Roman" w:cs="Times New Roman"/>
        </w:rPr>
        <w:t>依托新天钢、钢管制造等龙头企业，重点发展超高强板、耐热合金无缝钢管、精密无缝钢管等产品，运用智能化制造、品种质量与高效优质生产等关键核心技术，推动天钢集团、钢管制造公司等企业实施低硫、低磷、高合金等产品工艺改造升级，大力发展精密合金材料、高附加值特殊钢制品及深加工产品，进一步提升产业效益和产品核心竞争力，联合打造钢铁行业工业互联网云平台，形成集无人化生产、智慧决策和无边界协同等功能于一体的产品体系和智能制造整体解决方案，打造京津冀地区重要的先进钢铁材料产业集群。</w:t>
      </w:r>
      <w:bookmarkEnd w:id="93"/>
    </w:p>
    <w:p>
      <w:pPr>
        <w:ind w:firstLine="642" w:firstLineChars="200"/>
        <w:textAlignment w:val="baseline"/>
        <w:rPr>
          <w:rFonts w:ascii="Times New Roman" w:hAnsi="Times New Roman" w:cs="Times New Roman"/>
          <w:sz w:val="20"/>
        </w:rPr>
      </w:pPr>
      <w:bookmarkStart w:id="94" w:name="_Toc61343609"/>
      <w:r>
        <w:rPr>
          <w:rFonts w:ascii="Times New Roman" w:hAnsi="Times New Roman" w:cs="Times New Roman"/>
          <w:b/>
          <w:bCs/>
        </w:rPr>
        <w:t>2.</w:t>
      </w:r>
      <w:r>
        <w:rPr>
          <w:rFonts w:hint="eastAsia" w:ascii="Times New Roman" w:hAnsi="Times New Roman" w:cs="Times New Roman"/>
          <w:b/>
          <w:bCs/>
        </w:rPr>
        <w:t>先进焊接材料。</w:t>
      </w:r>
      <w:r>
        <w:rPr>
          <w:rFonts w:hint="eastAsia" w:ascii="Times New Roman" w:hAnsi="Times New Roman" w:cs="Times New Roman"/>
        </w:rPr>
        <w:t>依托金桥焊材、永昌焊丝等龙头企业，重点发展低温钢、镍基合金、铝基合金、有色金属材料、非金属材料等焊接材料，联合乌克兰巴顿焊接学院等科研机构，研发生产</w:t>
      </w:r>
      <w:r>
        <w:rPr>
          <w:rFonts w:ascii="Times New Roman" w:hAnsi="Times New Roman" w:cs="Times New Roman"/>
        </w:rPr>
        <w:t>航空航天装备、高档数控机床和机器人</w:t>
      </w:r>
      <w:r>
        <w:rPr>
          <w:rFonts w:hint="eastAsia" w:ascii="Times New Roman" w:hAnsi="Times New Roman" w:cs="Times New Roman"/>
        </w:rPr>
        <w:t>、</w:t>
      </w:r>
      <w:r>
        <w:rPr>
          <w:rFonts w:ascii="Times New Roman" w:hAnsi="Times New Roman" w:cs="Times New Roman"/>
        </w:rPr>
        <w:t>先进轨道交通</w:t>
      </w:r>
      <w:r>
        <w:rPr>
          <w:rFonts w:hint="eastAsia" w:ascii="Times New Roman" w:hAnsi="Times New Roman" w:cs="Times New Roman"/>
        </w:rPr>
        <w:t>等先进制造业领域的高端焊接材料技术产品，</w:t>
      </w:r>
      <w:r>
        <w:rPr>
          <w:rFonts w:ascii="Times New Roman" w:hAnsi="Times New Roman" w:cs="Times New Roman"/>
        </w:rPr>
        <w:t>加速跨领域、跨行业</w:t>
      </w:r>
      <w:r>
        <w:rPr>
          <w:rFonts w:hint="eastAsia" w:ascii="Times New Roman" w:hAnsi="Times New Roman" w:cs="Times New Roman"/>
        </w:rPr>
        <w:t>的</w:t>
      </w:r>
      <w:r>
        <w:rPr>
          <w:rFonts w:ascii="Times New Roman" w:hAnsi="Times New Roman" w:cs="Times New Roman"/>
        </w:rPr>
        <w:t>科技成果转化与产业化</w:t>
      </w:r>
      <w:r>
        <w:rPr>
          <w:rFonts w:hint="eastAsia" w:ascii="Times New Roman" w:hAnsi="Times New Roman" w:cs="Times New Roman"/>
        </w:rPr>
        <w:t>，加快</w:t>
      </w:r>
      <w:r>
        <w:rPr>
          <w:rFonts w:ascii="Times New Roman" w:hAnsi="Times New Roman" w:cs="Times New Roman"/>
        </w:rPr>
        <w:t>永昌焊丝高强高韧特种焊接材料研发及产业化</w:t>
      </w:r>
      <w:r>
        <w:rPr>
          <w:rFonts w:hint="eastAsia" w:ascii="Times New Roman" w:hAnsi="Times New Roman" w:cs="Times New Roman"/>
        </w:rPr>
        <w:t>等重点项目建设，推动重点企业由以生产焊接材料为主的“生产型制造”向生产加工焊接装备及服</w:t>
      </w:r>
      <w:r>
        <w:rPr>
          <w:rFonts w:hint="eastAsia" w:ascii="仿宋_GB2312" w:hAnsi="Times New Roman" w:cs="Times New Roman"/>
        </w:rPr>
        <w:t>务的“服务型制造”转型，加速先进焊材材料国产替代进程，</w:t>
      </w:r>
      <w:r>
        <w:rPr>
          <w:rFonts w:hint="eastAsia" w:ascii="Times New Roman" w:hAnsi="Times New Roman" w:cs="Times New Roman"/>
        </w:rPr>
        <w:t>打造世界最大的综合性焊接材料研发生产制造产业集群。</w:t>
      </w:r>
      <w:bookmarkEnd w:id="94"/>
    </w:p>
    <w:p>
      <w:pPr>
        <w:ind w:firstLine="642" w:firstLineChars="200"/>
        <w:textAlignment w:val="baseline"/>
        <w:rPr>
          <w:rFonts w:ascii="仿宋_GB2312" w:hAnsi="Times New Roman" w:cs="Times New Roman"/>
          <w:sz w:val="20"/>
        </w:rPr>
      </w:pPr>
      <w:bookmarkStart w:id="95" w:name="_Toc61343610"/>
      <w:r>
        <w:rPr>
          <w:rFonts w:ascii="Times New Roman" w:hAnsi="Times New Roman" w:cs="Times New Roman"/>
          <w:b/>
          <w:bCs/>
        </w:rPr>
        <w:t>3.</w:t>
      </w:r>
      <w:r>
        <w:rPr>
          <w:rFonts w:hint="eastAsia" w:ascii="Times New Roman" w:hAnsi="Times New Roman" w:cs="Times New Roman"/>
          <w:b/>
          <w:bCs/>
        </w:rPr>
        <w:t>高性能纤维及制品和复合材料。</w:t>
      </w:r>
      <w:r>
        <w:rPr>
          <w:rFonts w:hint="eastAsia" w:ascii="仿宋_GB2312" w:hAnsi="Times New Roman" w:cs="Times New Roman"/>
        </w:rPr>
        <w:t>依托爱思达、中航装甲、晶东航材等优势企业，突破碳纤维与金属、陶瓷、高分子石墨烯等材料复合及石墨烯基锂离子电池、电线电缆、电子封装材料等核心技术，重点发展高性能碳纤维、芳纶纤维材料、高强高模聚酰亚胺纤维、汽车用碳纤维复合材料、航空制动用碳/碳复合材料等产品，</w:t>
      </w:r>
      <w:bookmarkStart w:id="96" w:name="_Hlk64981612"/>
      <w:r>
        <w:rPr>
          <w:rFonts w:hint="eastAsia" w:ascii="仿宋_GB2312" w:hAnsi="Times New Roman" w:cs="Times New Roman"/>
        </w:rPr>
        <w:t>不断提升满足国防科工、航空航天、海洋装备、新基建等领域对各类高性能纤维及复合材料产品的需求能力，打造高性能纤维及制品和复合材料特色产业基地。</w:t>
      </w:r>
    </w:p>
    <w:bookmarkEnd w:id="95"/>
    <w:bookmarkEnd w:id="96"/>
    <w:p>
      <w:pPr>
        <w:ind w:firstLine="642" w:firstLineChars="200"/>
        <w:textAlignment w:val="baseline"/>
        <w:rPr>
          <w:rFonts w:ascii="Times New Roman" w:hAnsi="Times New Roman" w:cs="Times New Roman"/>
          <w:b/>
          <w:sz w:val="20"/>
          <w:szCs w:val="32"/>
        </w:rPr>
      </w:pPr>
      <w:bookmarkStart w:id="97" w:name="_Toc61343611"/>
      <w:r>
        <w:rPr>
          <w:rFonts w:hint="eastAsia" w:ascii="Times New Roman" w:hAnsi="Times New Roman" w:cs="Times New Roman"/>
          <w:b/>
          <w:szCs w:val="32"/>
        </w:rPr>
        <w:t>（四）生物医药</w:t>
      </w:r>
      <w:bookmarkEnd w:id="97"/>
    </w:p>
    <w:p>
      <w:pPr>
        <w:ind w:firstLine="640" w:firstLineChars="200"/>
        <w:textAlignment w:val="baseline"/>
        <w:rPr>
          <w:rFonts w:ascii="Times New Roman" w:hAnsi="Times New Roman" w:cs="Times New Roman"/>
          <w:sz w:val="20"/>
        </w:rPr>
      </w:pPr>
      <w:r>
        <w:rPr>
          <w:rFonts w:ascii="Times New Roman" w:hAnsi="Times New Roman" w:cs="Times New Roman"/>
        </w:rPr>
        <w:t>聚焦优势重点领域，提升自主创新能力，加快培育高端医疗器械、生物制药、智慧医疗与大健康等新兴产业，打造生物医药创新孵化与成果转化产业集聚区。到2025年，形成百亿级生物医药产业集群。</w:t>
      </w:r>
    </w:p>
    <w:p>
      <w:pPr>
        <w:ind w:firstLine="642" w:firstLineChars="200"/>
        <w:textAlignment w:val="baseline"/>
        <w:rPr>
          <w:rFonts w:ascii="Times New Roman" w:hAnsi="Times New Roman" w:cs="Times New Roman"/>
          <w:bCs/>
          <w:sz w:val="20"/>
        </w:rPr>
      </w:pPr>
      <w:bookmarkStart w:id="98" w:name="_Toc61343612"/>
      <w:r>
        <w:rPr>
          <w:rFonts w:hint="eastAsia" w:ascii="Times New Roman" w:hAnsi="Times New Roman" w:cs="Times New Roman"/>
          <w:b/>
          <w:bCs/>
        </w:rPr>
        <w:t>1</w:t>
      </w:r>
      <w:r>
        <w:rPr>
          <w:rFonts w:ascii="Times New Roman" w:hAnsi="Times New Roman" w:cs="Times New Roman"/>
          <w:b/>
          <w:bCs/>
        </w:rPr>
        <w:t>.高端医疗</w:t>
      </w:r>
      <w:r>
        <w:rPr>
          <w:rFonts w:hint="eastAsia" w:ascii="Times New Roman" w:hAnsi="Times New Roman" w:cs="Times New Roman"/>
          <w:b/>
          <w:bCs/>
        </w:rPr>
        <w:t>器械。</w:t>
      </w:r>
      <w:r>
        <w:rPr>
          <w:rFonts w:hint="eastAsia" w:ascii="Times New Roman" w:hAnsi="Times New Roman" w:cs="Times New Roman"/>
        </w:rPr>
        <w:t>依托英诺美迪、</w:t>
      </w:r>
      <w:r>
        <w:rPr>
          <w:rFonts w:hint="eastAsia" w:ascii="Times New Roman" w:hAnsi="Times New Roman" w:cs="Times New Roman"/>
          <w:bCs/>
        </w:rPr>
        <w:t>博奥赛斯、中核同辐、信鸿医疗等优势企业，</w:t>
      </w:r>
      <w:r>
        <w:rPr>
          <w:rFonts w:ascii="Times New Roman" w:hAnsi="Times New Roman" w:cs="Times New Roman"/>
          <w:bCs/>
        </w:rPr>
        <w:t>围绕预防、诊断、治疗、康复等领域</w:t>
      </w:r>
      <w:r>
        <w:rPr>
          <w:rFonts w:hint="eastAsia" w:ascii="Times New Roman" w:hAnsi="Times New Roman" w:cs="Times New Roman"/>
          <w:bCs/>
        </w:rPr>
        <w:t>高端</w:t>
      </w:r>
      <w:r>
        <w:rPr>
          <w:rFonts w:ascii="Times New Roman" w:hAnsi="Times New Roman" w:cs="Times New Roman"/>
          <w:bCs/>
        </w:rPr>
        <w:t>医疗器械需求，</w:t>
      </w:r>
      <w:r>
        <w:rPr>
          <w:rFonts w:hint="eastAsia" w:ascii="Times New Roman" w:hAnsi="Times New Roman" w:cs="Times New Roman"/>
          <w:bCs/>
        </w:rPr>
        <w:t>重点发展可穿戴及便携式设备、</w:t>
      </w:r>
      <w:r>
        <w:rPr>
          <w:rFonts w:ascii="Times New Roman" w:hAnsi="Times New Roman" w:cs="Times New Roman"/>
          <w:bCs/>
        </w:rPr>
        <w:t>体外诊断和生命体征监测</w:t>
      </w:r>
      <w:r>
        <w:rPr>
          <w:rFonts w:hint="eastAsia" w:ascii="Times New Roman" w:hAnsi="Times New Roman" w:cs="Times New Roman"/>
          <w:bCs/>
        </w:rPr>
        <w:t>、高端功能性植</w:t>
      </w:r>
      <w:r>
        <w:rPr>
          <w:rFonts w:ascii="Times New Roman" w:hAnsi="Times New Roman" w:cs="Times New Roman"/>
          <w:bCs/>
        </w:rPr>
        <w:t>/介入</w:t>
      </w:r>
      <w:r>
        <w:rPr>
          <w:rFonts w:hint="eastAsia" w:ascii="Times New Roman" w:hAnsi="Times New Roman" w:cs="Times New Roman"/>
          <w:bCs/>
        </w:rPr>
        <w:t>等产品，加快苏州医工所工研院、执信（天津）科技企业孵化器等创新发展。以创建医疗器械特色主题园区和现代医疗器械产业创新研产链为目标，加快本土自主创新高新技术医疗器械企业发展，积极引入研发生产、检测销售、专业服务等领域的一批优势配套企业，打造形成以市场需求为导向的集研发、制造、商贸和孵化等领域为一体的高端医疗器械产业生态体系。</w:t>
      </w:r>
      <w:bookmarkEnd w:id="98"/>
    </w:p>
    <w:p>
      <w:pPr>
        <w:ind w:firstLine="642" w:firstLineChars="200"/>
        <w:textAlignment w:val="baseline"/>
        <w:rPr>
          <w:rFonts w:ascii="Times New Roman" w:hAnsi="Times New Roman" w:cs="Times New Roman"/>
          <w:bCs/>
          <w:sz w:val="20"/>
        </w:rPr>
      </w:pPr>
      <w:bookmarkStart w:id="99" w:name="_Toc61343613"/>
      <w:r>
        <w:rPr>
          <w:rFonts w:ascii="Times New Roman" w:hAnsi="Times New Roman" w:cs="Times New Roman"/>
          <w:b/>
          <w:bCs/>
        </w:rPr>
        <w:t>2.</w:t>
      </w:r>
      <w:r>
        <w:rPr>
          <w:rFonts w:hint="eastAsia" w:ascii="Times New Roman" w:hAnsi="Times New Roman" w:cs="Times New Roman"/>
          <w:b/>
          <w:bCs/>
        </w:rPr>
        <w:t>生物制药。</w:t>
      </w:r>
      <w:r>
        <w:rPr>
          <w:rFonts w:hint="eastAsia" w:ascii="Times New Roman" w:hAnsi="Times New Roman" w:cs="Times New Roman"/>
        </w:rPr>
        <w:t>依托中美史克等龙头企业，以差异化、高端化、特色化、产业化为方向，</w:t>
      </w:r>
      <w:r>
        <w:rPr>
          <w:rFonts w:hint="eastAsia" w:ascii="Times New Roman" w:hAnsi="Times New Roman" w:cs="Times New Roman"/>
          <w:bCs/>
        </w:rPr>
        <w:t>重点发展生物药、多肽类药、小分子药、基因测序、动物保健等产品，巩固提升芬必得、新康泰克等知名品牌，培育引进针对恶性肿瘤、病毒感染、糖尿病、</w:t>
      </w:r>
      <w:r>
        <w:rPr>
          <w:rFonts w:ascii="Times New Roman" w:hAnsi="Times New Roman" w:cs="Times New Roman"/>
          <w:bCs/>
        </w:rPr>
        <w:t>心脑血管</w:t>
      </w:r>
      <w:r>
        <w:rPr>
          <w:rFonts w:hint="eastAsia" w:ascii="Times New Roman" w:hAnsi="Times New Roman" w:cs="Times New Roman"/>
          <w:bCs/>
        </w:rPr>
        <w:t>等领域的制药企业和创新药物，积极推动检验检测、成果转化等生产性服务业发展，配套发展医药冷链物流、供应链服务等新业态，引导企业加强高端仿制药、</w:t>
      </w:r>
      <w:r>
        <w:rPr>
          <w:rFonts w:ascii="Times New Roman" w:hAnsi="Times New Roman" w:cs="Times New Roman"/>
          <w:bCs/>
        </w:rPr>
        <w:t>首仿药研发</w:t>
      </w:r>
      <w:r>
        <w:rPr>
          <w:rFonts w:hint="eastAsia" w:ascii="Times New Roman" w:hAnsi="Times New Roman" w:cs="Times New Roman"/>
          <w:bCs/>
        </w:rPr>
        <w:t>及产业化生产，推进</w:t>
      </w:r>
      <w:r>
        <w:rPr>
          <w:rFonts w:ascii="Times New Roman" w:hAnsi="Times New Roman" w:cs="Times New Roman"/>
          <w:bCs/>
        </w:rPr>
        <w:t>仿制药质量和疗效一致性评价，</w:t>
      </w:r>
      <w:r>
        <w:rPr>
          <w:rFonts w:hint="eastAsia" w:ascii="Times New Roman" w:hAnsi="Times New Roman" w:cs="Times New Roman"/>
          <w:bCs/>
        </w:rPr>
        <w:t>不断提升仿制药生产技术和质量控制水平，推动生物医药产业高质量发展。</w:t>
      </w:r>
    </w:p>
    <w:bookmarkEnd w:id="99"/>
    <w:p>
      <w:pPr>
        <w:ind w:firstLine="642" w:firstLineChars="200"/>
        <w:textAlignment w:val="baseline"/>
        <w:rPr>
          <w:rFonts w:ascii="Times New Roman" w:hAnsi="Times New Roman" w:cs="Times New Roman"/>
          <w:sz w:val="20"/>
        </w:rPr>
      </w:pPr>
      <w:bookmarkStart w:id="100" w:name="_Toc61343614"/>
      <w:r>
        <w:rPr>
          <w:rFonts w:ascii="Times New Roman" w:hAnsi="Times New Roman" w:cs="Times New Roman"/>
          <w:b/>
          <w:bCs/>
        </w:rPr>
        <w:t>3.</w:t>
      </w:r>
      <w:r>
        <w:rPr>
          <w:rFonts w:hint="eastAsia" w:ascii="Times New Roman" w:hAnsi="Times New Roman" w:cs="Times New Roman"/>
          <w:b/>
          <w:bCs/>
        </w:rPr>
        <w:t>智慧医疗与大健康。</w:t>
      </w:r>
      <w:r>
        <w:rPr>
          <w:rFonts w:hint="eastAsia" w:ascii="Times New Roman" w:hAnsi="Times New Roman" w:cs="Times New Roman"/>
        </w:rPr>
        <w:t>积极发展智慧医疗等新兴业态，促进生物制药、高端医疗器械与大数据、物联网、云计算等新兴技术深度融合发展，加快推进浪潮、脑工程国际联合研究院医疗大数据平台建设，打造以智慧健康养老为特色的健康医疗大数据生态应用试点示范。以基因技术快速发展为契机，鼓励引导分子诊断和免疫诊断、基因测序设备、遗传病基因检测等基因技术推广应用，推动医疗健康产业向精准医疗和个性化医疗发展。</w:t>
      </w:r>
      <w:bookmarkEnd w:id="100"/>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01" w:name="_Toc61343615"/>
      <w:r>
        <w:rPr>
          <w:rFonts w:hint="eastAsia" w:ascii="Times New Roman" w:hAnsi="Times New Roman" w:cs="Times New Roman"/>
          <w:b w:val="0"/>
          <w:bCs w:val="0"/>
          <w:kern w:val="2"/>
          <w:szCs w:val="32"/>
        </w:rPr>
        <w:t>四、空间布局</w:t>
      </w:r>
      <w:bookmarkEnd w:id="101"/>
    </w:p>
    <w:p>
      <w:pPr>
        <w:ind w:firstLine="640" w:firstLineChars="200"/>
        <w:textAlignment w:val="baseline"/>
        <w:rPr>
          <w:rFonts w:ascii="Times New Roman" w:hAnsi="Times New Roman" w:cs="Times New Roman"/>
          <w:sz w:val="20"/>
        </w:rPr>
      </w:pPr>
      <w:bookmarkStart w:id="102" w:name="_Hlk64970392"/>
      <w:r>
        <w:rPr>
          <w:rFonts w:hint="eastAsia" w:ascii="Times New Roman" w:hAnsi="Times New Roman" w:cs="Times New Roman"/>
        </w:rPr>
        <w:t>结合《天津市工业布局规划（2</w:t>
      </w:r>
      <w:r>
        <w:rPr>
          <w:rFonts w:ascii="Times New Roman" w:hAnsi="Times New Roman" w:cs="Times New Roman"/>
        </w:rPr>
        <w:t>020</w:t>
      </w:r>
      <w:r>
        <w:rPr>
          <w:rFonts w:hint="eastAsia" w:ascii="Times New Roman" w:hAnsi="Times New Roman" w:cs="Times New Roman"/>
        </w:rPr>
        <w:t>-</w:t>
      </w:r>
      <w:r>
        <w:rPr>
          <w:rFonts w:ascii="Times New Roman" w:hAnsi="Times New Roman" w:cs="Times New Roman"/>
        </w:rPr>
        <w:t>2035</w:t>
      </w:r>
      <w:r>
        <w:rPr>
          <w:rFonts w:hint="eastAsia" w:ascii="Times New Roman" w:hAnsi="Times New Roman" w:cs="Times New Roman"/>
        </w:rPr>
        <w:t>年）》《东丽区国土空间规划（</w:t>
      </w:r>
      <w:r>
        <w:rPr>
          <w:rFonts w:ascii="Times New Roman" w:hAnsi="Times New Roman" w:cs="Times New Roman"/>
        </w:rPr>
        <w:t>2020-2035年）》</w:t>
      </w:r>
      <w:r>
        <w:rPr>
          <w:rFonts w:hint="eastAsia" w:ascii="Times New Roman" w:hAnsi="Times New Roman" w:cs="Times New Roman"/>
        </w:rPr>
        <w:t>等政策文件要求，聚焦工业创新转型和空间效益提升，进一步优化区域分工和产业布局，着力</w:t>
      </w:r>
      <w:bookmarkStart w:id="103" w:name="_Hlk64971965"/>
      <w:r>
        <w:rPr>
          <w:rFonts w:hint="eastAsia" w:ascii="Times New Roman" w:hAnsi="Times New Roman" w:cs="Times New Roman"/>
        </w:rPr>
        <w:t>构建“一核双区”的工业发展新格局，</w:t>
      </w:r>
      <w:bookmarkEnd w:id="103"/>
      <w:r>
        <w:rPr>
          <w:rFonts w:hint="eastAsia" w:ascii="Times New Roman" w:hAnsi="Times New Roman" w:cs="Times New Roman"/>
        </w:rPr>
        <w:t>充分发挥东丽经开区、华明高新区、临空经济区载体功能作用，构建核心引领、</w:t>
      </w:r>
      <w:r>
        <w:rPr>
          <w:rFonts w:ascii="Times New Roman" w:hAnsi="Times New Roman" w:cs="Times New Roman"/>
        </w:rPr>
        <w:t>错位发展</w:t>
      </w:r>
      <w:r>
        <w:rPr>
          <w:rFonts w:hint="eastAsia" w:ascii="Times New Roman" w:hAnsi="Times New Roman" w:cs="Times New Roman"/>
        </w:rPr>
        <w:t>、</w:t>
      </w:r>
      <w:r>
        <w:rPr>
          <w:rFonts w:ascii="Times New Roman" w:hAnsi="Times New Roman" w:cs="Times New Roman"/>
        </w:rPr>
        <w:t>梯次协同</w:t>
      </w:r>
      <w:r>
        <w:rPr>
          <w:rFonts w:hint="eastAsia" w:ascii="Times New Roman" w:hAnsi="Times New Roman" w:cs="Times New Roman"/>
        </w:rPr>
        <w:t>、</w:t>
      </w:r>
      <w:r>
        <w:rPr>
          <w:rFonts w:ascii="Times New Roman" w:hAnsi="Times New Roman" w:cs="Times New Roman"/>
        </w:rPr>
        <w:t>优势互补</w:t>
      </w:r>
      <w:r>
        <w:rPr>
          <w:rFonts w:hint="eastAsia" w:ascii="Times New Roman" w:hAnsi="Times New Roman" w:cs="Times New Roman"/>
        </w:rPr>
        <w:t>的新格局。</w:t>
      </w:r>
    </w:p>
    <w:bookmarkEnd w:id="102"/>
    <w:p>
      <w:pPr>
        <w:widowControl/>
        <w:snapToGrid w:val="0"/>
        <w:ind w:firstLine="642" w:firstLineChars="200"/>
        <w:jc w:val="left"/>
        <w:textAlignment w:val="baseline"/>
        <w:rPr>
          <w:rFonts w:ascii="楷体_GB2312" w:hAnsi="Calibri" w:eastAsia="楷体_GB2312" w:cs="Times New Roman"/>
          <w:b/>
          <w:sz w:val="20"/>
          <w:szCs w:val="32"/>
        </w:rPr>
      </w:pPr>
      <w:bookmarkStart w:id="104" w:name="_Toc61343616"/>
      <w:r>
        <w:rPr>
          <w:rFonts w:hint="eastAsia" w:ascii="楷体_GB2312" w:hAnsi="Calibri" w:eastAsia="楷体_GB2312" w:cs="Times New Roman"/>
          <w:b/>
          <w:szCs w:val="32"/>
        </w:rPr>
        <w:t>（一）一核：</w:t>
      </w:r>
      <w:bookmarkStart w:id="105" w:name="_Hlk64972013"/>
      <w:r>
        <w:rPr>
          <w:rFonts w:hint="eastAsia" w:ascii="楷体_GB2312" w:hAnsi="Calibri" w:eastAsia="楷体_GB2312" w:cs="Times New Roman"/>
          <w:b/>
          <w:szCs w:val="32"/>
        </w:rPr>
        <w:t>东丽经开区</w:t>
      </w:r>
      <w:bookmarkEnd w:id="104"/>
      <w:bookmarkEnd w:id="105"/>
    </w:p>
    <w:p>
      <w:pPr>
        <w:ind w:firstLine="640" w:firstLineChars="200"/>
        <w:textAlignment w:val="baseline"/>
        <w:rPr>
          <w:rFonts w:ascii="Times New Roman" w:hAnsi="Times New Roman" w:cs="Times New Roman"/>
          <w:sz w:val="20"/>
          <w:szCs w:val="32"/>
        </w:rPr>
      </w:pPr>
      <w:bookmarkStart w:id="106" w:name="_Hlk64972052"/>
      <w:r>
        <w:rPr>
          <w:rFonts w:hint="eastAsia" w:ascii="Times New Roman" w:hAnsi="Times New Roman" w:cs="Times New Roman"/>
        </w:rPr>
        <w:t>充分发挥经开区“一区多园”管理体制优势，以高水平开发、高强度投入、高效益产出为导向，以提升企业发展质量效益和综合竞争力为方向，以打造创新创业特色载体为抓手，重点发展新一代汽车技术、高端装备制造、新材料、医疗器械等行业</w:t>
      </w:r>
      <w:bookmarkEnd w:id="106"/>
      <w:r>
        <w:rPr>
          <w:rFonts w:hint="eastAsia" w:ascii="Times New Roman" w:hAnsi="Times New Roman" w:cs="Times New Roman"/>
        </w:rPr>
        <w:t>，加快推动</w:t>
      </w:r>
      <w:r>
        <w:rPr>
          <w:rFonts w:ascii="Times New Roman" w:hAnsi="Times New Roman" w:cs="Times New Roman"/>
        </w:rPr>
        <w:t>中航装甲产业基地</w:t>
      </w:r>
      <w:r>
        <w:rPr>
          <w:rFonts w:hint="eastAsia" w:ascii="Times New Roman" w:hAnsi="Times New Roman" w:cs="Times New Roman"/>
        </w:rPr>
        <w:t>、电装电机新能源汽车驱动电机及逆变器等项目建设，加速推动</w:t>
      </w:r>
      <w:r>
        <w:rPr>
          <w:rFonts w:hint="eastAsia" w:ascii="Times New Roman" w:hAnsi="Times New Roman" w:cs="Times New Roman"/>
          <w:bCs/>
        </w:rPr>
        <w:t>医疗器械、氢能科技产业园等特色主题园区建设，</w:t>
      </w:r>
      <w:r>
        <w:rPr>
          <w:rFonts w:ascii="Times New Roman" w:hAnsi="Times New Roman" w:cs="Times New Roman"/>
        </w:rPr>
        <w:t>大力促进新一代信息技术与制造业深度融合</w:t>
      </w:r>
      <w:r>
        <w:rPr>
          <w:rFonts w:hint="eastAsia" w:ascii="Times New Roman" w:hAnsi="Times New Roman" w:cs="Times New Roman"/>
        </w:rPr>
        <w:t>，</w:t>
      </w:r>
      <w:r>
        <w:rPr>
          <w:rFonts w:hint="eastAsia" w:cs="仿宋_GB2312"/>
          <w:szCs w:val="32"/>
        </w:rPr>
        <w:t>加快传统制造业向智能制造转型升级，引导制造业由生产型向生产服务型转变，促进生产服务业向专业化和价值链高端延伸，加强智能科技企业的引入和培育，</w:t>
      </w:r>
      <w:r>
        <w:rPr>
          <w:rFonts w:cs="仿宋_GB2312"/>
          <w:szCs w:val="32"/>
        </w:rPr>
        <w:t>不断强化产业链招商和基础设施建设，</w:t>
      </w:r>
      <w:r>
        <w:rPr>
          <w:rFonts w:hint="eastAsia" w:cs="仿宋_GB2312"/>
          <w:szCs w:val="32"/>
        </w:rPr>
        <w:t>形成以骨干企业为核心、科技型中小企业协作配套的产业集群，持续提升</w:t>
      </w:r>
      <w:r>
        <w:rPr>
          <w:rFonts w:ascii="Times New Roman" w:hAnsi="Times New Roman" w:cs="Times New Roman"/>
          <w:szCs w:val="32"/>
        </w:rPr>
        <w:t>园区的承载力、集聚力和辐射力。到2025年，</w:t>
      </w:r>
      <w:r>
        <w:rPr>
          <w:rFonts w:hint="eastAsia" w:ascii="Times New Roman" w:hAnsi="Times New Roman" w:cs="Times New Roman"/>
          <w:szCs w:val="32"/>
        </w:rPr>
        <w:t>力争地区生产总值超2</w:t>
      </w:r>
      <w:r>
        <w:rPr>
          <w:rFonts w:ascii="Times New Roman" w:hAnsi="Times New Roman" w:cs="Times New Roman"/>
          <w:szCs w:val="32"/>
        </w:rPr>
        <w:t>00</w:t>
      </w:r>
      <w:r>
        <w:rPr>
          <w:rFonts w:hint="eastAsia" w:ascii="Times New Roman" w:hAnsi="Times New Roman" w:cs="Times New Roman"/>
          <w:szCs w:val="32"/>
        </w:rPr>
        <w:t>亿元，规上工业总产值突破9</w:t>
      </w:r>
      <w:r>
        <w:rPr>
          <w:rFonts w:ascii="Times New Roman" w:hAnsi="Times New Roman" w:cs="Times New Roman"/>
          <w:szCs w:val="32"/>
        </w:rPr>
        <w:t>00</w:t>
      </w:r>
      <w:r>
        <w:rPr>
          <w:rFonts w:hint="eastAsia" w:ascii="Times New Roman" w:hAnsi="Times New Roman" w:cs="Times New Roman"/>
          <w:szCs w:val="32"/>
        </w:rPr>
        <w:t>亿元。</w:t>
      </w:r>
    </w:p>
    <w:p>
      <w:pPr>
        <w:widowControl/>
        <w:snapToGrid w:val="0"/>
        <w:ind w:firstLine="642" w:firstLineChars="200"/>
        <w:jc w:val="left"/>
        <w:textAlignment w:val="baseline"/>
        <w:rPr>
          <w:rFonts w:ascii="楷体_GB2312" w:hAnsi="Calibri" w:eastAsia="楷体_GB2312" w:cs="Times New Roman"/>
          <w:b/>
          <w:sz w:val="20"/>
          <w:szCs w:val="32"/>
        </w:rPr>
      </w:pPr>
      <w:bookmarkStart w:id="107" w:name="_Toc61343617"/>
      <w:r>
        <w:rPr>
          <w:rFonts w:hint="eastAsia" w:ascii="楷体_GB2312" w:hAnsi="Calibri" w:eastAsia="楷体_GB2312" w:cs="Times New Roman"/>
          <w:b/>
          <w:szCs w:val="32"/>
        </w:rPr>
        <w:t>（二）双区：华明高新区、临空经济区</w:t>
      </w:r>
      <w:bookmarkEnd w:id="107"/>
    </w:p>
    <w:p>
      <w:pPr>
        <w:ind w:firstLine="642" w:firstLineChars="200"/>
        <w:textAlignment w:val="baseline"/>
        <w:rPr>
          <w:rFonts w:ascii="Times New Roman" w:hAnsi="Times New Roman" w:cs="Times New Roman"/>
          <w:b/>
          <w:bCs/>
          <w:sz w:val="20"/>
        </w:rPr>
      </w:pPr>
      <w:bookmarkStart w:id="108" w:name="_Toc61343618"/>
      <w:r>
        <w:rPr>
          <w:rFonts w:hint="eastAsia" w:ascii="Times New Roman" w:hAnsi="Times New Roman" w:cs="Times New Roman"/>
          <w:b/>
          <w:bCs/>
        </w:rPr>
        <w:t>1</w:t>
      </w:r>
      <w:r>
        <w:rPr>
          <w:rFonts w:ascii="Times New Roman" w:hAnsi="Times New Roman" w:cs="Times New Roman"/>
          <w:b/>
          <w:bCs/>
        </w:rPr>
        <w:t>.</w:t>
      </w:r>
      <w:r>
        <w:rPr>
          <w:rFonts w:hint="eastAsia" w:ascii="Times New Roman" w:hAnsi="Times New Roman" w:cs="Times New Roman"/>
          <w:b/>
          <w:bCs/>
        </w:rPr>
        <w:t>华明高新区</w:t>
      </w:r>
      <w:bookmarkEnd w:id="108"/>
    </w:p>
    <w:p>
      <w:pPr>
        <w:ind w:firstLine="640" w:firstLineChars="200"/>
        <w:textAlignment w:val="baseline"/>
        <w:rPr>
          <w:rFonts w:ascii="Times New Roman" w:hAnsi="Times New Roman" w:cs="Times New Roman"/>
          <w:sz w:val="20"/>
        </w:rPr>
      </w:pPr>
      <w:r>
        <w:rPr>
          <w:rFonts w:ascii="Times New Roman" w:hAnsi="Times New Roman" w:cs="Times New Roman"/>
        </w:rPr>
        <w:t>对标国家级高新区创建要求</w:t>
      </w:r>
      <w:r>
        <w:rPr>
          <w:rFonts w:hint="eastAsia" w:ascii="Times New Roman" w:hAnsi="Times New Roman" w:cs="Times New Roman"/>
        </w:rPr>
        <w:t>，以新动能引育为核心，以高新引领、双创驱动、开放协同、产城融合为战略路径，聚焦智能装备制造、高端医疗器械、新材料、人工智能、工业互联网等领域，重点发展轨道交通、智能电网、工业机器人、智能芯片、智能网联车等业态，加快推进</w:t>
      </w:r>
      <w:r>
        <w:rPr>
          <w:rFonts w:ascii="Times New Roman" w:hAnsi="Times New Roman" w:cs="Times New Roman"/>
        </w:rPr>
        <w:t>医疗健康产业园</w:t>
      </w:r>
      <w:r>
        <w:rPr>
          <w:rFonts w:hint="eastAsia" w:ascii="Times New Roman" w:hAnsi="Times New Roman" w:cs="Times New Roman"/>
        </w:rPr>
        <w:t>特色主题园区、英诺美迪产业园、</w:t>
      </w:r>
      <w:r>
        <w:rPr>
          <w:rFonts w:hint="eastAsia" w:ascii="Times New Roman" w:hAnsi="Times New Roman" w:cs="Times New Roman"/>
          <w:bCs/>
        </w:rPr>
        <w:t>爱思达航天科技二期等重点项目建设，</w:t>
      </w:r>
      <w:r>
        <w:rPr>
          <w:rFonts w:hint="eastAsia" w:ascii="Times New Roman" w:hAnsi="Times New Roman" w:cs="Times New Roman"/>
        </w:rPr>
        <w:t>积极培育科技研发、成果转化、企业孵化器等各类科技服务机构，推动执信孵化器、清华高端院等新型研发机构和创新载体建设，加速推进科研院所科技成果转移转化，打造以创新要素高密度集聚为特色的创新驱动示范区和高质量发展引领区。到2</w:t>
      </w:r>
      <w:r>
        <w:rPr>
          <w:rFonts w:ascii="Times New Roman" w:hAnsi="Times New Roman" w:cs="Times New Roman"/>
        </w:rPr>
        <w:t>025</w:t>
      </w:r>
      <w:r>
        <w:rPr>
          <w:rFonts w:hint="eastAsia" w:ascii="Times New Roman" w:hAnsi="Times New Roman" w:cs="Times New Roman"/>
        </w:rPr>
        <w:t>年，力争地区生产总值年均增长7%，规上工业产值达到8</w:t>
      </w:r>
      <w:r>
        <w:rPr>
          <w:rFonts w:ascii="Times New Roman" w:hAnsi="Times New Roman" w:cs="Times New Roman"/>
        </w:rPr>
        <w:t>0</w:t>
      </w:r>
      <w:r>
        <w:rPr>
          <w:rFonts w:hint="eastAsia" w:ascii="Times New Roman" w:hAnsi="Times New Roman" w:cs="Times New Roman"/>
        </w:rPr>
        <w:t>亿元。</w:t>
      </w:r>
    </w:p>
    <w:p>
      <w:pPr>
        <w:ind w:firstLine="642" w:firstLineChars="200"/>
        <w:textAlignment w:val="baseline"/>
        <w:rPr>
          <w:rFonts w:ascii="Times New Roman" w:hAnsi="Times New Roman" w:cs="Times New Roman"/>
          <w:b/>
          <w:bCs/>
          <w:sz w:val="20"/>
        </w:rPr>
      </w:pPr>
      <w:bookmarkStart w:id="109" w:name="_Toc61343619"/>
      <w:r>
        <w:rPr>
          <w:rFonts w:hint="eastAsia" w:ascii="Times New Roman" w:hAnsi="Times New Roman" w:cs="Times New Roman"/>
          <w:b/>
          <w:bCs/>
        </w:rPr>
        <w:t>2</w:t>
      </w:r>
      <w:r>
        <w:rPr>
          <w:rFonts w:ascii="Times New Roman" w:hAnsi="Times New Roman" w:cs="Times New Roman"/>
          <w:b/>
          <w:bCs/>
        </w:rPr>
        <w:t>.</w:t>
      </w:r>
      <w:bookmarkStart w:id="110" w:name="_Hlk64972324"/>
      <w:r>
        <w:rPr>
          <w:rFonts w:hint="eastAsia" w:ascii="Times New Roman" w:hAnsi="Times New Roman" w:cs="Times New Roman"/>
          <w:b/>
          <w:bCs/>
        </w:rPr>
        <w:t>临空经济区</w:t>
      </w:r>
      <w:bookmarkEnd w:id="109"/>
      <w:bookmarkEnd w:id="110"/>
    </w:p>
    <w:p>
      <w:pPr>
        <w:ind w:firstLine="640" w:firstLineChars="200"/>
        <w:textAlignment w:val="baseline"/>
        <w:rPr>
          <w:rFonts w:ascii="Times New Roman" w:hAnsi="Times New Roman" w:cs="Times New Roman"/>
          <w:sz w:val="20"/>
        </w:rPr>
      </w:pPr>
      <w:r>
        <w:rPr>
          <w:rFonts w:hint="eastAsia" w:ascii="Times New Roman" w:hAnsi="Times New Roman" w:cs="Times New Roman"/>
        </w:rPr>
        <w:t>以创建</w:t>
      </w:r>
      <w:r>
        <w:rPr>
          <w:rFonts w:ascii="Times New Roman" w:hAnsi="Times New Roman" w:cs="Times New Roman"/>
        </w:rPr>
        <w:t>国家级临空经济示范区</w:t>
      </w:r>
      <w:r>
        <w:rPr>
          <w:rFonts w:hint="eastAsia" w:ascii="Times New Roman" w:hAnsi="Times New Roman" w:cs="Times New Roman"/>
        </w:rPr>
        <w:t>为目标，积极推进数字经济和实体经济融合，聚焦航空物流、跨境电商、生物医药、科技服务、智能科技等领域，重点发展高端商务商贸、信息技术服务、智能装备制造、</w:t>
      </w:r>
      <w:r>
        <w:rPr>
          <w:rFonts w:ascii="Times New Roman" w:hAnsi="Times New Roman" w:cs="Times New Roman"/>
        </w:rPr>
        <w:t>生物医药和高端器械研发</w:t>
      </w:r>
      <w:r>
        <w:rPr>
          <w:rFonts w:hint="eastAsia" w:ascii="Times New Roman" w:hAnsi="Times New Roman" w:cs="Times New Roman"/>
        </w:rPr>
        <w:t>等具有高临空指向性的创新经济和航空枢纽经济，不断强化自贸区开放引领功能，加快推动智慧机场、绿色物流等应用场景建设，充分发挥天津市航空航天人才创新创业联盟、</w:t>
      </w:r>
      <w:r>
        <w:rPr>
          <w:rFonts w:ascii="Times New Roman" w:hAnsi="Times New Roman" w:cs="Times New Roman"/>
        </w:rPr>
        <w:t>中国民航大学科技园</w:t>
      </w:r>
      <w:r>
        <w:rPr>
          <w:rFonts w:hint="eastAsia" w:ascii="Times New Roman" w:hAnsi="Times New Roman" w:cs="Times New Roman"/>
        </w:rPr>
        <w:t>等载体作用，加快推动中关村</w:t>
      </w:r>
      <w:r>
        <w:rPr>
          <w:rFonts w:ascii="Times New Roman" w:hAnsi="Times New Roman" w:cs="Times New Roman"/>
        </w:rPr>
        <w:t>E谷（东丽）航空产业智创</w:t>
      </w:r>
      <w:r>
        <w:rPr>
          <w:rFonts w:hint="eastAsia" w:ascii="Times New Roman" w:hAnsi="Times New Roman" w:cs="Times New Roman"/>
        </w:rPr>
        <w:t>中心等重点项目落地，</w:t>
      </w:r>
      <w:r>
        <w:rPr>
          <w:rFonts w:ascii="Times New Roman" w:hAnsi="Times New Roman" w:cs="Times New Roman"/>
        </w:rPr>
        <w:t>谋划储备</w:t>
      </w:r>
      <w:r>
        <w:rPr>
          <w:rFonts w:hint="eastAsia" w:ascii="Times New Roman" w:hAnsi="Times New Roman" w:cs="Times New Roman"/>
        </w:rPr>
        <w:t>一批</w:t>
      </w:r>
      <w:r>
        <w:rPr>
          <w:rFonts w:ascii="Times New Roman" w:hAnsi="Times New Roman" w:cs="Times New Roman"/>
        </w:rPr>
        <w:t>符合转型发展方向、增强后续发展动力的重大项目</w:t>
      </w:r>
      <w:r>
        <w:rPr>
          <w:rFonts w:hint="eastAsia" w:ascii="Times New Roman" w:hAnsi="Times New Roman" w:cs="Times New Roman"/>
        </w:rPr>
        <w:t>，将临空经济区打造成为生产生活生态高度融合的生产性服务业和高新技术产业集聚区。</w:t>
      </w:r>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11" w:name="_Toc61343620"/>
      <w:r>
        <w:rPr>
          <w:rFonts w:hint="eastAsia" w:ascii="Times New Roman" w:hAnsi="Times New Roman" w:cs="Times New Roman"/>
          <w:b w:val="0"/>
          <w:bCs w:val="0"/>
          <w:kern w:val="2"/>
          <w:szCs w:val="32"/>
        </w:rPr>
        <w:t>五、重点任务</w:t>
      </w:r>
      <w:bookmarkEnd w:id="111"/>
    </w:p>
    <w:p>
      <w:pPr>
        <w:pStyle w:val="2"/>
        <w:ind w:firstLine="640" w:firstLineChars="200"/>
        <w:jc w:val="both"/>
        <w:textAlignment w:val="baseline"/>
        <w:rPr>
          <w:rFonts w:ascii="Times New Roman" w:hAnsi="Times New Roman" w:eastAsia="仿宋_GB2312" w:cs="Times New Roman"/>
          <w:kern w:val="2"/>
          <w:szCs w:val="22"/>
          <w:lang w:val="en-US" w:bidi="ar-SA"/>
        </w:rPr>
      </w:pPr>
      <w:r>
        <w:rPr>
          <w:rFonts w:hint="eastAsia" w:ascii="Times New Roman" w:hAnsi="Times New Roman" w:eastAsia="仿宋_GB2312" w:cs="Times New Roman"/>
          <w:kern w:val="2"/>
          <w:szCs w:val="22"/>
          <w:lang w:val="en-US" w:bidi="ar-SA"/>
        </w:rPr>
        <w:t>突出大产业、大平台、大项目、大企业的培育和建设，以重点产业提升发展为引领，以绿色低碳循环发展为方向，整合优化资源，谋划发展抓手，培育壮大优势产业集群，构建企业梯次培育体系，强化企业创新主体地位，大力推广绿色生产方式，实施质量品牌提升计划，</w:t>
      </w:r>
      <w:bookmarkStart w:id="112" w:name="_Hlk65079220"/>
      <w:r>
        <w:rPr>
          <w:rFonts w:hint="eastAsia" w:ascii="Times New Roman" w:hAnsi="Times New Roman" w:eastAsia="仿宋_GB2312" w:cs="Times New Roman"/>
          <w:kern w:val="2"/>
          <w:szCs w:val="22"/>
          <w:lang w:val="en-US" w:bidi="ar-SA"/>
        </w:rPr>
        <w:t>强化新型基础设施建设，</w:t>
      </w:r>
      <w:bookmarkEnd w:id="112"/>
      <w:r>
        <w:rPr>
          <w:rFonts w:hint="eastAsia" w:ascii="Times New Roman" w:hAnsi="Times New Roman" w:eastAsia="仿宋_GB2312" w:cs="Times New Roman"/>
          <w:kern w:val="2"/>
          <w:szCs w:val="22"/>
          <w:lang w:val="en-US" w:bidi="ar-SA"/>
        </w:rPr>
        <w:t>为推动工业经济高质量发展提供有力支撑。</w:t>
      </w:r>
    </w:p>
    <w:p>
      <w:pPr>
        <w:snapToGrid w:val="0"/>
        <w:ind w:firstLine="642" w:firstLineChars="200"/>
        <w:textAlignment w:val="baseline"/>
        <w:rPr>
          <w:rFonts w:ascii="Times New Roman" w:hAnsi="Times New Roman" w:cs="仿宋_GB2312"/>
          <w:b/>
          <w:bCs/>
          <w:kern w:val="0"/>
          <w:sz w:val="20"/>
          <w:szCs w:val="32"/>
        </w:rPr>
      </w:pPr>
      <w:bookmarkStart w:id="113" w:name="_Toc61343621"/>
      <w:r>
        <w:rPr>
          <w:rFonts w:hint="eastAsia" w:ascii="Times New Roman" w:hAnsi="Times New Roman" w:cs="Times New Roman"/>
          <w:b/>
          <w:bCs/>
          <w:kern w:val="0"/>
          <w:szCs w:val="32"/>
        </w:rPr>
        <w:t>（一）</w:t>
      </w:r>
      <w:bookmarkStart w:id="114" w:name="_Hlk59723077"/>
      <w:r>
        <w:rPr>
          <w:rFonts w:hint="eastAsia" w:ascii="Times New Roman" w:hAnsi="Times New Roman" w:cs="仿宋_GB2312"/>
          <w:b/>
          <w:bCs/>
          <w:kern w:val="0"/>
          <w:szCs w:val="32"/>
        </w:rPr>
        <w:t>培育壮大优势产业集群，提升产业链现代化水平</w:t>
      </w:r>
      <w:bookmarkEnd w:id="113"/>
      <w:bookmarkEnd w:id="114"/>
    </w:p>
    <w:p>
      <w:pPr>
        <w:tabs>
          <w:tab w:val="left" w:pos="6357"/>
        </w:tabs>
        <w:spacing w:line="560" w:lineRule="atLeast"/>
        <w:textAlignment w:val="baseline"/>
        <w:rPr>
          <w:rFonts w:ascii="Times New Roman" w:hAnsi="Times New Roman" w:cs="仿宋_GB2312"/>
          <w:sz w:val="20"/>
        </w:rPr>
      </w:pPr>
      <w:r>
        <w:rPr>
          <w:rFonts w:hint="eastAsia" w:ascii="Times New Roman" w:hAnsi="Times New Roman" w:cs="Times New Roman"/>
          <w:b/>
          <w:bCs/>
        </w:rPr>
        <w:t>主动融入全</w:t>
      </w:r>
      <w:r>
        <w:rPr>
          <w:rFonts w:hint="eastAsia" w:ascii="仿宋_GB2312" w:hAnsi="Times New Roman" w:cs="Times New Roman"/>
          <w:b/>
          <w:bCs/>
        </w:rPr>
        <w:t>市“</w:t>
      </w:r>
      <w:r>
        <w:rPr>
          <w:rFonts w:ascii="Times New Roman" w:hAnsi="Times New Roman" w:cs="Times New Roman"/>
          <w:b/>
          <w:bCs/>
        </w:rPr>
        <w:t>1+3+4</w:t>
      </w:r>
      <w:r>
        <w:rPr>
          <w:rFonts w:hint="eastAsia" w:ascii="仿宋_GB2312" w:hAnsi="Times New Roman" w:cs="Times New Roman"/>
          <w:b/>
          <w:bCs/>
        </w:rPr>
        <w:t>”产</w:t>
      </w:r>
      <w:r>
        <w:rPr>
          <w:rFonts w:ascii="Times New Roman" w:hAnsi="Times New Roman" w:cs="Times New Roman"/>
          <w:b/>
          <w:bCs/>
        </w:rPr>
        <w:t>业体</w:t>
      </w:r>
      <w:r>
        <w:rPr>
          <w:rFonts w:hint="eastAsia" w:ascii="Times New Roman" w:hAnsi="Times New Roman" w:cs="Times New Roman"/>
          <w:b/>
          <w:bCs/>
        </w:rPr>
        <w:t>构。</w:t>
      </w:r>
      <w:r>
        <w:rPr>
          <w:rFonts w:ascii="Times New Roman" w:hAnsi="Times New Roman" w:cs="Times New Roman"/>
        </w:rPr>
        <w:t>坚持</w:t>
      </w:r>
      <w:r>
        <w:rPr>
          <w:rFonts w:hint="eastAsia" w:ascii="Times New Roman" w:hAnsi="Times New Roman" w:cs="Times New Roman"/>
        </w:rPr>
        <w:t>战新</w:t>
      </w:r>
      <w:r>
        <w:rPr>
          <w:rFonts w:ascii="Times New Roman" w:hAnsi="Times New Roman" w:cs="Times New Roman"/>
        </w:rPr>
        <w:t>产业培育发</w:t>
      </w:r>
      <w:r>
        <w:rPr>
          <w:rFonts w:ascii="Times New Roman" w:hAnsi="Times New Roman" w:cs="仿宋_GB2312"/>
          <w:kern w:val="0"/>
          <w:szCs w:val="32"/>
        </w:rPr>
        <w:t>展和传统产业改造提升并重</w:t>
      </w:r>
      <w:r>
        <w:rPr>
          <w:rFonts w:hint="eastAsia" w:ascii="Times New Roman" w:hAnsi="Times New Roman" w:cs="仿宋_GB2312"/>
          <w:kern w:val="0"/>
          <w:szCs w:val="32"/>
        </w:rPr>
        <w:t>，大力实施新动能引育和战新产业提升行动计划，着力构建以高端装备制造、新一代汽车技术、新材料、生物医药为特色的产业体系</w:t>
      </w:r>
      <w:r>
        <w:rPr>
          <w:rFonts w:hint="eastAsia" w:ascii="仿宋_GB2312" w:hAnsi="Times New Roman" w:cs="仿宋_GB2312"/>
          <w:kern w:val="0"/>
          <w:szCs w:val="32"/>
        </w:rPr>
        <w:t>。紧盯新业态培育、新技术引进、新模式构建，大力挖掘和培育“新经济”动力群，</w:t>
      </w:r>
      <w:r>
        <w:rPr>
          <w:rFonts w:ascii="仿宋_GB2312" w:hAnsi="Times New Roman" w:cs="仿宋_GB2312"/>
          <w:kern w:val="0"/>
          <w:szCs w:val="32"/>
        </w:rPr>
        <w:t>着力</w:t>
      </w:r>
      <w:r>
        <w:rPr>
          <w:rFonts w:hint="eastAsia" w:ascii="仿宋_GB2312" w:hAnsi="Times New Roman" w:cs="仿宋_GB2312"/>
          <w:kern w:val="0"/>
          <w:szCs w:val="32"/>
        </w:rPr>
        <w:t>打造</w:t>
      </w:r>
      <w:r>
        <w:rPr>
          <w:rFonts w:ascii="仿宋_GB2312" w:hAnsi="Times New Roman" w:cs="仿宋_GB2312"/>
          <w:kern w:val="0"/>
          <w:szCs w:val="32"/>
        </w:rPr>
        <w:t>开放协同、精准有效的新型集群发展促进体系</w:t>
      </w:r>
      <w:r>
        <w:rPr>
          <w:rFonts w:hint="eastAsia" w:ascii="仿宋_GB2312" w:hAnsi="Times New Roman" w:cs="仿宋_GB2312"/>
          <w:kern w:val="0"/>
          <w:szCs w:val="32"/>
        </w:rPr>
        <w:t>。依托</w:t>
      </w:r>
      <w:r>
        <w:rPr>
          <w:rFonts w:ascii="仿宋_GB2312" w:hAnsi="Times New Roman" w:cs="仿宋_GB2312"/>
          <w:kern w:val="0"/>
          <w:szCs w:val="32"/>
        </w:rPr>
        <w:t>天津市</w:t>
      </w:r>
      <w:r>
        <w:rPr>
          <w:rFonts w:hint="eastAsia" w:ascii="Times New Roman" w:hAnsi="Times New Roman" w:cs="仿宋_GB2312"/>
        </w:rPr>
        <w:t>航空航天人才创新创业联盟、东丽区知识产权赋能新材料产业聚集区等载体，吸引航空增材制造、雷达零部件、飞行控制系统、航天精密导航等上下游产业集聚。</w:t>
      </w:r>
      <w:r>
        <w:rPr>
          <w:rFonts w:ascii="Times New Roman" w:hAnsi="Times New Roman" w:cs="仿宋_GB2312"/>
        </w:rPr>
        <w:t>前瞻</w:t>
      </w:r>
      <w:r>
        <w:rPr>
          <w:rFonts w:hint="eastAsia" w:ascii="Times New Roman" w:hAnsi="Times New Roman" w:cs="仿宋_GB2312"/>
        </w:rPr>
        <w:t>布局生物技术、前沿新材料等一批未来产业，</w:t>
      </w:r>
      <w:r>
        <w:rPr>
          <w:rFonts w:ascii="Times New Roman" w:hAnsi="Times New Roman" w:cs="仿宋_GB2312"/>
        </w:rPr>
        <w:t>抢占产业创新发展先机</w:t>
      </w:r>
      <w:r>
        <w:rPr>
          <w:rFonts w:hint="eastAsia" w:ascii="Times New Roman" w:hAnsi="Times New Roman" w:cs="仿宋_GB2312"/>
        </w:rPr>
        <w:t>。加快推进先进制造业与服务业深度融合发展，大力发展</w:t>
      </w:r>
      <w:r>
        <w:rPr>
          <w:rFonts w:ascii="Times New Roman" w:hAnsi="Times New Roman" w:cs="仿宋_GB2312"/>
        </w:rPr>
        <w:t>工业设计服务、定制化服务、供应链管理</w:t>
      </w:r>
      <w:r>
        <w:rPr>
          <w:rFonts w:hint="eastAsia" w:ascii="Times New Roman" w:hAnsi="Times New Roman" w:cs="仿宋_GB2312"/>
        </w:rPr>
        <w:t>、</w:t>
      </w:r>
      <w:r>
        <w:rPr>
          <w:rFonts w:ascii="Times New Roman" w:hAnsi="Times New Roman" w:cs="仿宋_GB2312"/>
        </w:rPr>
        <w:t>检验检测认证</w:t>
      </w:r>
      <w:r>
        <w:rPr>
          <w:rFonts w:hint="eastAsia" w:ascii="Times New Roman" w:hAnsi="Times New Roman" w:cs="仿宋_GB2312"/>
        </w:rPr>
        <w:t>等业态，形成企业由生产型向生产服务型转变、服务企业向制造环节延伸的良性互动格局，</w:t>
      </w:r>
      <w:r>
        <w:rPr>
          <w:rFonts w:ascii="Times New Roman" w:hAnsi="Times New Roman" w:cs="仿宋_GB2312"/>
        </w:rPr>
        <w:t>加快向产业链中高端升级</w:t>
      </w:r>
      <w:r>
        <w:rPr>
          <w:rFonts w:hint="eastAsia" w:ascii="Times New Roman" w:hAnsi="Times New Roman" w:cs="仿宋_GB2312"/>
        </w:rPr>
        <w:t>。</w:t>
      </w:r>
    </w:p>
    <w:p>
      <w:pPr>
        <w:tabs>
          <w:tab w:val="left" w:pos="6357"/>
        </w:tabs>
        <w:ind w:firstLine="642" w:firstLineChars="200"/>
        <w:textAlignment w:val="baseline"/>
        <w:rPr>
          <w:rFonts w:ascii="Times New Roman" w:hAnsi="Times New Roman" w:cs="仿宋_GB2312"/>
          <w:color w:val="FF0000"/>
          <w:kern w:val="0"/>
          <w:szCs w:val="32"/>
        </w:rPr>
      </w:pPr>
      <w:r>
        <w:rPr>
          <w:rFonts w:hint="eastAsia" w:ascii="Times New Roman" w:hAnsi="Times New Roman" w:cs="仿宋_GB2312"/>
          <w:b/>
          <w:bCs/>
          <w:kern w:val="0"/>
          <w:szCs w:val="32"/>
        </w:rPr>
        <w:t>打造优势产业集群。</w:t>
      </w:r>
      <w:r>
        <w:rPr>
          <w:rFonts w:hint="eastAsia" w:ascii="Times New Roman" w:hAnsi="Times New Roman" w:cs="仿宋_GB2312"/>
          <w:kern w:val="0"/>
          <w:szCs w:val="32"/>
        </w:rPr>
        <w:t>聚焦战新产业和优势产业领域，进一步融入京津冀产业协同发展，围绕新能源汽车、生物医药等三地优势产业，着力建设具有国际竞争力的先进制造业集群，增强在国际国内产业和技术发展上的话语权。协同推动产业集群、产业链培育，重点发展高端装备、汽车和新能源汽车、航空航天、新材料、生物医药、轻工纺织</w:t>
      </w:r>
      <w:r>
        <w:rPr>
          <w:rFonts w:ascii="Times New Roman" w:hAnsi="Times New Roman" w:cs="仿宋_GB2312"/>
          <w:kern w:val="0"/>
          <w:szCs w:val="32"/>
        </w:rPr>
        <w:t>6</w:t>
      </w:r>
      <w:r>
        <w:rPr>
          <w:rFonts w:hint="eastAsia" w:ascii="Times New Roman" w:hAnsi="Times New Roman" w:cs="仿宋_GB2312"/>
          <w:kern w:val="0"/>
          <w:szCs w:val="32"/>
        </w:rPr>
        <w:t>大标志性产业链，加速提升产业链发展能级和整体竞争力。立足优势产业，壮大汽车和新能源汽车、新材料、高端装备产业链，</w:t>
      </w:r>
      <w:r>
        <w:rPr>
          <w:rFonts w:hint="eastAsia" w:ascii="Times New Roman" w:hAnsi="Times New Roman" w:cs="仿宋_GB2312"/>
          <w:kern w:val="0"/>
          <w:szCs w:val="32"/>
          <w:lang w:eastAsia="zh-CN"/>
        </w:rPr>
        <w:t>培育</w:t>
      </w:r>
      <w:r>
        <w:rPr>
          <w:rFonts w:hint="eastAsia" w:ascii="Times New Roman" w:hAnsi="Times New Roman" w:cs="仿宋_GB2312"/>
          <w:kern w:val="0"/>
          <w:szCs w:val="32"/>
        </w:rPr>
        <w:t>一批具有核心竞争力的智能技术、智能产品和智能制造企业，不断增创产业链发展新优势；立足新兴产业，培育生物医药、航空航天产业链，加快推动北方跨境数字贸易生态核心区建设，推动医疗</w:t>
      </w:r>
      <w:r>
        <w:rPr>
          <w:rFonts w:hint="eastAsia" w:ascii="Times New Roman" w:hAnsi="Times New Roman" w:cs="仿宋_GB2312"/>
          <w:kern w:val="0"/>
          <w:szCs w:val="32"/>
          <w:lang w:eastAsia="zh-CN"/>
        </w:rPr>
        <w:t>健康</w:t>
      </w:r>
      <w:r>
        <w:rPr>
          <w:rFonts w:hint="eastAsia" w:ascii="Times New Roman" w:hAnsi="Times New Roman" w:cs="仿宋_GB2312"/>
          <w:kern w:val="0"/>
          <w:szCs w:val="32"/>
        </w:rPr>
        <w:t>主题园区、民航大学科技园建设，助推产业链高质量发展；立足传统产业，提升轻工纺织产业链，加快推动新一代信息技术与自行车、食品等行业深度融合，持续开展“增品种、提品质、创品牌”活动，打造一批国内具有重要影响力的消费品品牌。</w:t>
      </w:r>
    </w:p>
    <w:p>
      <w:pPr>
        <w:tabs>
          <w:tab w:val="left" w:pos="6357"/>
        </w:tabs>
        <w:spacing w:line="560" w:lineRule="atLeast"/>
        <w:ind w:firstLine="629" w:firstLineChars="196"/>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优化稳定产业链供应链。</w:t>
      </w:r>
      <w:r>
        <w:rPr>
          <w:rFonts w:hint="eastAsia" w:ascii="Times New Roman" w:hAnsi="Times New Roman" w:cs="仿宋_GB2312"/>
          <w:kern w:val="0"/>
          <w:szCs w:val="32"/>
        </w:rPr>
        <w:t>突出优势锻造长板，加快推动先进焊接材料、智能网联汽车、智能装备制造、生物制药等领域创新发展，</w:t>
      </w:r>
      <w:r>
        <w:rPr>
          <w:rFonts w:ascii="Times New Roman" w:hAnsi="Times New Roman" w:cs="仿宋_GB2312"/>
          <w:kern w:val="0"/>
          <w:szCs w:val="32"/>
        </w:rPr>
        <w:t>构建自主可控、安全高效的产业链</w:t>
      </w:r>
      <w:r>
        <w:rPr>
          <w:rFonts w:hint="eastAsia" w:ascii="Times New Roman" w:hAnsi="Times New Roman" w:cs="仿宋_GB2312"/>
          <w:kern w:val="0"/>
          <w:szCs w:val="32"/>
        </w:rPr>
        <w:t>。不断加强龙头企业与本地配套企业之间的合作对接，同等条件下优先将本地工业企业优质产品和服务纳入政府项目采购目录。</w:t>
      </w:r>
      <w:r>
        <w:rPr>
          <w:rFonts w:ascii="Times New Roman" w:hAnsi="Times New Roman" w:cs="仿宋_GB2312"/>
          <w:kern w:val="0"/>
          <w:szCs w:val="32"/>
        </w:rPr>
        <w:t>重点推动智能化研发设计、供应链需求预测和计划、智能化采购与供应商协同等供应链智能化发展，提升供应链的抗风险能力</w:t>
      </w:r>
      <w:r>
        <w:rPr>
          <w:rFonts w:hint="eastAsia" w:ascii="Times New Roman" w:hAnsi="Times New Roman" w:cs="仿宋_GB2312"/>
          <w:kern w:val="0"/>
          <w:szCs w:val="32"/>
        </w:rPr>
        <w:t>。</w:t>
      </w:r>
      <w:r>
        <w:rPr>
          <w:rFonts w:ascii="Times New Roman" w:hAnsi="Times New Roman" w:cs="仿宋_GB2312"/>
          <w:kern w:val="0"/>
          <w:szCs w:val="32"/>
        </w:rPr>
        <w:t>实施串</w:t>
      </w:r>
      <w:r>
        <w:rPr>
          <w:rFonts w:hint="eastAsia" w:ascii="Times New Roman" w:hAnsi="Times New Roman" w:cs="仿宋_GB2312"/>
          <w:kern w:val="0"/>
          <w:szCs w:val="32"/>
        </w:rPr>
        <w:t>链</w:t>
      </w:r>
      <w:r>
        <w:rPr>
          <w:rFonts w:ascii="Times New Roman" w:hAnsi="Times New Roman" w:cs="仿宋_GB2312"/>
          <w:kern w:val="0"/>
          <w:szCs w:val="32"/>
        </w:rPr>
        <w:t>补</w:t>
      </w:r>
      <w:r>
        <w:rPr>
          <w:rFonts w:hint="eastAsia" w:ascii="Times New Roman" w:hAnsi="Times New Roman" w:cs="仿宋_GB2312"/>
          <w:kern w:val="0"/>
          <w:szCs w:val="32"/>
        </w:rPr>
        <w:t>链</w:t>
      </w:r>
      <w:r>
        <w:rPr>
          <w:rFonts w:ascii="Times New Roman" w:hAnsi="Times New Roman" w:cs="仿宋_GB2312"/>
          <w:kern w:val="0"/>
          <w:szCs w:val="32"/>
        </w:rPr>
        <w:t>强链工程，</w:t>
      </w:r>
      <w:r>
        <w:rPr>
          <w:rFonts w:hint="eastAsia" w:ascii="Times New Roman" w:hAnsi="Times New Roman" w:cs="仿宋_GB2312"/>
          <w:kern w:val="0"/>
          <w:szCs w:val="32"/>
        </w:rPr>
        <w:t>探索实现重点产业链“链长制”，推动“一链一策一方案”集中攻坚，培育形成一批</w:t>
      </w:r>
      <w:r>
        <w:rPr>
          <w:rFonts w:ascii="Times New Roman" w:hAnsi="Times New Roman" w:cs="仿宋_GB2312"/>
          <w:kern w:val="0"/>
          <w:szCs w:val="32"/>
        </w:rPr>
        <w:t>具有生态</w:t>
      </w:r>
      <w:r>
        <w:rPr>
          <w:rFonts w:hint="eastAsia" w:ascii="仿宋_GB2312" w:hAnsi="Times New Roman" w:cs="仿宋_GB2312"/>
          <w:kern w:val="0"/>
          <w:szCs w:val="32"/>
        </w:rPr>
        <w:t>主导力的产业链“链主”</w:t>
      </w:r>
      <w:r>
        <w:rPr>
          <w:rFonts w:ascii="Times New Roman" w:hAnsi="Times New Roman" w:cs="仿宋_GB2312"/>
          <w:kern w:val="0"/>
          <w:szCs w:val="32"/>
        </w:rPr>
        <w:t>企业</w:t>
      </w:r>
      <w:r>
        <w:rPr>
          <w:rFonts w:hint="eastAsia" w:ascii="Times New Roman" w:hAnsi="Times New Roman" w:cs="仿宋_GB2312"/>
          <w:kern w:val="0"/>
          <w:szCs w:val="32"/>
        </w:rPr>
        <w:t>，进一步增强对全产业链、关键环节和核心技术的控制力。</w:t>
      </w:r>
    </w:p>
    <w:p>
      <w:pPr>
        <w:snapToGrid w:val="0"/>
        <w:ind w:firstLine="642" w:firstLineChars="200"/>
        <w:textAlignment w:val="baseline"/>
        <w:rPr>
          <w:rFonts w:ascii="Times New Roman" w:hAnsi="Times New Roman" w:cs="Times New Roman"/>
          <w:b/>
          <w:bCs/>
          <w:kern w:val="0"/>
          <w:sz w:val="20"/>
          <w:szCs w:val="32"/>
        </w:rPr>
      </w:pPr>
      <w:bookmarkStart w:id="115" w:name="_Toc61343622"/>
      <w:r>
        <w:rPr>
          <w:rFonts w:hint="eastAsia" w:ascii="Times New Roman" w:hAnsi="Times New Roman" w:cs="Times New Roman"/>
          <w:b/>
          <w:bCs/>
          <w:kern w:val="0"/>
          <w:szCs w:val="32"/>
        </w:rPr>
        <w:t>（二）</w:t>
      </w:r>
      <w:bookmarkStart w:id="116" w:name="_Hlk59723084"/>
      <w:r>
        <w:rPr>
          <w:rFonts w:ascii="Times New Roman" w:hAnsi="Times New Roman" w:cs="Times New Roman"/>
          <w:b/>
          <w:bCs/>
          <w:kern w:val="0"/>
          <w:szCs w:val="32"/>
        </w:rPr>
        <w:t>推动园区跨越转型升级</w:t>
      </w:r>
      <w:r>
        <w:rPr>
          <w:rFonts w:hint="eastAsia" w:ascii="Times New Roman" w:hAnsi="Times New Roman" w:cs="Times New Roman"/>
          <w:b/>
          <w:bCs/>
          <w:kern w:val="0"/>
          <w:szCs w:val="32"/>
        </w:rPr>
        <w:t>，构建企业梯次培育体系</w:t>
      </w:r>
      <w:bookmarkEnd w:id="115"/>
      <w:bookmarkEnd w:id="116"/>
    </w:p>
    <w:p>
      <w:pPr>
        <w:ind w:firstLine="642" w:firstLineChars="200"/>
        <w:textAlignment w:val="baseline"/>
        <w:rPr>
          <w:rFonts w:ascii="Times New Roman" w:hAnsi="Times New Roman" w:cs="仿宋_GB2312"/>
          <w:kern w:val="0"/>
          <w:sz w:val="20"/>
          <w:szCs w:val="32"/>
        </w:rPr>
      </w:pPr>
      <w:bookmarkStart w:id="117" w:name="_Hlk65055028"/>
      <w:r>
        <w:rPr>
          <w:rFonts w:hint="eastAsia" w:ascii="Times New Roman" w:hAnsi="Times New Roman" w:cs="仿宋_GB2312"/>
          <w:b/>
          <w:bCs/>
          <w:kern w:val="0"/>
          <w:szCs w:val="32"/>
        </w:rPr>
        <w:t>加快推动产业园区“二次提升”</w:t>
      </w:r>
      <w:bookmarkEnd w:id="117"/>
      <w:r>
        <w:rPr>
          <w:rFonts w:hint="eastAsia" w:ascii="Times New Roman" w:hAnsi="Times New Roman" w:cs="仿宋_GB2312"/>
          <w:b/>
          <w:bCs/>
          <w:kern w:val="0"/>
          <w:szCs w:val="32"/>
        </w:rPr>
        <w:t>。</w:t>
      </w:r>
      <w:r>
        <w:rPr>
          <w:rFonts w:hint="eastAsia" w:ascii="Times New Roman" w:hAnsi="Times New Roman" w:cs="仿宋_GB2312"/>
          <w:kern w:val="0"/>
          <w:szCs w:val="32"/>
        </w:rPr>
        <w:t>以集聚集约、功能完善、绿色发展为原则，深化园区改革，创新治理模式，加快推进园区治理体系和治理能力现代化。深入推进东丽经开区“一区多园”管理体制改革，</w:t>
      </w:r>
      <w:bookmarkStart w:id="118" w:name="_Hlk56514215"/>
      <w:r>
        <w:rPr>
          <w:rFonts w:hint="eastAsia" w:ascii="Times New Roman" w:hAnsi="Times New Roman" w:cs="仿宋_GB2312"/>
          <w:kern w:val="0"/>
          <w:szCs w:val="32"/>
        </w:rPr>
        <w:t>全力打造经开区在新一代汽车技术、新能源新材料、高端医疗器械和高端服务业等领域的竞争优势</w:t>
      </w:r>
      <w:bookmarkEnd w:id="118"/>
      <w:r>
        <w:rPr>
          <w:rFonts w:hint="eastAsia" w:ascii="Times New Roman" w:hAnsi="Times New Roman" w:cs="仿宋_GB2312"/>
          <w:kern w:val="0"/>
          <w:szCs w:val="32"/>
        </w:rPr>
        <w:t>。建设氢能科技园，集聚优势产业企业总部和研发机构，构建氢能产业园生态圈。推动华明高新区以“产业体系、创新体系、服务体系”为核心，以创新协同格局和高效空间格局为支撑，探索土地利用新模式，拓展产业发展空间，推进园区工业用地生命周期管理，保证土地及时产出效益，建成节约集约利用土地的示范样板。高标准推进临空经济区建设，聚焦</w:t>
      </w:r>
      <w:r>
        <w:rPr>
          <w:rFonts w:ascii="Times New Roman" w:hAnsi="Times New Roman" w:cs="仿宋_GB2312"/>
          <w:kern w:val="0"/>
          <w:szCs w:val="32"/>
        </w:rPr>
        <w:t>航空维修、航空物流</w:t>
      </w:r>
      <w:r>
        <w:rPr>
          <w:rFonts w:hint="eastAsia" w:ascii="Times New Roman" w:hAnsi="Times New Roman" w:cs="仿宋_GB2312"/>
          <w:kern w:val="0"/>
          <w:szCs w:val="32"/>
        </w:rPr>
        <w:t>、</w:t>
      </w:r>
      <w:r>
        <w:rPr>
          <w:rFonts w:ascii="Times New Roman" w:hAnsi="Times New Roman" w:cs="仿宋_GB2312"/>
          <w:kern w:val="0"/>
          <w:szCs w:val="32"/>
        </w:rPr>
        <w:t>航空服务</w:t>
      </w:r>
      <w:r>
        <w:rPr>
          <w:rFonts w:hint="eastAsia" w:ascii="Times New Roman" w:hAnsi="Times New Roman" w:cs="仿宋_GB2312"/>
          <w:kern w:val="0"/>
          <w:szCs w:val="32"/>
        </w:rPr>
        <w:t>等重点领域，打造东丽经济高质量发展新引擎。</w:t>
      </w:r>
    </w:p>
    <w:p>
      <w:pPr>
        <w:ind w:firstLine="642" w:firstLineChars="200"/>
        <w:textAlignment w:val="baseline"/>
        <w:rPr>
          <w:rFonts w:cs="Times New Roman"/>
          <w:sz w:val="20"/>
          <w:szCs w:val="28"/>
        </w:rPr>
      </w:pPr>
      <w:r>
        <w:rPr>
          <w:rFonts w:cs="Times New Roman"/>
          <w:b/>
          <w:szCs w:val="28"/>
        </w:rPr>
        <w:t>促进大中小企业融通发展。</w:t>
      </w:r>
      <w:r>
        <w:rPr>
          <w:rFonts w:cs="Times New Roman"/>
          <w:szCs w:val="28"/>
        </w:rPr>
        <w:t>充分发挥大型企业引领支撑作用，</w:t>
      </w:r>
      <w:r>
        <w:rPr>
          <w:rFonts w:hint="eastAsia" w:cs="Times New Roman"/>
          <w:szCs w:val="28"/>
        </w:rPr>
        <w:t>探索推广</w:t>
      </w:r>
      <w:r>
        <w:rPr>
          <w:rFonts w:cs="Times New Roman"/>
          <w:szCs w:val="28"/>
        </w:rPr>
        <w:t>供应链整合、创新能力共享、数据资源应用的大中小企业融通发展模式</w:t>
      </w:r>
      <w:r>
        <w:rPr>
          <w:rFonts w:hint="eastAsia" w:cs="Times New Roman"/>
          <w:szCs w:val="28"/>
        </w:rPr>
        <w:t>，培育经济增长新动能。</w:t>
      </w:r>
      <w:r>
        <w:rPr>
          <w:rFonts w:cs="Times New Roman"/>
          <w:szCs w:val="28"/>
        </w:rPr>
        <w:t>鼓励引导本地龙头企业将中小企业纳入协作配套体系，</w:t>
      </w:r>
      <w:r>
        <w:rPr>
          <w:rFonts w:hint="eastAsia" w:cs="Times New Roman"/>
          <w:szCs w:val="28"/>
        </w:rPr>
        <w:t>在高端装备制造、</w:t>
      </w:r>
      <w:r>
        <w:rPr>
          <w:rFonts w:hint="eastAsia" w:ascii="Times New Roman" w:hAnsi="Times New Roman" w:cs="仿宋_GB2312"/>
          <w:kern w:val="0"/>
          <w:szCs w:val="32"/>
        </w:rPr>
        <w:t>新一代汽车技术、新材料等领域培育专业化配套集群，形成</w:t>
      </w:r>
      <w:r>
        <w:rPr>
          <w:rFonts w:cs="Times New Roman"/>
          <w:szCs w:val="28"/>
        </w:rPr>
        <w:t>信息联通、订单共享、产能对接、高效协作</w:t>
      </w:r>
      <w:r>
        <w:rPr>
          <w:rFonts w:hint="eastAsia" w:cs="Times New Roman"/>
          <w:szCs w:val="28"/>
        </w:rPr>
        <w:t>的配套融通模式。</w:t>
      </w:r>
      <w:r>
        <w:rPr>
          <w:rFonts w:cs="Times New Roman"/>
          <w:szCs w:val="28"/>
        </w:rPr>
        <w:t>以产业链龙头企业为支撑，推动产学研用融合创新发展，打造一批开放式实验室等创新平台，</w:t>
      </w:r>
      <w:r>
        <w:rPr>
          <w:rFonts w:hint="eastAsia" w:cs="Times New Roman"/>
          <w:szCs w:val="28"/>
        </w:rPr>
        <w:t>引领以平台赋能产业创新的融通发展模式。</w:t>
      </w:r>
      <w:r>
        <w:rPr>
          <w:rFonts w:cs="Times New Roman"/>
          <w:szCs w:val="28"/>
        </w:rPr>
        <w:t>引导制造业龙头企业构建基于互联网的分享制造平台，为中小企业提供产品供给、产品需求、产品质量和流程标准等全产业链的协同解决方案</w:t>
      </w:r>
      <w:r>
        <w:rPr>
          <w:rFonts w:hint="eastAsia" w:cs="Times New Roman"/>
          <w:szCs w:val="28"/>
        </w:rPr>
        <w:t>。</w:t>
      </w:r>
      <w:r>
        <w:rPr>
          <w:rFonts w:cs="Times New Roman"/>
          <w:szCs w:val="28"/>
        </w:rPr>
        <w:t>积极推动供应链管理、客户关系管理</w:t>
      </w:r>
      <w:r>
        <w:rPr>
          <w:rFonts w:hint="eastAsia" w:cs="Times New Roman"/>
          <w:szCs w:val="28"/>
        </w:rPr>
        <w:t>等信息化管理，加快发展</w:t>
      </w:r>
      <w:r>
        <w:rPr>
          <w:rFonts w:cs="Times New Roman"/>
          <w:szCs w:val="28"/>
        </w:rPr>
        <w:t>柔性制造、准时制生产、仓储智能化</w:t>
      </w:r>
      <w:r>
        <w:rPr>
          <w:rFonts w:hint="eastAsia" w:cs="Times New Roman"/>
          <w:szCs w:val="28"/>
        </w:rPr>
        <w:t>等技术，</w:t>
      </w:r>
      <w:r>
        <w:rPr>
          <w:rFonts w:cs="Times New Roman"/>
          <w:szCs w:val="28"/>
        </w:rPr>
        <w:t>挖掘新的经济增长点，助力产业转型升级</w:t>
      </w:r>
      <w:r>
        <w:rPr>
          <w:rFonts w:hint="eastAsia" w:cs="Times New Roman"/>
          <w:szCs w:val="28"/>
        </w:rPr>
        <w:t>。</w:t>
      </w:r>
    </w:p>
    <w:p>
      <w:pPr>
        <w:pStyle w:val="2"/>
        <w:ind w:firstLine="642" w:firstLineChars="200"/>
        <w:jc w:val="both"/>
        <w:textAlignment w:val="baseline"/>
        <w:rPr>
          <w:rFonts w:eastAsia="仿宋_GB2312" w:cs="Times New Roman"/>
          <w:kern w:val="2"/>
          <w:szCs w:val="28"/>
          <w:lang w:val="en-US" w:bidi="ar-SA"/>
        </w:rPr>
      </w:pPr>
      <w:r>
        <w:rPr>
          <w:rFonts w:hint="eastAsia" w:ascii="Times New Roman" w:hAnsi="Times New Roman" w:eastAsia="仿宋_GB2312" w:cs="仿宋_GB2312"/>
          <w:b/>
          <w:bCs/>
          <w:lang w:val="en-US" w:bidi="ar-SA"/>
        </w:rPr>
        <w:t>实施优质企业梯次培育行动。</w:t>
      </w:r>
      <w:r>
        <w:rPr>
          <w:rFonts w:hint="eastAsia" w:eastAsia="仿宋_GB2312" w:cs="Times New Roman"/>
          <w:kern w:val="2"/>
          <w:szCs w:val="28"/>
          <w:lang w:val="en-US" w:bidi="ar-SA"/>
        </w:rPr>
        <w:t>着力引育领航企业，加快培育单项冠军，大力培育“专精特新”企业，构建以领航企业为引领、以单项冠军企业为支撑、“专精特新”中小企业跟进跃升的梯次发展格局。大力培育领航企业。聚焦新一代汽车技术、高端装备制造、生物医药等</w:t>
      </w:r>
      <w:r>
        <w:rPr>
          <w:rFonts w:eastAsia="仿宋_GB2312" w:cs="Times New Roman"/>
          <w:kern w:val="2"/>
          <w:szCs w:val="28"/>
          <w:lang w:val="en-US" w:bidi="ar-SA"/>
        </w:rPr>
        <w:t>行业骨干企业</w:t>
      </w:r>
      <w:r>
        <w:rPr>
          <w:rFonts w:hint="eastAsia" w:eastAsia="仿宋_GB2312" w:cs="Times New Roman"/>
          <w:kern w:val="2"/>
          <w:szCs w:val="28"/>
          <w:lang w:val="en-US" w:bidi="ar-SA"/>
        </w:rPr>
        <w:t>，吸引集聚一批</w:t>
      </w:r>
      <w:r>
        <w:rPr>
          <w:rFonts w:eastAsia="仿宋_GB2312" w:cs="Times New Roman"/>
          <w:kern w:val="2"/>
          <w:szCs w:val="28"/>
          <w:lang w:val="en-US" w:bidi="ar-SA"/>
        </w:rPr>
        <w:t>区域性的央企和总部型企业</w:t>
      </w:r>
      <w:r>
        <w:rPr>
          <w:rFonts w:hint="eastAsia" w:eastAsia="仿宋_GB2312" w:cs="Times New Roman"/>
          <w:kern w:val="2"/>
          <w:szCs w:val="28"/>
          <w:lang w:val="en-US" w:bidi="ar-SA"/>
        </w:rPr>
        <w:t>，</w:t>
      </w:r>
      <w:r>
        <w:rPr>
          <w:rFonts w:eastAsia="仿宋_GB2312" w:cs="Times New Roman"/>
          <w:kern w:val="2"/>
          <w:szCs w:val="28"/>
          <w:lang w:val="en-US" w:bidi="ar-SA"/>
        </w:rPr>
        <w:t>建设研发转化中心和高附加值生产基地</w:t>
      </w:r>
      <w:r>
        <w:rPr>
          <w:rFonts w:hint="eastAsia" w:eastAsia="仿宋_GB2312" w:cs="Times New Roman"/>
          <w:kern w:val="2"/>
          <w:szCs w:val="28"/>
          <w:lang w:val="en-US" w:bidi="ar-SA"/>
        </w:rPr>
        <w:t>。</w:t>
      </w:r>
      <w:r>
        <w:rPr>
          <w:rFonts w:eastAsia="仿宋_GB2312" w:cs="Times New Roman"/>
          <w:kern w:val="2"/>
          <w:szCs w:val="28"/>
          <w:lang w:val="en-US" w:bidi="ar-SA"/>
        </w:rPr>
        <w:t>大力培育单项冠军</w:t>
      </w:r>
      <w:r>
        <w:rPr>
          <w:rFonts w:hint="eastAsia" w:eastAsia="仿宋_GB2312" w:cs="Times New Roman"/>
          <w:kern w:val="2"/>
          <w:szCs w:val="28"/>
          <w:lang w:val="en-US" w:bidi="ar-SA"/>
        </w:rPr>
        <w:t>，</w:t>
      </w:r>
      <w:r>
        <w:rPr>
          <w:rFonts w:eastAsia="仿宋_GB2312" w:cs="Times New Roman"/>
          <w:kern w:val="2"/>
          <w:szCs w:val="28"/>
          <w:lang w:val="en-US" w:bidi="ar-SA"/>
        </w:rPr>
        <w:t>建立梯度培育体系</w:t>
      </w:r>
      <w:r>
        <w:rPr>
          <w:rFonts w:hint="eastAsia" w:eastAsia="仿宋_GB2312" w:cs="Times New Roman"/>
          <w:kern w:val="2"/>
          <w:szCs w:val="28"/>
          <w:lang w:val="en-US" w:bidi="ar-SA"/>
        </w:rPr>
        <w:t>，</w:t>
      </w:r>
      <w:r>
        <w:rPr>
          <w:rFonts w:eastAsia="仿宋_GB2312" w:cs="Times New Roman"/>
          <w:kern w:val="2"/>
          <w:szCs w:val="28"/>
          <w:lang w:val="en-US" w:bidi="ar-SA"/>
        </w:rPr>
        <w:t>带动和培育一批企业成长为单项冠军企业</w:t>
      </w:r>
      <w:r>
        <w:rPr>
          <w:rFonts w:hint="eastAsia" w:eastAsia="仿宋_GB2312" w:cs="Times New Roman"/>
          <w:kern w:val="2"/>
          <w:szCs w:val="28"/>
          <w:lang w:val="en-US" w:bidi="ar-SA"/>
        </w:rPr>
        <w:t>。</w:t>
      </w:r>
      <w:r>
        <w:rPr>
          <w:rFonts w:eastAsia="仿宋_GB2312" w:cs="Times New Roman"/>
          <w:kern w:val="2"/>
          <w:szCs w:val="28"/>
          <w:lang w:val="en-US" w:bidi="ar-SA"/>
        </w:rPr>
        <w:t>着力发展专精特新企业</w:t>
      </w:r>
      <w:r>
        <w:rPr>
          <w:rFonts w:hint="eastAsia" w:eastAsia="仿宋_GB2312" w:cs="Times New Roman"/>
          <w:kern w:val="2"/>
          <w:szCs w:val="28"/>
          <w:lang w:val="en-US" w:bidi="ar-SA"/>
        </w:rPr>
        <w:t>，</w:t>
      </w:r>
      <w:r>
        <w:rPr>
          <w:rFonts w:hint="eastAsia" w:ascii="仿宋_GB2312" w:eastAsia="仿宋_GB2312" w:cs="Times New Roman"/>
          <w:kern w:val="2"/>
          <w:szCs w:val="28"/>
          <w:lang w:val="en-US" w:bidi="ar-SA"/>
        </w:rPr>
        <w:t>建立“专精特新”中小企业培育库与升级库，持续提升“专精特新”中</w:t>
      </w:r>
      <w:r>
        <w:rPr>
          <w:rFonts w:eastAsia="仿宋_GB2312" w:cs="Times New Roman"/>
          <w:kern w:val="2"/>
          <w:szCs w:val="28"/>
          <w:lang w:val="en-US" w:bidi="ar-SA"/>
        </w:rPr>
        <w:t>小企业质量效益</w:t>
      </w:r>
      <w:r>
        <w:rPr>
          <w:rFonts w:hint="eastAsia" w:eastAsia="仿宋_GB2312" w:cs="Times New Roman"/>
          <w:kern w:val="2"/>
          <w:szCs w:val="28"/>
          <w:lang w:val="en-US" w:bidi="ar-SA"/>
        </w:rPr>
        <w:t>。加快推进垠坤电子信息智能制造创新园、煌卓国际智能制造产业园等平台类项目落地，开展专题培训、提供融资等综合服务，推动各类企业实现跃升发展</w:t>
      </w:r>
      <w:r>
        <w:rPr>
          <w:rFonts w:eastAsia="仿宋_GB2312" w:cs="Times New Roman"/>
          <w:kern w:val="2"/>
          <w:szCs w:val="28"/>
          <w:lang w:val="en-US" w:bidi="ar-SA"/>
        </w:rPr>
        <w:t>。</w:t>
      </w:r>
    </w:p>
    <w:p>
      <w:pPr>
        <w:snapToGrid w:val="0"/>
        <w:ind w:firstLine="642" w:firstLineChars="200"/>
        <w:textAlignment w:val="baseline"/>
        <w:rPr>
          <w:rFonts w:ascii="Times New Roman" w:hAnsi="Times New Roman" w:cs="Times New Roman"/>
          <w:b/>
          <w:bCs/>
          <w:kern w:val="0"/>
          <w:sz w:val="20"/>
          <w:szCs w:val="32"/>
        </w:rPr>
      </w:pPr>
      <w:bookmarkStart w:id="119" w:name="_Toc61343623"/>
      <w:r>
        <w:rPr>
          <w:rFonts w:hint="eastAsia" w:ascii="Times New Roman" w:hAnsi="Times New Roman" w:cs="Times New Roman"/>
          <w:b/>
          <w:bCs/>
          <w:kern w:val="0"/>
          <w:szCs w:val="32"/>
        </w:rPr>
        <w:t>（三）强化企业创新主体地位，全面提升自主创新能力</w:t>
      </w:r>
      <w:bookmarkEnd w:id="119"/>
    </w:p>
    <w:p>
      <w:pPr>
        <w:tabs>
          <w:tab w:val="left" w:pos="6357"/>
        </w:tabs>
        <w:spacing w:line="560" w:lineRule="atLeast"/>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健全完善协同创新体系。</w:t>
      </w:r>
      <w:r>
        <w:rPr>
          <w:rFonts w:ascii="Times New Roman" w:hAnsi="Times New Roman" w:cs="仿宋_GB2312"/>
          <w:kern w:val="0"/>
          <w:szCs w:val="32"/>
        </w:rPr>
        <w:t>围绕产业链部署创新链，围绕创新链布局产业链，</w:t>
      </w:r>
      <w:r>
        <w:rPr>
          <w:rFonts w:ascii="Times New Roman" w:hAnsi="Times New Roman" w:cs="仿宋_GB2312"/>
        </w:rPr>
        <w:t>推动各类创新主体高效协同互动、要素优化配置，</w:t>
      </w:r>
      <w:r>
        <w:rPr>
          <w:rFonts w:hint="eastAsia" w:ascii="Times New Roman" w:hAnsi="Times New Roman" w:cs="仿宋_GB2312"/>
        </w:rPr>
        <w:t>加快高水平区域创新平台建设</w:t>
      </w:r>
      <w:r>
        <w:rPr>
          <w:rFonts w:hint="eastAsia" w:ascii="Times New Roman" w:hAnsi="Times New Roman" w:cs="仿宋_GB2312"/>
          <w:kern w:val="0"/>
          <w:szCs w:val="32"/>
        </w:rPr>
        <w:t>，形成以企业为主体、市场为导向、政产学研用相结合的区域协同创新体系。坚持“引苗”“育苗”并重，以共性关键技术研发供给、转移扩散为重点，加快</w:t>
      </w:r>
      <w:r>
        <w:rPr>
          <w:rFonts w:ascii="Times New Roman" w:hAnsi="Times New Roman" w:cs="仿宋_GB2312"/>
          <w:kern w:val="0"/>
          <w:szCs w:val="32"/>
        </w:rPr>
        <w:t>实施重点产业创新工程，</w:t>
      </w:r>
      <w:r>
        <w:rPr>
          <w:rFonts w:hint="eastAsia" w:ascii="Times New Roman" w:hAnsi="Times New Roman" w:cs="仿宋_GB2312"/>
          <w:kern w:val="0"/>
          <w:szCs w:val="32"/>
        </w:rPr>
        <w:t>依托清华高端院、中汽研等创新载体，</w:t>
      </w:r>
      <w:r>
        <w:rPr>
          <w:rFonts w:ascii="Times New Roman" w:hAnsi="Times New Roman" w:cs="仿宋_GB2312"/>
          <w:kern w:val="0"/>
          <w:szCs w:val="32"/>
        </w:rPr>
        <w:t>深入开展关键核心技术和共性技术攻关，形成一批原创性、突破性的重大创新成果</w:t>
      </w:r>
      <w:r>
        <w:rPr>
          <w:rFonts w:hint="eastAsia" w:ascii="Times New Roman" w:hAnsi="Times New Roman" w:cs="仿宋_GB2312"/>
          <w:kern w:val="0"/>
          <w:szCs w:val="32"/>
        </w:rPr>
        <w:t>。加快实施创新效能提升工程，发挥重大科研创新平台的示范引领和孵化带动作用，形成以核心技术驱动产业变革的新格局。</w:t>
      </w:r>
    </w:p>
    <w:p>
      <w:pPr>
        <w:pStyle w:val="2"/>
        <w:ind w:firstLine="642" w:firstLineChars="200"/>
        <w:jc w:val="both"/>
        <w:textAlignment w:val="baseline"/>
        <w:rPr>
          <w:rFonts w:ascii="Times New Roman" w:hAnsi="Times New Roman" w:eastAsia="仿宋_GB2312" w:cs="仿宋_GB2312"/>
          <w:lang w:val="en-US" w:bidi="ar-SA"/>
        </w:rPr>
      </w:pPr>
      <w:r>
        <w:rPr>
          <w:rFonts w:hint="eastAsia" w:ascii="Times New Roman" w:hAnsi="Times New Roman" w:eastAsia="仿宋_GB2312" w:cs="仿宋_GB2312"/>
          <w:b/>
          <w:bCs/>
          <w:lang w:val="en-US" w:bidi="ar-SA"/>
        </w:rPr>
        <w:t>加快提升产业创新能力。</w:t>
      </w:r>
      <w:r>
        <w:rPr>
          <w:rFonts w:hint="eastAsia" w:ascii="Times New Roman" w:hAnsi="Times New Roman" w:eastAsia="仿宋_GB2312" w:cs="仿宋_GB2312"/>
          <w:lang w:val="en-US" w:bidi="ar-SA"/>
        </w:rPr>
        <w:t>发挥创新引领作用，完善产业创新生态，在体制机制、研发经费投入、技术推广等方面出台支持政策，形成高效的企业创新机制和良好的外部环境。引导企业创建企业技术中心、工程技术中心、工程实验室等，支持企业积极承担和参与国家、市级重大科技项目和区域性科研平台建设。重点推进规上工业企业技术创新活动实现全覆盖，在新一代技术、高端装备制造、新材料、生物医药等领域，实施高新技术企业数量倍增计划。大力引进培养一批技术评估、技术转移、产权交易等科技中介服务机构，为企业提供</w:t>
      </w:r>
      <w:r>
        <w:rPr>
          <w:rFonts w:ascii="Times New Roman" w:hAnsi="Times New Roman" w:eastAsia="仿宋_GB2312" w:cs="仿宋_GB2312"/>
          <w:lang w:val="en-US" w:bidi="ar-SA"/>
        </w:rPr>
        <w:t>标准咨询</w:t>
      </w:r>
      <w:r>
        <w:rPr>
          <w:rFonts w:hint="eastAsia" w:ascii="Times New Roman" w:hAnsi="Times New Roman" w:eastAsia="仿宋_GB2312" w:cs="仿宋_GB2312"/>
          <w:lang w:val="en-US" w:bidi="ar-SA"/>
        </w:rPr>
        <w:t>、技术支持、检验检测等服务，满足特色产业的创新需求。</w:t>
      </w:r>
    </w:p>
    <w:p>
      <w:pPr>
        <w:tabs>
          <w:tab w:val="left" w:pos="6357"/>
        </w:tabs>
        <w:spacing w:line="560" w:lineRule="atLeast"/>
        <w:ind w:firstLine="642" w:firstLineChars="200"/>
        <w:textAlignment w:val="baseline"/>
        <w:rPr>
          <w:rFonts w:ascii="仿宋_GB2312" w:hAnsi="Times New Roman" w:cs="仿宋_GB2312"/>
          <w:kern w:val="0"/>
          <w:sz w:val="20"/>
          <w:szCs w:val="32"/>
        </w:rPr>
      </w:pPr>
      <w:r>
        <w:rPr>
          <w:rFonts w:hint="eastAsia" w:ascii="Times New Roman" w:hAnsi="Times New Roman" w:cs="仿宋_GB2312"/>
          <w:b/>
          <w:bCs/>
          <w:kern w:val="0"/>
          <w:szCs w:val="32"/>
        </w:rPr>
        <w:t>持续激发人才动力活力。</w:t>
      </w:r>
      <w:r>
        <w:rPr>
          <w:rFonts w:hint="eastAsia" w:ascii="仿宋_GB2312" w:hAnsi="Times New Roman" w:cs="仿宋_GB2312"/>
          <w:kern w:val="0"/>
          <w:szCs w:val="32"/>
        </w:rPr>
        <w:t>深入实施“海河英才”行动计划升级版，制定以企业需求为主导的定制化政策，引进高端人才。依托</w:t>
      </w:r>
      <w:r>
        <w:rPr>
          <w:rFonts w:ascii="仿宋_GB2312" w:hAnsi="Times New Roman" w:cs="仿宋_GB2312"/>
          <w:kern w:val="0"/>
          <w:szCs w:val="32"/>
        </w:rPr>
        <w:t>天津市航空航天人才创新创业联盟</w:t>
      </w:r>
      <w:r>
        <w:rPr>
          <w:rFonts w:hint="eastAsia" w:ascii="仿宋_GB2312" w:hAnsi="Times New Roman" w:cs="仿宋_GB2312"/>
          <w:kern w:val="0"/>
          <w:szCs w:val="32"/>
        </w:rPr>
        <w:t>、</w:t>
      </w:r>
      <w:r>
        <w:rPr>
          <w:rFonts w:ascii="仿宋_GB2312" w:hAnsi="Times New Roman" w:cs="仿宋_GB2312"/>
          <w:kern w:val="0"/>
          <w:szCs w:val="32"/>
        </w:rPr>
        <w:t>天津市精细化工和生物医药人才创新创业联盟</w:t>
      </w:r>
      <w:r>
        <w:rPr>
          <w:rFonts w:hint="eastAsia" w:ascii="仿宋_GB2312" w:hAnsi="Times New Roman" w:cs="仿宋_GB2312"/>
          <w:kern w:val="0"/>
          <w:szCs w:val="32"/>
        </w:rPr>
        <w:t>等，积极落实产业基础人才振兴计划，培养“海河工匠”高技能人才。探索“项目+人才+团队”培育模式，实现“带土移植”，进一步完善人才评价、激励和流动机制，着力构筑梯次引育、开放创新的人才生态。进一步集聚各类创新创业资源要素、优化创业创新环境，加速企业技术、产品、管理模式创新。不断弘扬企业家精神，培育一批具有国际视野的企业家队伍，形成目标驱动的战略观念和创新驱动的经营理念，激发市场主体活力。进一步健全完善创业创新激励机制，探索建立企业技术创新的风险分担和化解机制，营造良好创新环境。</w:t>
      </w:r>
    </w:p>
    <w:p>
      <w:pPr>
        <w:snapToGrid w:val="0"/>
        <w:ind w:firstLine="642" w:firstLineChars="200"/>
        <w:textAlignment w:val="baseline"/>
        <w:rPr>
          <w:rFonts w:ascii="Times New Roman" w:hAnsi="Times New Roman" w:cs="Times New Roman"/>
          <w:b/>
          <w:bCs/>
          <w:kern w:val="0"/>
          <w:sz w:val="20"/>
          <w:szCs w:val="32"/>
        </w:rPr>
      </w:pPr>
      <w:bookmarkStart w:id="120" w:name="_Toc61343624"/>
      <w:r>
        <w:rPr>
          <w:rFonts w:hint="eastAsia" w:ascii="Times New Roman" w:hAnsi="Times New Roman" w:cs="Times New Roman"/>
          <w:b/>
          <w:bCs/>
          <w:kern w:val="0"/>
          <w:szCs w:val="32"/>
        </w:rPr>
        <w:t>（四）大力推广绿色生产方式，</w:t>
      </w:r>
      <w:bookmarkStart w:id="121" w:name="_Hlk54945564"/>
      <w:r>
        <w:rPr>
          <w:rFonts w:hint="eastAsia" w:ascii="Times New Roman" w:hAnsi="Times New Roman" w:cs="Times New Roman"/>
          <w:b/>
          <w:bCs/>
          <w:kern w:val="0"/>
          <w:szCs w:val="32"/>
        </w:rPr>
        <w:t>增强制造业竞争新优势</w:t>
      </w:r>
      <w:bookmarkEnd w:id="120"/>
      <w:bookmarkEnd w:id="121"/>
    </w:p>
    <w:p>
      <w:pPr>
        <w:ind w:firstLine="642" w:firstLineChars="200"/>
        <w:textAlignment w:val="baseline"/>
        <w:rPr>
          <w:rFonts w:cs="Times New Roman"/>
          <w:bCs/>
          <w:sz w:val="20"/>
          <w:szCs w:val="28"/>
        </w:rPr>
      </w:pPr>
      <w:r>
        <w:rPr>
          <w:rFonts w:hint="eastAsia" w:cs="Times New Roman"/>
          <w:b/>
          <w:szCs w:val="28"/>
        </w:rPr>
        <w:t>加快构建绿色制造体系。</w:t>
      </w:r>
      <w:r>
        <w:rPr>
          <w:rFonts w:cs="Times New Roman"/>
          <w:bCs/>
          <w:szCs w:val="28"/>
        </w:rPr>
        <w:t>积极落实碳达峰、碳中和重大战略决策</w:t>
      </w:r>
      <w:r>
        <w:rPr>
          <w:rFonts w:hint="eastAsia" w:cs="Times New Roman"/>
          <w:bCs/>
          <w:szCs w:val="28"/>
        </w:rPr>
        <w:t>和部署要求</w:t>
      </w:r>
      <w:r>
        <w:rPr>
          <w:rFonts w:cs="Times New Roman"/>
          <w:bCs/>
          <w:szCs w:val="28"/>
        </w:rPr>
        <w:t>，</w:t>
      </w:r>
      <w:r>
        <w:rPr>
          <w:rFonts w:hint="eastAsia" w:cs="Times New Roman"/>
          <w:bCs/>
          <w:szCs w:val="28"/>
        </w:rPr>
        <w:t>聚焦高端装备制造、新材料、生物医药、新一代汽车技术领域，强化产品</w:t>
      </w:r>
      <w:bookmarkStart w:id="122" w:name="_Hlk62290218"/>
      <w:r>
        <w:rPr>
          <w:rFonts w:hint="eastAsia" w:cs="Times New Roman"/>
          <w:bCs/>
          <w:szCs w:val="28"/>
        </w:rPr>
        <w:t>全生命周期绿色管理</w:t>
      </w:r>
      <w:bookmarkEnd w:id="122"/>
      <w:bookmarkStart w:id="123" w:name="_Hlk62290300"/>
      <w:r>
        <w:rPr>
          <w:rFonts w:hint="eastAsia" w:cs="Times New Roman"/>
          <w:bCs/>
          <w:szCs w:val="28"/>
        </w:rPr>
        <w:t>。</w:t>
      </w:r>
      <w:r>
        <w:rPr>
          <w:rFonts w:cs="Times New Roman"/>
          <w:bCs/>
          <w:szCs w:val="28"/>
        </w:rPr>
        <w:t>高质量推进绿色制造示范单位</w:t>
      </w:r>
      <w:r>
        <w:rPr>
          <w:rFonts w:hint="eastAsia" w:cs="Times New Roman"/>
          <w:bCs/>
          <w:szCs w:val="28"/>
        </w:rPr>
        <w:t>建设，</w:t>
      </w:r>
      <w:bookmarkEnd w:id="123"/>
      <w:bookmarkStart w:id="124" w:name="_Hlk62290366"/>
      <w:r>
        <w:rPr>
          <w:rFonts w:hint="eastAsia" w:cs="Times New Roman"/>
          <w:bCs/>
          <w:szCs w:val="28"/>
        </w:rPr>
        <w:t>培育打造一批绿色工厂、</w:t>
      </w:r>
      <w:r>
        <w:rPr>
          <w:rFonts w:cs="Times New Roman"/>
          <w:bCs/>
          <w:szCs w:val="28"/>
        </w:rPr>
        <w:t>绿色园区</w:t>
      </w:r>
      <w:r>
        <w:rPr>
          <w:rFonts w:hint="eastAsia" w:cs="Times New Roman"/>
          <w:bCs/>
          <w:szCs w:val="28"/>
        </w:rPr>
        <w:t>、</w:t>
      </w:r>
      <w:r>
        <w:rPr>
          <w:rFonts w:cs="Times New Roman"/>
          <w:bCs/>
          <w:szCs w:val="28"/>
        </w:rPr>
        <w:t>绿色供应链</w:t>
      </w:r>
      <w:bookmarkEnd w:id="124"/>
      <w:r>
        <w:rPr>
          <w:rFonts w:hint="eastAsia" w:cs="Times New Roman"/>
          <w:bCs/>
          <w:szCs w:val="28"/>
        </w:rPr>
        <w:t>、</w:t>
      </w:r>
      <w:r>
        <w:rPr>
          <w:rFonts w:cs="Times New Roman"/>
          <w:bCs/>
          <w:szCs w:val="28"/>
        </w:rPr>
        <w:t>绿色数据中心</w:t>
      </w:r>
      <w:r>
        <w:rPr>
          <w:rFonts w:hint="eastAsia" w:cs="Times New Roman"/>
          <w:bCs/>
          <w:szCs w:val="28"/>
        </w:rPr>
        <w:t>。</w:t>
      </w:r>
      <w:r>
        <w:rPr>
          <w:rFonts w:hint="eastAsia" w:ascii="Times New Roman" w:hAnsi="Times New Roman" w:cs="仿宋_GB2312"/>
          <w:kern w:val="0"/>
          <w:szCs w:val="32"/>
        </w:rPr>
        <w:t>引导企业树立绿色制造理念，</w:t>
      </w:r>
      <w:bookmarkStart w:id="125" w:name="_Hlk62290269"/>
      <w:r>
        <w:rPr>
          <w:rFonts w:hint="eastAsia" w:ascii="Times New Roman" w:hAnsi="Times New Roman" w:cs="仿宋_GB2312"/>
          <w:kern w:val="0"/>
          <w:szCs w:val="32"/>
        </w:rPr>
        <w:t>推广绿色设计和绿色产品</w:t>
      </w:r>
      <w:r>
        <w:rPr>
          <w:rFonts w:hint="eastAsia" w:ascii="仿宋_GB2312" w:hAnsi="Times New Roman" w:cs="仿宋_GB2312"/>
          <w:kern w:val="0"/>
          <w:szCs w:val="32"/>
        </w:rPr>
        <w:t>开发，加快构建绿色制造体系。</w:t>
      </w:r>
      <w:bookmarkEnd w:id="125"/>
      <w:bookmarkStart w:id="126" w:name="_Hlk62290748"/>
      <w:r>
        <w:rPr>
          <w:rFonts w:hint="eastAsia" w:ascii="仿宋_GB2312" w:hAnsi="Times New Roman" w:cs="仿宋_GB2312"/>
          <w:kern w:val="0"/>
          <w:szCs w:val="32"/>
        </w:rPr>
        <w:t>强化绿色监管和服务，建立实施“有进有出”的绿色制造示范单位动态管理机制。</w:t>
      </w:r>
      <w:bookmarkEnd w:id="126"/>
      <w:r>
        <w:rPr>
          <w:rFonts w:hint="eastAsia" w:cs="Times New Roman"/>
          <w:bCs/>
          <w:szCs w:val="28"/>
        </w:rPr>
        <w:t>依托东丽经开区、华明高新区等产业园区推进资源综合利用改造，</w:t>
      </w:r>
      <w:r>
        <w:rPr>
          <w:rFonts w:cs="Times New Roman"/>
          <w:bCs/>
          <w:szCs w:val="28"/>
        </w:rPr>
        <w:t>发展主导产业链型生态产业园区</w:t>
      </w:r>
      <w:r>
        <w:rPr>
          <w:rFonts w:hint="eastAsia" w:cs="Times New Roman"/>
          <w:bCs/>
          <w:szCs w:val="28"/>
        </w:rPr>
        <w:t>，提高大宗工业固体废弃物、废旧金属等综合利用水平。推动特种材料、无损检测等再制造关键共性技术创新与产业化应用，积极探索废旧汽车、大型装备、建筑材料等资源综合利用，鼓励龙头企业</w:t>
      </w:r>
      <w:r>
        <w:rPr>
          <w:rFonts w:cs="Times New Roman"/>
          <w:bCs/>
          <w:szCs w:val="28"/>
        </w:rPr>
        <w:t>参与制定再生资源综合利用相关行业规范和标准</w:t>
      </w:r>
      <w:r>
        <w:rPr>
          <w:rFonts w:hint="eastAsia" w:cs="Times New Roman"/>
          <w:bCs/>
          <w:szCs w:val="28"/>
        </w:rPr>
        <w:t>工作，不断提升龙头企业在</w:t>
      </w:r>
      <w:r>
        <w:rPr>
          <w:rFonts w:cs="Times New Roman"/>
          <w:bCs/>
          <w:szCs w:val="28"/>
        </w:rPr>
        <w:t>行业标准的话语权和市场地位</w:t>
      </w:r>
      <w:r>
        <w:rPr>
          <w:rFonts w:hint="eastAsia" w:cs="Times New Roman"/>
          <w:bCs/>
          <w:szCs w:val="28"/>
        </w:rPr>
        <w:t>。</w:t>
      </w:r>
    </w:p>
    <w:p>
      <w:pPr>
        <w:pStyle w:val="2"/>
        <w:ind w:firstLine="642" w:firstLineChars="200"/>
        <w:jc w:val="both"/>
        <w:textAlignment w:val="baseline"/>
        <w:rPr>
          <w:lang w:val="en-US" w:bidi="ar-SA"/>
        </w:rPr>
      </w:pPr>
      <w:r>
        <w:rPr>
          <w:rFonts w:hint="eastAsia" w:eastAsia="仿宋_GB2312" w:cs="Times New Roman"/>
          <w:b/>
          <w:kern w:val="2"/>
          <w:szCs w:val="28"/>
          <w:lang w:val="en-US" w:bidi="ar-SA"/>
        </w:rPr>
        <w:t>持续提升工业节能水平。</w:t>
      </w:r>
      <w:r>
        <w:rPr>
          <w:rFonts w:hint="eastAsia" w:eastAsia="仿宋_GB2312" w:cs="Times New Roman"/>
          <w:bCs/>
          <w:kern w:val="2"/>
          <w:szCs w:val="28"/>
          <w:lang w:val="en-US" w:bidi="ar-SA"/>
        </w:rPr>
        <w:t>坚持目标导向、问题导向，</w:t>
      </w:r>
      <w:r>
        <w:rPr>
          <w:rFonts w:eastAsia="仿宋_GB2312" w:cs="Times New Roman"/>
          <w:bCs/>
          <w:kern w:val="2"/>
          <w:szCs w:val="28"/>
          <w:lang w:val="en-US" w:bidi="ar-SA"/>
        </w:rPr>
        <w:t>依法依规淘汰落后产能，加快发展能耗低、污染少的先进制造业和战略性新兴产业</w:t>
      </w:r>
      <w:r>
        <w:rPr>
          <w:rFonts w:hint="eastAsia" w:eastAsia="仿宋_GB2312" w:cs="Times New Roman"/>
          <w:bCs/>
          <w:kern w:val="2"/>
          <w:szCs w:val="28"/>
          <w:lang w:val="en-US" w:bidi="ar-SA"/>
        </w:rPr>
        <w:t>。积极推进重点企业节能节水专项行动，</w:t>
      </w:r>
      <w:bookmarkStart w:id="127" w:name="_Hlk62292235"/>
      <w:r>
        <w:rPr>
          <w:rFonts w:hint="eastAsia" w:eastAsia="仿宋_GB2312" w:cs="Times New Roman"/>
          <w:bCs/>
          <w:kern w:val="2"/>
          <w:szCs w:val="28"/>
          <w:lang w:val="en-US" w:bidi="ar-SA"/>
        </w:rPr>
        <w:t>大力实施工业节能诊断服务行动计划，开展重点用能行业能效水平对标达标活动</w:t>
      </w:r>
      <w:bookmarkEnd w:id="127"/>
      <w:r>
        <w:rPr>
          <w:rFonts w:hint="eastAsia" w:eastAsia="仿宋_GB2312" w:cs="Times New Roman"/>
          <w:bCs/>
          <w:kern w:val="2"/>
          <w:szCs w:val="28"/>
          <w:lang w:val="en-US" w:bidi="ar-SA"/>
        </w:rPr>
        <w:t>。开展投资项目节能审查和验收，严把低水平、高耗能项目准入关，强化事前事中事后监管。实施节能目标责任制，推进能耗在线监测系统建设，加大节能新技术、新产品、新成果推广应用，加强节能日常监察和专项检查，不断提升重点企业的能源精细化管理水平。深入开展节水型企业创建，引导企业加强节水管理和技术进步，在重点行业培育创建一批节水管理制度完善、用水效率高的节水型示范企业。</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加强绿色标准评价与服务能力。</w:t>
      </w:r>
      <w:r>
        <w:rPr>
          <w:rFonts w:hint="eastAsia" w:ascii="Times New Roman" w:hAnsi="Times New Roman" w:cs="仿宋_GB2312"/>
          <w:kern w:val="0"/>
          <w:szCs w:val="32"/>
        </w:rPr>
        <w:t>鼓励引导高等院校、科研院所、专业行业协会等第三方服务机构，</w:t>
      </w:r>
      <w:r>
        <w:rPr>
          <w:rFonts w:ascii="Times New Roman" w:hAnsi="Times New Roman" w:cs="仿宋_GB2312"/>
          <w:kern w:val="0"/>
          <w:szCs w:val="32"/>
        </w:rPr>
        <w:t>为企业提供绿色制造体系评价服务</w:t>
      </w:r>
      <w:r>
        <w:rPr>
          <w:rFonts w:hint="eastAsia" w:ascii="Times New Roman" w:hAnsi="Times New Roman" w:cs="仿宋_GB2312"/>
          <w:kern w:val="0"/>
          <w:szCs w:val="32"/>
        </w:rPr>
        <w:t>。</w:t>
      </w:r>
      <w:bookmarkStart w:id="128" w:name="_Hlk62294149"/>
      <w:r>
        <w:rPr>
          <w:rFonts w:ascii="Times New Roman" w:hAnsi="Times New Roman" w:cs="仿宋_GB2312"/>
          <w:kern w:val="0"/>
          <w:szCs w:val="32"/>
        </w:rPr>
        <w:t>持续深化以政府购买服务方式确定专业机构为企业开展咨询评价等一揽子服务，有效降低中小企业创建绿色工厂、绿色供应链示范企业的成本</w:t>
      </w:r>
      <w:r>
        <w:rPr>
          <w:rFonts w:hint="eastAsia" w:ascii="Times New Roman" w:hAnsi="Times New Roman" w:cs="仿宋_GB2312"/>
          <w:kern w:val="0"/>
          <w:szCs w:val="32"/>
        </w:rPr>
        <w:t>。</w:t>
      </w:r>
      <w:bookmarkEnd w:id="128"/>
      <w:r>
        <w:rPr>
          <w:rFonts w:ascii="Times New Roman" w:hAnsi="Times New Roman" w:cs="仿宋_GB2312"/>
          <w:kern w:val="0"/>
          <w:szCs w:val="32"/>
        </w:rPr>
        <w:t>实施绿色伙伴式供应商管理，将符合条件的绿色工厂及绿色产品生产企业优先纳入合格供应商。充分发挥绿色制造公共服务平台在资源节约、环境保护检测等领域功能作用，积极引入第三方服务机构开展绿色制造咨询、培训等服务，为中小企业提供绿色制造整体解决方案。</w:t>
      </w:r>
    </w:p>
    <w:p>
      <w:pPr>
        <w:snapToGrid w:val="0"/>
        <w:ind w:firstLine="642" w:firstLineChars="200"/>
        <w:textAlignment w:val="baseline"/>
        <w:rPr>
          <w:rFonts w:ascii="仿宋_GB2312" w:hAnsi="Times New Roman" w:cs="Times New Roman"/>
          <w:b/>
          <w:bCs/>
          <w:kern w:val="0"/>
          <w:sz w:val="20"/>
          <w:szCs w:val="32"/>
        </w:rPr>
      </w:pPr>
      <w:bookmarkStart w:id="129" w:name="_Toc61343625"/>
      <w:r>
        <w:rPr>
          <w:rFonts w:hint="eastAsia" w:ascii="Times New Roman" w:hAnsi="Times New Roman" w:cs="Times New Roman"/>
          <w:b/>
          <w:bCs/>
          <w:kern w:val="0"/>
          <w:szCs w:val="32"/>
        </w:rPr>
        <w:t>（五）实施质量品牌提升计划，持续提</w:t>
      </w:r>
      <w:r>
        <w:rPr>
          <w:rFonts w:hint="eastAsia" w:ascii="仿宋_GB2312" w:hAnsi="Times New Roman" w:cs="Times New Roman"/>
          <w:b/>
          <w:bCs/>
          <w:kern w:val="0"/>
          <w:szCs w:val="32"/>
        </w:rPr>
        <w:t>升工业“软实力”</w:t>
      </w:r>
      <w:bookmarkEnd w:id="129"/>
    </w:p>
    <w:p>
      <w:pPr>
        <w:tabs>
          <w:tab w:val="left" w:pos="6357"/>
        </w:tabs>
        <w:ind w:firstLine="642" w:firstLineChars="200"/>
        <w:textAlignment w:val="baseline"/>
        <w:rPr>
          <w:rFonts w:ascii="Times New Roman" w:hAnsi="Times New Roman" w:cs="仿宋_GB2312"/>
          <w:kern w:val="0"/>
          <w:sz w:val="20"/>
          <w:szCs w:val="32"/>
        </w:rPr>
      </w:pPr>
      <w:bookmarkStart w:id="130" w:name="_Hlk65078934"/>
      <w:r>
        <w:rPr>
          <w:rFonts w:hint="eastAsia" w:ascii="Times New Roman" w:hAnsi="Times New Roman" w:cs="仿宋_GB2312"/>
          <w:b/>
          <w:bCs/>
          <w:kern w:val="0"/>
          <w:szCs w:val="32"/>
        </w:rPr>
        <w:t>深入实施品牌培育提升行动</w:t>
      </w:r>
      <w:bookmarkEnd w:id="130"/>
      <w:r>
        <w:rPr>
          <w:rFonts w:hint="eastAsia" w:ascii="Times New Roman" w:hAnsi="Times New Roman" w:cs="仿宋_GB2312"/>
          <w:b/>
          <w:bCs/>
          <w:kern w:val="0"/>
          <w:szCs w:val="32"/>
        </w:rPr>
        <w:t>。</w:t>
      </w:r>
      <w:bookmarkStart w:id="131" w:name="_Hlk62207154"/>
      <w:r>
        <w:rPr>
          <w:rFonts w:hint="eastAsia" w:ascii="Times New Roman" w:hAnsi="Times New Roman" w:cs="仿宋_GB2312"/>
          <w:kern w:val="0"/>
          <w:szCs w:val="32"/>
        </w:rPr>
        <w:t>加快构建品牌建设梯度提升体系，</w:t>
      </w:r>
      <w:bookmarkEnd w:id="131"/>
      <w:r>
        <w:rPr>
          <w:rFonts w:hint="eastAsia" w:ascii="Times New Roman" w:hAnsi="Times New Roman" w:cs="仿宋_GB2312"/>
          <w:kern w:val="0"/>
          <w:szCs w:val="32"/>
        </w:rPr>
        <w:t>培育一批</w:t>
      </w:r>
      <w:r>
        <w:rPr>
          <w:rFonts w:ascii="Times New Roman" w:hAnsi="Times New Roman" w:cs="仿宋_GB2312"/>
          <w:kern w:val="0"/>
          <w:szCs w:val="32"/>
        </w:rPr>
        <w:t>工业强基工程重点产品</w:t>
      </w:r>
      <w:r>
        <w:rPr>
          <w:rFonts w:hint="eastAsia" w:ascii="Times New Roman" w:hAnsi="Times New Roman" w:cs="仿宋_GB2312"/>
          <w:kern w:val="0"/>
          <w:szCs w:val="32"/>
        </w:rPr>
        <w:t>、工艺“一条龙”应用计划</w:t>
      </w:r>
      <w:r>
        <w:rPr>
          <w:rFonts w:ascii="Times New Roman" w:hAnsi="Times New Roman" w:cs="仿宋_GB2312"/>
          <w:kern w:val="0"/>
          <w:szCs w:val="32"/>
        </w:rPr>
        <w:t>示范企业和示范项目</w:t>
      </w:r>
      <w:r>
        <w:rPr>
          <w:rFonts w:hint="eastAsia" w:ascii="Times New Roman" w:hAnsi="Times New Roman" w:cs="仿宋_GB2312"/>
          <w:kern w:val="0"/>
          <w:szCs w:val="32"/>
        </w:rPr>
        <w:t>，推动具有品牌优势中小企业逐步向大中型企业迈进，打造“东丽精品制造”新名片。鼓励企业围绕研发创新、设计创意、知识产权等方面制定品牌发展计划，持续提升企业品牌竞争力。大力培育产业集群区域品牌，依托东丽经开区、华明高新区等载体，打造一批特色鲜明、竞争力强、市场信誉好的</w:t>
      </w:r>
      <w:r>
        <w:rPr>
          <w:rFonts w:ascii="Times New Roman" w:hAnsi="Times New Roman" w:cs="仿宋_GB2312"/>
          <w:kern w:val="0"/>
          <w:szCs w:val="32"/>
        </w:rPr>
        <w:t>新字号品牌</w:t>
      </w:r>
      <w:r>
        <w:rPr>
          <w:rFonts w:hint="eastAsia" w:ascii="Times New Roman" w:hAnsi="Times New Roman" w:cs="仿宋_GB2312"/>
          <w:kern w:val="0"/>
          <w:szCs w:val="32"/>
        </w:rPr>
        <w:t>。</w:t>
      </w:r>
    </w:p>
    <w:p>
      <w:pPr>
        <w:pStyle w:val="2"/>
        <w:ind w:firstLine="642" w:firstLineChars="200"/>
        <w:jc w:val="both"/>
        <w:textAlignment w:val="baseline"/>
        <w:rPr>
          <w:rFonts w:ascii="Times New Roman" w:hAnsi="Times New Roman" w:eastAsia="仿宋_GB2312" w:cs="仿宋_GB2312"/>
          <w:lang w:val="en-US" w:bidi="ar-SA"/>
        </w:rPr>
      </w:pPr>
      <w:r>
        <w:rPr>
          <w:rFonts w:hint="eastAsia" w:ascii="Times New Roman" w:hAnsi="Times New Roman" w:eastAsia="仿宋_GB2312" w:cs="仿宋_GB2312"/>
          <w:b/>
          <w:bCs/>
          <w:lang w:val="en-US" w:bidi="ar-SA"/>
        </w:rPr>
        <w:t>切实提高制造业产品质量水平。</w:t>
      </w:r>
      <w:r>
        <w:rPr>
          <w:rFonts w:hint="eastAsia" w:ascii="Times New Roman" w:hAnsi="Times New Roman" w:eastAsia="仿宋_GB2312" w:cs="仿宋_GB2312"/>
          <w:lang w:val="en-US" w:bidi="ar-SA"/>
        </w:rPr>
        <w:t>引导企业强化质量意识，加大对数控装备、智能改造、机器人等领域企业技术改造支持力度，加快智能制造推广应用，开展数字化车间、智能工厂的集成创新与应用示范。推动企业完善和提升质量管理体系，加强全过程、全方位、全生命周期的质量管理，不断提升工业产品和服务质量。推动企业优化运行流程，建立以技术标准为主体的企业标准体系，对生产、经营和服务等环节实行标准化管理，全面提升企业质量管控、质量保证能力和水平。</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提升行业标准制定和参与能力。</w:t>
      </w:r>
      <w:r>
        <w:rPr>
          <w:rFonts w:hint="eastAsia" w:ascii="Times New Roman" w:hAnsi="Times New Roman" w:cs="仿宋_GB2312"/>
          <w:kern w:val="0"/>
          <w:szCs w:val="32"/>
        </w:rPr>
        <w:t>聚焦新一代汽车技术、智能制造、新材料等领域，发挥标准对行业质量提升的支撑引领作用，支持引导中汽研、金桥焊材、富士达等龙头企业、科研院所参与或主导国家标准、行业标准的制修订工作，不断扩大产业技术标准话语权。</w:t>
      </w:r>
      <w:r>
        <w:rPr>
          <w:rFonts w:ascii="Times New Roman" w:hAnsi="Times New Roman" w:cs="仿宋_GB2312"/>
          <w:kern w:val="0"/>
          <w:szCs w:val="32"/>
        </w:rPr>
        <w:t>鼓励企业制定满足高层次市场需求的先进标准</w:t>
      </w:r>
      <w:r>
        <w:rPr>
          <w:rFonts w:hint="eastAsia" w:ascii="Times New Roman" w:hAnsi="Times New Roman" w:cs="仿宋_GB2312"/>
          <w:kern w:val="0"/>
          <w:szCs w:val="32"/>
        </w:rPr>
        <w:t>，支持行业和企业积极参与国际先进标准制定，鼓励引导中小企业采用国际或国外先进标准组织生产，推动中小企业无标建标、有标贯标、低标升标，引导专业机构提供质量控制与技术评价等专业服务，不断提升工业基础产品的可靠性和稳定性，</w:t>
      </w:r>
      <w:r>
        <w:rPr>
          <w:rFonts w:ascii="Times New Roman" w:hAnsi="Times New Roman" w:cs="仿宋_GB2312"/>
          <w:kern w:val="0"/>
          <w:szCs w:val="32"/>
        </w:rPr>
        <w:t>以先进标准引领</w:t>
      </w:r>
      <w:r>
        <w:rPr>
          <w:rFonts w:hint="eastAsia" w:ascii="Times New Roman" w:hAnsi="Times New Roman" w:cs="仿宋_GB2312"/>
          <w:kern w:val="0"/>
          <w:szCs w:val="32"/>
        </w:rPr>
        <w:t>工业</w:t>
      </w:r>
      <w:r>
        <w:rPr>
          <w:rFonts w:ascii="Times New Roman" w:hAnsi="Times New Roman" w:cs="仿宋_GB2312"/>
          <w:kern w:val="0"/>
          <w:szCs w:val="32"/>
        </w:rPr>
        <w:t>高质量发展</w:t>
      </w:r>
      <w:r>
        <w:rPr>
          <w:rFonts w:hint="eastAsia" w:ascii="Times New Roman" w:hAnsi="Times New Roman" w:cs="仿宋_GB2312"/>
          <w:kern w:val="0"/>
          <w:szCs w:val="32"/>
        </w:rPr>
        <w:t>。</w:t>
      </w:r>
    </w:p>
    <w:p>
      <w:pPr>
        <w:snapToGrid w:val="0"/>
        <w:ind w:firstLine="642" w:firstLineChars="200"/>
        <w:textAlignment w:val="baseline"/>
        <w:rPr>
          <w:rFonts w:ascii="Times New Roman" w:hAnsi="Times New Roman" w:cs="Times New Roman"/>
          <w:b/>
          <w:bCs/>
          <w:kern w:val="0"/>
          <w:sz w:val="20"/>
          <w:szCs w:val="32"/>
        </w:rPr>
      </w:pPr>
      <w:bookmarkStart w:id="132" w:name="_Toc61343626"/>
      <w:r>
        <w:rPr>
          <w:rFonts w:hint="eastAsia" w:ascii="Times New Roman" w:hAnsi="Times New Roman" w:cs="Times New Roman"/>
          <w:b/>
          <w:bCs/>
          <w:kern w:val="0"/>
          <w:szCs w:val="32"/>
        </w:rPr>
        <w:t>（六）强化新型基础设施建设，助力应用场景加速落地</w:t>
      </w:r>
      <w:bookmarkEnd w:id="132"/>
    </w:p>
    <w:p>
      <w:pPr>
        <w:ind w:firstLine="642" w:firstLineChars="200"/>
        <w:textAlignment w:val="baseline"/>
        <w:rPr>
          <w:rFonts w:ascii="Times New Roman" w:hAnsi="Times New Roman" w:cs="仿宋_GB2312"/>
          <w:kern w:val="0"/>
          <w:sz w:val="20"/>
          <w:szCs w:val="32"/>
        </w:rPr>
      </w:pPr>
      <w:r>
        <w:rPr>
          <w:rFonts w:hint="eastAsia" w:ascii="Times New Roman" w:hAnsi="Times New Roman"/>
          <w:b/>
          <w:bCs/>
        </w:rPr>
        <w:t>加快新型基础设施建设。</w:t>
      </w:r>
      <w:r>
        <w:rPr>
          <w:rFonts w:hint="eastAsia" w:ascii="Times New Roman" w:hAnsi="Times New Roman"/>
        </w:rPr>
        <w:t>抢抓新基建机遇，</w:t>
      </w:r>
      <w:r>
        <w:rPr>
          <w:rFonts w:hint="eastAsia" w:ascii="Times New Roman" w:hAnsi="Times New Roman" w:cs="仿宋_GB2312"/>
          <w:kern w:val="0"/>
          <w:szCs w:val="32"/>
        </w:rPr>
        <w:t>加快实施</w:t>
      </w:r>
      <w:r>
        <w:rPr>
          <w:rFonts w:ascii="Times New Roman" w:hAnsi="Times New Roman" w:cs="仿宋_GB2312"/>
          <w:kern w:val="0"/>
          <w:szCs w:val="32"/>
        </w:rPr>
        <w:t>固定宽带和移动宽带双千兆工程</w:t>
      </w:r>
      <w:r>
        <w:rPr>
          <w:rFonts w:hint="eastAsia" w:ascii="Times New Roman" w:hAnsi="Times New Roman" w:cs="仿宋_GB2312"/>
          <w:kern w:val="0"/>
          <w:szCs w:val="32"/>
        </w:rPr>
        <w:t>，</w:t>
      </w:r>
      <w:r>
        <w:rPr>
          <w:rFonts w:ascii="Times New Roman" w:hAnsi="Times New Roman" w:cs="仿宋_GB2312"/>
          <w:kern w:val="0"/>
          <w:szCs w:val="32"/>
        </w:rPr>
        <w:t>着力推进公共设施</w:t>
      </w:r>
      <w:r>
        <w:rPr>
          <w:rFonts w:hint="eastAsia" w:ascii="Times New Roman" w:hAnsi="Times New Roman" w:cs="仿宋_GB2312"/>
          <w:kern w:val="0"/>
          <w:szCs w:val="32"/>
        </w:rPr>
        <w:t>、城市</w:t>
      </w:r>
      <w:r>
        <w:rPr>
          <w:rFonts w:ascii="Times New Roman" w:hAnsi="Times New Roman" w:cs="仿宋_GB2312"/>
          <w:kern w:val="0"/>
          <w:szCs w:val="32"/>
        </w:rPr>
        <w:t>道路等公共场所向5G基站及配套设施建设</w:t>
      </w:r>
      <w:r>
        <w:rPr>
          <w:rFonts w:hint="eastAsia" w:ascii="Times New Roman" w:hAnsi="Times New Roman" w:cs="仿宋_GB2312"/>
          <w:kern w:val="0"/>
          <w:szCs w:val="32"/>
        </w:rPr>
        <w:t>的布局力度，积极推动</w:t>
      </w:r>
      <w:r>
        <w:rPr>
          <w:rFonts w:ascii="Times New Roman" w:hAnsi="Times New Roman" w:cs="仿宋_GB2312"/>
          <w:kern w:val="0"/>
          <w:szCs w:val="32"/>
        </w:rPr>
        <w:t>各类杆塔资源与通信杆塔资源双向共享和相互开放</w:t>
      </w:r>
      <w:r>
        <w:rPr>
          <w:rFonts w:hint="eastAsia" w:ascii="Times New Roman" w:hAnsi="Times New Roman" w:cs="仿宋_GB2312"/>
          <w:kern w:val="0"/>
          <w:szCs w:val="32"/>
        </w:rPr>
        <w:t>，有</w:t>
      </w:r>
      <w:r>
        <w:rPr>
          <w:rFonts w:hint="eastAsia" w:ascii="仿宋_GB2312" w:hAnsi="Times New Roman" w:cs="仿宋_GB2312"/>
          <w:kern w:val="0"/>
          <w:szCs w:val="32"/>
        </w:rPr>
        <w:t>力提升新型基础设施建设水平。坚持数字基础设施“建”“用”</w:t>
      </w:r>
      <w:r>
        <w:rPr>
          <w:rFonts w:hint="eastAsia" w:ascii="Times New Roman" w:hAnsi="Times New Roman" w:cs="仿宋_GB2312"/>
          <w:kern w:val="0"/>
          <w:szCs w:val="32"/>
        </w:rPr>
        <w:t>并重，着力培育一批系统解决方案供应商和运营服务企业，不断丰富“数字基建”的产业化应用场景，持续提升数字基建服务能力。到2</w:t>
      </w:r>
      <w:r>
        <w:rPr>
          <w:rFonts w:ascii="Times New Roman" w:hAnsi="Times New Roman" w:cs="仿宋_GB2312"/>
          <w:kern w:val="0"/>
          <w:szCs w:val="32"/>
        </w:rPr>
        <w:t>025年，</w:t>
      </w:r>
      <w:r>
        <w:rPr>
          <w:rFonts w:hint="eastAsia" w:ascii="Times New Roman" w:hAnsi="Times New Roman" w:cs="仿宋_GB2312"/>
          <w:kern w:val="0"/>
          <w:szCs w:val="32"/>
        </w:rPr>
        <w:t>建设完成</w:t>
      </w:r>
      <w:r>
        <w:rPr>
          <w:rFonts w:ascii="Times New Roman" w:hAnsi="Times New Roman" w:cs="仿宋_GB2312"/>
          <w:kern w:val="0"/>
          <w:szCs w:val="32"/>
        </w:rPr>
        <w:t>4000个</w:t>
      </w:r>
      <w:r>
        <w:rPr>
          <w:rFonts w:hint="eastAsia" w:ascii="Times New Roman" w:hAnsi="Times New Roman" w:cs="仿宋_GB2312"/>
          <w:kern w:val="0"/>
          <w:szCs w:val="32"/>
        </w:rPr>
        <w:t>5</w:t>
      </w:r>
      <w:r>
        <w:rPr>
          <w:rFonts w:ascii="Times New Roman" w:hAnsi="Times New Roman" w:cs="仿宋_GB2312"/>
          <w:kern w:val="0"/>
          <w:szCs w:val="32"/>
        </w:rPr>
        <w:t>G基站，实现</w:t>
      </w:r>
      <w:r>
        <w:rPr>
          <w:rFonts w:hint="eastAsia" w:ascii="Times New Roman" w:hAnsi="Times New Roman" w:cs="仿宋_GB2312"/>
          <w:kern w:val="0"/>
          <w:szCs w:val="32"/>
        </w:rPr>
        <w:t>密集人口区域、重点功能区等重点区域的</w:t>
      </w:r>
      <w:r>
        <w:rPr>
          <w:rFonts w:ascii="Times New Roman" w:hAnsi="Times New Roman" w:cs="仿宋_GB2312"/>
          <w:kern w:val="0"/>
          <w:szCs w:val="32"/>
        </w:rPr>
        <w:t>5G深度覆盖及全区的5G广度覆盖</w:t>
      </w:r>
      <w:r>
        <w:rPr>
          <w:rFonts w:hint="eastAsia" w:ascii="Times New Roman" w:hAnsi="Times New Roman" w:cs="仿宋_GB2312"/>
          <w:kern w:val="0"/>
          <w:szCs w:val="32"/>
        </w:rPr>
        <w:t>；着力提升有效用电负荷，智能电表覆盖率达到1</w:t>
      </w:r>
      <w:r>
        <w:rPr>
          <w:rFonts w:ascii="Times New Roman" w:hAnsi="Times New Roman" w:cs="仿宋_GB2312"/>
          <w:kern w:val="0"/>
          <w:szCs w:val="32"/>
        </w:rPr>
        <w:t>00</w:t>
      </w:r>
      <w:r>
        <w:rPr>
          <w:rFonts w:hint="eastAsia" w:ascii="Times New Roman" w:hAnsi="Times New Roman" w:cs="仿宋_GB2312"/>
          <w:kern w:val="0"/>
          <w:szCs w:val="32"/>
        </w:rPr>
        <w:t>%，供电可靠率达到9</w:t>
      </w:r>
      <w:r>
        <w:rPr>
          <w:rFonts w:ascii="Times New Roman" w:hAnsi="Times New Roman" w:cs="仿宋_GB2312"/>
          <w:kern w:val="0"/>
          <w:szCs w:val="32"/>
        </w:rPr>
        <w:t>9.99</w:t>
      </w:r>
      <w:r>
        <w:rPr>
          <w:rFonts w:hint="eastAsia" w:ascii="Times New Roman" w:hAnsi="Times New Roman" w:cs="仿宋_GB2312"/>
          <w:kern w:val="0"/>
          <w:szCs w:val="32"/>
        </w:rPr>
        <w:t>%以上。</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kern w:val="0"/>
          <w:szCs w:val="32"/>
        </w:rPr>
        <w:t>丰富拓展新基建应用场景。</w:t>
      </w:r>
      <w:r>
        <w:rPr>
          <w:rFonts w:hint="eastAsia" w:ascii="Times New Roman" w:hAnsi="Times New Roman" w:cs="仿宋_GB2312"/>
          <w:bCs/>
          <w:kern w:val="0"/>
          <w:szCs w:val="32"/>
        </w:rPr>
        <w:t>以</w:t>
      </w:r>
      <w:r>
        <w:rPr>
          <w:rFonts w:hint="eastAsia" w:ascii="仿宋_GB2312" w:hAnsi="Times New Roman" w:cs="仿宋_GB2312"/>
          <w:bCs/>
          <w:kern w:val="0"/>
          <w:szCs w:val="32"/>
        </w:rPr>
        <w:t>“智能制造+智慧城市”的“双智战略”需求为牵引，加快构建政府政策引导、企业产业</w:t>
      </w:r>
      <w:r>
        <w:rPr>
          <w:rFonts w:hint="eastAsia" w:ascii="Times New Roman" w:hAnsi="Times New Roman" w:cs="仿宋_GB2312"/>
          <w:bCs/>
          <w:kern w:val="0"/>
          <w:szCs w:val="32"/>
        </w:rPr>
        <w:t>推动、居民需求培育的“三位一体”</w:t>
      </w:r>
      <w:r>
        <w:rPr>
          <w:rFonts w:ascii="Times New Roman" w:hAnsi="Times New Roman" w:cs="仿宋_GB2312"/>
          <w:bCs/>
          <w:kern w:val="0"/>
          <w:szCs w:val="32"/>
        </w:rPr>
        <w:t>5G应用推进体系</w:t>
      </w:r>
      <w:r>
        <w:rPr>
          <w:rFonts w:hint="eastAsia" w:ascii="Times New Roman" w:hAnsi="Times New Roman" w:cs="仿宋_GB2312"/>
          <w:bCs/>
          <w:kern w:val="0"/>
          <w:szCs w:val="32"/>
        </w:rPr>
        <w:t>。加快智能驾驶车路协同市民体验区建设，打造融合</w:t>
      </w:r>
      <w:r>
        <w:rPr>
          <w:rFonts w:ascii="Times New Roman" w:hAnsi="Times New Roman" w:cs="仿宋_GB2312"/>
          <w:bCs/>
          <w:kern w:val="0"/>
          <w:szCs w:val="32"/>
        </w:rPr>
        <w:t>5G和V2X技术的车联网直连通信开放路段，推动虚拟测试、封闭/半封闭测试和开放道路测试等5G全场景智能网联汽车技术试验及示范应用</w:t>
      </w:r>
      <w:r>
        <w:rPr>
          <w:rFonts w:hint="eastAsia" w:ascii="Times New Roman" w:hAnsi="Times New Roman" w:cs="仿宋_GB2312"/>
          <w:bCs/>
          <w:kern w:val="0"/>
          <w:szCs w:val="32"/>
        </w:rPr>
        <w:t>，建成国内首个试验类型最全面、检测认证最权威、应用落地最便利的“智能网联产品商业化落地培育经济带”。</w:t>
      </w:r>
      <w:bookmarkStart w:id="133" w:name="_Hlk62298252"/>
      <w:r>
        <w:rPr>
          <w:rFonts w:hint="eastAsia" w:ascii="Times New Roman" w:hAnsi="Times New Roman" w:cs="仿宋_GB2312"/>
          <w:bCs/>
          <w:kern w:val="0"/>
          <w:szCs w:val="32"/>
        </w:rPr>
        <w:t>扎实推进</w:t>
      </w:r>
      <w:r>
        <w:rPr>
          <w:rFonts w:hint="eastAsia" w:ascii="仿宋_GB2312" w:hAnsi="Times New Roman" w:cs="仿宋_GB2312"/>
          <w:bCs/>
          <w:kern w:val="0"/>
          <w:szCs w:val="32"/>
        </w:rPr>
        <w:t>“</w:t>
      </w:r>
      <w:r>
        <w:rPr>
          <w:rFonts w:ascii="Times New Roman" w:hAnsi="Times New Roman" w:cs="仿宋_GB2312"/>
          <w:bCs/>
          <w:kern w:val="0"/>
          <w:szCs w:val="32"/>
        </w:rPr>
        <w:t>5G+X</w:t>
      </w:r>
      <w:r>
        <w:rPr>
          <w:rFonts w:hint="eastAsia" w:ascii="仿宋_GB2312" w:hAnsi="Times New Roman" w:cs="仿宋_GB2312"/>
          <w:bCs/>
          <w:kern w:val="0"/>
          <w:szCs w:val="32"/>
        </w:rPr>
        <w:t>”应</w:t>
      </w:r>
      <w:r>
        <w:rPr>
          <w:rFonts w:hint="eastAsia" w:ascii="Times New Roman" w:hAnsi="Times New Roman" w:cs="仿宋_GB2312"/>
          <w:bCs/>
          <w:kern w:val="0"/>
          <w:szCs w:val="32"/>
        </w:rPr>
        <w:t>用示范工程，加快5</w:t>
      </w:r>
      <w:r>
        <w:rPr>
          <w:rFonts w:ascii="Times New Roman" w:hAnsi="Times New Roman" w:cs="仿宋_GB2312"/>
          <w:bCs/>
          <w:kern w:val="0"/>
          <w:szCs w:val="32"/>
        </w:rPr>
        <w:t>G</w:t>
      </w:r>
      <w:r>
        <w:rPr>
          <w:rFonts w:hint="eastAsia" w:ascii="Times New Roman" w:hAnsi="Times New Roman" w:cs="仿宋_GB2312"/>
          <w:bCs/>
          <w:kern w:val="0"/>
          <w:szCs w:val="32"/>
        </w:rPr>
        <w:t>技术在智慧城市、智能制造、智慧医疗等重点行业的全周期深入应用，打造2-3个综合性特色示范应用体验场景</w:t>
      </w:r>
      <w:r>
        <w:rPr>
          <w:rFonts w:hint="eastAsia" w:ascii="Times New Roman" w:hAnsi="Times New Roman" w:cs="仿宋_GB2312"/>
          <w:kern w:val="0"/>
          <w:szCs w:val="32"/>
        </w:rPr>
        <w:t>，</w:t>
      </w:r>
      <w:r>
        <w:rPr>
          <w:rFonts w:hint="eastAsia" w:ascii="Times New Roman" w:hAnsi="Times New Roman" w:cs="仿宋_GB2312"/>
          <w:bCs/>
          <w:kern w:val="0"/>
          <w:szCs w:val="32"/>
        </w:rPr>
        <w:t>以场景开放促进</w:t>
      </w:r>
      <w:r>
        <w:rPr>
          <w:rFonts w:hint="eastAsia" w:ascii="仿宋_GB2312" w:hAnsi="Times New Roman" w:cs="仿宋_GB2312"/>
          <w:bCs/>
          <w:kern w:val="0"/>
          <w:szCs w:val="32"/>
        </w:rPr>
        <w:t>“</w:t>
      </w:r>
      <w:r>
        <w:rPr>
          <w:rFonts w:hint="eastAsia" w:ascii="Times New Roman" w:hAnsi="Times New Roman" w:cs="仿宋_GB2312"/>
          <w:bCs/>
          <w:kern w:val="0"/>
          <w:szCs w:val="32"/>
        </w:rPr>
        <w:t>智能</w:t>
      </w:r>
      <w:r>
        <w:rPr>
          <w:rFonts w:ascii="Times New Roman" w:hAnsi="Times New Roman" w:cs="仿宋_GB2312"/>
          <w:bCs/>
          <w:kern w:val="0"/>
          <w:szCs w:val="32"/>
        </w:rPr>
        <w:t>+</w:t>
      </w:r>
      <w:r>
        <w:rPr>
          <w:rFonts w:hint="eastAsia" w:ascii="仿宋_GB2312" w:hAnsi="Times New Roman" w:cs="仿宋_GB2312"/>
          <w:bCs/>
          <w:kern w:val="0"/>
          <w:szCs w:val="32"/>
        </w:rPr>
        <w:t>”解决</w:t>
      </w:r>
      <w:r>
        <w:rPr>
          <w:rFonts w:hint="eastAsia" w:ascii="Times New Roman" w:hAnsi="Times New Roman" w:cs="仿宋_GB2312"/>
          <w:bCs/>
          <w:kern w:val="0"/>
          <w:szCs w:val="32"/>
        </w:rPr>
        <w:t>方案供应商集聚和发展</w:t>
      </w:r>
      <w:r>
        <w:rPr>
          <w:rFonts w:hint="eastAsia" w:ascii="仿宋_GB2312" w:hAnsi="Times New Roman" w:cs="仿宋_GB2312"/>
          <w:bCs/>
          <w:kern w:val="0"/>
          <w:szCs w:val="32"/>
        </w:rPr>
        <w:t>，</w:t>
      </w:r>
      <w:r>
        <w:rPr>
          <w:rFonts w:hint="eastAsia" w:ascii="仿宋_GB2312" w:hAnsi="Times New Roman" w:cs="仿宋_GB2312"/>
          <w:kern w:val="0"/>
          <w:szCs w:val="32"/>
        </w:rPr>
        <w:t>实现“试点示范项目</w:t>
      </w:r>
      <w:r>
        <w:rPr>
          <w:rFonts w:ascii="仿宋_GB2312" w:hAnsi="Times New Roman" w:cs="仿宋_GB2312"/>
          <w:kern w:val="0"/>
          <w:szCs w:val="32"/>
        </w:rPr>
        <w:t>—</w:t>
      </w:r>
      <w:r>
        <w:rPr>
          <w:rFonts w:hint="eastAsia" w:ascii="仿宋_GB2312" w:hAnsi="Times New Roman" w:cs="仿宋_GB2312"/>
          <w:kern w:val="0"/>
          <w:szCs w:val="32"/>
        </w:rPr>
        <w:t>重点行业</w:t>
      </w:r>
      <w:r>
        <w:rPr>
          <w:rFonts w:ascii="仿宋_GB2312" w:hAnsi="Times New Roman" w:cs="仿宋_GB2312"/>
          <w:kern w:val="0"/>
          <w:szCs w:val="32"/>
        </w:rPr>
        <w:t>/</w:t>
      </w:r>
      <w:r>
        <w:rPr>
          <w:rFonts w:hint="eastAsia" w:ascii="仿宋_GB2312" w:hAnsi="Times New Roman" w:cs="仿宋_GB2312"/>
          <w:kern w:val="0"/>
          <w:szCs w:val="32"/>
        </w:rPr>
        <w:t>重点区域转型</w:t>
      </w:r>
      <w:r>
        <w:rPr>
          <w:rFonts w:ascii="仿宋_GB2312" w:hAnsi="Times New Roman" w:cs="仿宋_GB2312"/>
          <w:kern w:val="0"/>
          <w:szCs w:val="32"/>
        </w:rPr>
        <w:t>—</w:t>
      </w:r>
      <w:r>
        <w:rPr>
          <w:rFonts w:hint="eastAsia" w:ascii="仿宋_GB2312" w:hAnsi="Times New Roman" w:cs="仿宋_GB2312"/>
          <w:kern w:val="0"/>
          <w:szCs w:val="32"/>
        </w:rPr>
        <w:t>全域数字经济升级”的跨越发展。</w:t>
      </w:r>
      <w:bookmarkEnd w:id="133"/>
      <w:r>
        <w:rPr>
          <w:rFonts w:hint="eastAsia" w:ascii="仿宋_GB2312" w:hAnsi="Times New Roman" w:cs="仿宋_GB2312"/>
          <w:kern w:val="0"/>
          <w:szCs w:val="32"/>
        </w:rPr>
        <w:t>按照“成熟一批、推广一批”</w:t>
      </w:r>
      <w:r>
        <w:rPr>
          <w:rFonts w:ascii="Times New Roman" w:hAnsi="Times New Roman" w:cs="仿宋_GB2312"/>
          <w:kern w:val="0"/>
          <w:szCs w:val="32"/>
        </w:rPr>
        <w:t>的原则，</w:t>
      </w:r>
      <w:r>
        <w:rPr>
          <w:rFonts w:hint="eastAsia" w:ascii="Times New Roman" w:hAnsi="Times New Roman" w:cs="仿宋_GB2312"/>
          <w:kern w:val="0"/>
          <w:szCs w:val="32"/>
        </w:rPr>
        <w:t>到2</w:t>
      </w:r>
      <w:r>
        <w:rPr>
          <w:rFonts w:ascii="Times New Roman" w:hAnsi="Times New Roman" w:cs="仿宋_GB2312"/>
          <w:kern w:val="0"/>
          <w:szCs w:val="32"/>
        </w:rPr>
        <w:t>025</w:t>
      </w:r>
      <w:r>
        <w:rPr>
          <w:rFonts w:hint="eastAsia" w:ascii="Times New Roman" w:hAnsi="Times New Roman" w:cs="仿宋_GB2312"/>
          <w:kern w:val="0"/>
          <w:szCs w:val="32"/>
        </w:rPr>
        <w:t>年，打造</w:t>
      </w:r>
      <w:r>
        <w:rPr>
          <w:rFonts w:ascii="Times New Roman" w:hAnsi="Times New Roman" w:cs="仿宋_GB2312"/>
          <w:kern w:val="0"/>
          <w:szCs w:val="32"/>
        </w:rPr>
        <w:t>30</w:t>
      </w:r>
      <w:r>
        <w:rPr>
          <w:rFonts w:hint="eastAsia" w:ascii="Times New Roman" w:hAnsi="Times New Roman" w:cs="仿宋_GB2312"/>
          <w:kern w:val="0"/>
          <w:szCs w:val="32"/>
        </w:rPr>
        <w:t>个5</w:t>
      </w:r>
      <w:r>
        <w:rPr>
          <w:rFonts w:ascii="Times New Roman" w:hAnsi="Times New Roman" w:cs="仿宋_GB2312"/>
          <w:kern w:val="0"/>
          <w:szCs w:val="32"/>
        </w:rPr>
        <w:t>G</w:t>
      </w:r>
      <w:r>
        <w:rPr>
          <w:rFonts w:hint="eastAsia" w:ascii="Times New Roman" w:hAnsi="Times New Roman" w:cs="仿宋_GB2312"/>
          <w:kern w:val="0"/>
          <w:szCs w:val="32"/>
        </w:rPr>
        <w:t>应用场景，引领</w:t>
      </w:r>
      <w:r>
        <w:rPr>
          <w:rFonts w:ascii="Times New Roman" w:hAnsi="Times New Roman" w:cs="仿宋_GB2312"/>
          <w:kern w:val="0"/>
          <w:szCs w:val="32"/>
        </w:rPr>
        <w:t>5G产业创新聚集发展，工业互联网平台资源集聚能力</w:t>
      </w:r>
      <w:r>
        <w:rPr>
          <w:rFonts w:hint="eastAsia" w:ascii="Times New Roman" w:hAnsi="Times New Roman" w:cs="仿宋_GB2312"/>
          <w:kern w:val="0"/>
          <w:szCs w:val="32"/>
        </w:rPr>
        <w:t>有力提升，构建具有东丽特色的钢铁、汽车等领域5</w:t>
      </w:r>
      <w:r>
        <w:rPr>
          <w:rFonts w:ascii="Times New Roman" w:hAnsi="Times New Roman" w:cs="仿宋_GB2312"/>
          <w:kern w:val="0"/>
          <w:szCs w:val="32"/>
        </w:rPr>
        <w:t>G</w:t>
      </w:r>
      <w:r>
        <w:rPr>
          <w:rFonts w:hint="eastAsia" w:ascii="Times New Roman" w:hAnsi="Times New Roman" w:cs="仿宋_GB2312"/>
          <w:kern w:val="0"/>
          <w:szCs w:val="32"/>
        </w:rPr>
        <w:t>创新发展应用生态。</w:t>
      </w:r>
    </w:p>
    <w:p>
      <w:pPr>
        <w:ind w:firstLine="642" w:firstLineChars="200"/>
        <w:textAlignment w:val="baseline"/>
        <w:rPr>
          <w:rFonts w:ascii="Times New Roman" w:hAnsi="Times New Roman" w:cs="仿宋_GB2312"/>
          <w:bCs/>
          <w:kern w:val="0"/>
          <w:sz w:val="20"/>
          <w:szCs w:val="32"/>
        </w:rPr>
      </w:pPr>
      <w:r>
        <w:rPr>
          <w:rFonts w:hint="eastAsia" w:ascii="Times New Roman" w:hAnsi="Times New Roman" w:cs="仿宋_GB2312"/>
          <w:b/>
          <w:kern w:val="0"/>
          <w:szCs w:val="32"/>
        </w:rPr>
        <w:t>大力推进新一代信息技术与制造业深度融合</w:t>
      </w:r>
      <w:bookmarkStart w:id="134" w:name="_Hlk59724461"/>
      <w:r>
        <w:rPr>
          <w:rFonts w:hint="eastAsia" w:ascii="Times New Roman" w:hAnsi="Times New Roman" w:cs="仿宋_GB2312"/>
          <w:b/>
          <w:kern w:val="0"/>
          <w:szCs w:val="32"/>
        </w:rPr>
        <w:t>。</w:t>
      </w:r>
      <w:bookmarkStart w:id="135" w:name="_Hlk65079095"/>
      <w:r>
        <w:rPr>
          <w:rFonts w:hint="eastAsia" w:ascii="Times New Roman" w:hAnsi="Times New Roman" w:cs="仿宋_GB2312"/>
          <w:bCs/>
          <w:kern w:val="0"/>
          <w:szCs w:val="32"/>
        </w:rPr>
        <w:t>以制造业产业链、创新链的重大需求和关键环节为导向，加快发展智能制造，推进制造业数字化、网络化、智能化升</w:t>
      </w:r>
      <w:bookmarkEnd w:id="135"/>
      <w:r>
        <w:rPr>
          <w:rFonts w:hint="eastAsia" w:ascii="Times New Roman" w:hAnsi="Times New Roman" w:cs="仿宋_GB2312"/>
          <w:bCs/>
          <w:kern w:val="0"/>
          <w:szCs w:val="32"/>
        </w:rPr>
        <w:t>级。鼓励企业购置先进设备，在智能制造领域开展试点示范、新模式应用，</w:t>
      </w:r>
      <w:bookmarkStart w:id="136" w:name="_Hlk62300547"/>
      <w:r>
        <w:rPr>
          <w:rFonts w:hint="eastAsia" w:ascii="Times New Roman" w:hAnsi="Times New Roman" w:cs="仿宋_GB2312"/>
          <w:bCs/>
          <w:kern w:val="0"/>
          <w:szCs w:val="32"/>
        </w:rPr>
        <w:t>积极开展企业智能化升级咨询诊断和综合评定等服务，</w:t>
      </w:r>
      <w:bookmarkEnd w:id="136"/>
      <w:r>
        <w:rPr>
          <w:rFonts w:hint="eastAsia" w:ascii="Times New Roman" w:hAnsi="Times New Roman" w:cs="仿宋_GB2312"/>
          <w:bCs/>
          <w:kern w:val="0"/>
          <w:szCs w:val="32"/>
        </w:rPr>
        <w:t>加快企业智能化升级改造步伐。加快培育一批智能制造和工业互联网系统解决方案供应商和服务商，积极开展工业互联网外网建设和内网改造，加强工业互联网的数字化引领作用。加快推动中小微企业上云上平台，促进企业生产要素数字化、生产过程柔性化及系统服务集成化。鼓励和支持企业通过自建或联合高校共建等方式建设创新中心，积极申报国家新一代人工智能产业创新重点任务揭榜</w:t>
      </w:r>
      <w:r>
        <w:rPr>
          <w:rFonts w:hint="eastAsia" w:ascii="仿宋_GB2312" w:hAnsi="Times New Roman" w:cs="仿宋_GB2312"/>
          <w:bCs/>
          <w:kern w:val="0"/>
          <w:szCs w:val="32"/>
        </w:rPr>
        <w:t>等</w:t>
      </w:r>
      <w:r>
        <w:rPr>
          <w:rFonts w:ascii="Times New Roman" w:hAnsi="Times New Roman" w:cs="仿宋_GB2312"/>
          <w:bCs/>
          <w:kern w:val="0"/>
          <w:szCs w:val="32"/>
        </w:rPr>
        <w:t>项目，加速提升制造</w:t>
      </w:r>
      <w:r>
        <w:rPr>
          <w:rFonts w:hint="eastAsia" w:ascii="Times New Roman" w:hAnsi="Times New Roman" w:cs="仿宋_GB2312"/>
          <w:bCs/>
          <w:kern w:val="0"/>
          <w:szCs w:val="32"/>
        </w:rPr>
        <w:t>业</w:t>
      </w:r>
      <w:r>
        <w:rPr>
          <w:rFonts w:ascii="Times New Roman" w:hAnsi="Times New Roman" w:cs="仿宋_GB2312"/>
          <w:bCs/>
          <w:kern w:val="0"/>
          <w:szCs w:val="32"/>
        </w:rPr>
        <w:t>研发创新能力。</w:t>
      </w:r>
    </w:p>
    <w:bookmarkEnd w:id="134"/>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37" w:name="_Toc61343627"/>
      <w:r>
        <w:rPr>
          <w:rFonts w:hint="eastAsia" w:ascii="Times New Roman" w:hAnsi="Times New Roman" w:cs="Times New Roman"/>
          <w:b w:val="0"/>
          <w:bCs w:val="0"/>
          <w:kern w:val="2"/>
          <w:szCs w:val="32"/>
        </w:rPr>
        <w:t>六、保障措施</w:t>
      </w:r>
      <w:bookmarkEnd w:id="137"/>
    </w:p>
    <w:p>
      <w:pPr>
        <w:widowControl/>
        <w:snapToGrid w:val="0"/>
        <w:ind w:firstLine="642" w:firstLineChars="200"/>
        <w:jc w:val="left"/>
        <w:textAlignment w:val="baseline"/>
        <w:rPr>
          <w:rFonts w:ascii="楷体_GB2312" w:hAnsi="Calibri" w:eastAsia="楷体_GB2312" w:cs="Times New Roman"/>
          <w:b/>
          <w:sz w:val="20"/>
          <w:szCs w:val="32"/>
        </w:rPr>
      </w:pPr>
      <w:bookmarkStart w:id="138" w:name="_Toc61343628"/>
      <w:r>
        <w:rPr>
          <w:rFonts w:hint="eastAsia" w:ascii="楷体_GB2312" w:hAnsi="Calibri" w:eastAsia="楷体_GB2312" w:cs="Times New Roman"/>
          <w:b/>
          <w:szCs w:val="32"/>
        </w:rPr>
        <w:t>（一）健全组织协调机制</w:t>
      </w:r>
      <w:bookmarkEnd w:id="138"/>
    </w:p>
    <w:p>
      <w:pPr>
        <w:ind w:firstLine="640" w:firstLineChars="200"/>
        <w:textAlignment w:val="baseline"/>
        <w:rPr>
          <w:rFonts w:ascii="Times New Roman" w:hAnsi="Times New Roman"/>
          <w:sz w:val="20"/>
        </w:rPr>
      </w:pPr>
      <w:r>
        <w:rPr>
          <w:rFonts w:hint="eastAsia" w:ascii="Times New Roman" w:hAnsi="Times New Roman"/>
        </w:rPr>
        <w:t>切实加强组织领导，统筹协调推进工业经济高质量发展的调度、督查、考核等各项</w:t>
      </w:r>
      <w:r>
        <w:rPr>
          <w:rFonts w:hint="eastAsia" w:ascii="仿宋_GB2312" w:hAnsi="Times New Roman"/>
        </w:rPr>
        <w:t>工作，及时研究解决工业“十四五”规划推进过程中遇到的重大问题</w:t>
      </w:r>
      <w:r>
        <w:rPr>
          <w:rFonts w:hint="eastAsia" w:ascii="Times New Roman" w:hAnsi="Times New Roman"/>
        </w:rPr>
        <w:t>。建立由工业主管部门、园区管委会、行业协会、重点企业、服务机构等共同参与的工业发展交流平台，沟通工业发展的现实情况及政策实施效果，反馈问题与困难，形成畅通的信息渠道。</w:t>
      </w:r>
    </w:p>
    <w:p>
      <w:pPr>
        <w:widowControl/>
        <w:snapToGrid w:val="0"/>
        <w:ind w:firstLine="642" w:firstLineChars="200"/>
        <w:jc w:val="left"/>
        <w:textAlignment w:val="baseline"/>
        <w:rPr>
          <w:rFonts w:ascii="楷体_GB2312" w:hAnsi="Calibri" w:eastAsia="楷体_GB2312" w:cs="Times New Roman"/>
          <w:b/>
          <w:sz w:val="20"/>
          <w:szCs w:val="32"/>
        </w:rPr>
      </w:pPr>
      <w:bookmarkStart w:id="139" w:name="_Toc61343629"/>
      <w:r>
        <w:rPr>
          <w:rFonts w:hint="eastAsia" w:ascii="楷体_GB2312" w:hAnsi="Calibri" w:eastAsia="楷体_GB2312" w:cs="Times New Roman"/>
          <w:b/>
          <w:szCs w:val="32"/>
        </w:rPr>
        <w:t>（二）强化生产要素保障</w:t>
      </w:r>
      <w:bookmarkEnd w:id="139"/>
    </w:p>
    <w:p>
      <w:pPr>
        <w:ind w:firstLine="640" w:firstLineChars="200"/>
        <w:textAlignment w:val="baseline"/>
        <w:rPr>
          <w:rFonts w:ascii="Times New Roman" w:hAnsi="Times New Roman"/>
          <w:sz w:val="20"/>
        </w:rPr>
      </w:pPr>
      <w:r>
        <w:rPr>
          <w:rFonts w:hint="eastAsia" w:ascii="Times New Roman" w:hAnsi="Times New Roman"/>
        </w:rPr>
        <w:t>按照</w:t>
      </w:r>
      <w:r>
        <w:rPr>
          <w:rFonts w:ascii="Times New Roman" w:hAnsi="Times New Roman"/>
        </w:rPr>
        <w:t>现代产业的发展模式科学谋划，统筹部署，强化工业发展的全要素投入和保障。强化土地资源管理。对区内工业用地进行适度整合，不断做好存量优化，确保无重点项目因土地原因无法落地，力争通过项目实施提升保障用地能力。全力做好资金保障</w:t>
      </w:r>
      <w:r>
        <w:rPr>
          <w:rFonts w:hint="eastAsia" w:ascii="Times New Roman" w:hAnsi="Times New Roman"/>
        </w:rPr>
        <w:t>，加强</w:t>
      </w:r>
      <w:r>
        <w:rPr>
          <w:rFonts w:ascii="Times New Roman" w:hAnsi="Times New Roman"/>
        </w:rPr>
        <w:t>对重点产业扶持力度，用好各类产业发展专项资金，加大向上争取项目资金力度，加大科技专项资金在工业创新领域的投入，促进银企信息互通、增进互信，搭建平台促合作，强化跟踪促落实，缓解融资难题</w:t>
      </w:r>
      <w:r>
        <w:rPr>
          <w:rFonts w:hint="eastAsia" w:ascii="Times New Roman" w:hAnsi="Times New Roman"/>
        </w:rPr>
        <w:t>。</w:t>
      </w:r>
      <w:r>
        <w:rPr>
          <w:rFonts w:ascii="Times New Roman" w:hAnsi="Times New Roman"/>
        </w:rPr>
        <w:t>做好能源协调工作，</w:t>
      </w:r>
      <w:r>
        <w:rPr>
          <w:rFonts w:hint="eastAsia" w:ascii="Times New Roman" w:hAnsi="Times New Roman"/>
        </w:rPr>
        <w:t>健全完善</w:t>
      </w:r>
      <w:r>
        <w:rPr>
          <w:rFonts w:ascii="Times New Roman" w:hAnsi="Times New Roman"/>
        </w:rPr>
        <w:t>要素保障信息收集分析机制和激励机制，定期收集了解生产要素供应及需求情况，不定期组织研究解决保供中存在的问题和需要开展的工作</w:t>
      </w:r>
      <w:r>
        <w:rPr>
          <w:rFonts w:hint="eastAsia" w:ascii="Times New Roman" w:hAnsi="Times New Roman"/>
        </w:rPr>
        <w:t>。完善工业基础设施规划建设，</w:t>
      </w:r>
      <w:r>
        <w:rPr>
          <w:rFonts w:ascii="Times New Roman" w:hAnsi="Times New Roman"/>
        </w:rPr>
        <w:t>统一规划建设、管理供水、供电供热、工业气体、公共管廊、污水处理厂、危险化学品废弃物处置设施等公用工程，做好相关工作衔接和协调。</w:t>
      </w:r>
      <w:r>
        <w:rPr>
          <w:rFonts w:hint="eastAsia" w:ascii="Times New Roman" w:hAnsi="Times New Roman"/>
        </w:rPr>
        <w:t>加强高端人才引育力度，营造有利于高端人才创新创业的良好环境，为企业核心竞争力高端化和先进制造业集群化发展提供强有力的人才保证和智力支撑。</w:t>
      </w:r>
    </w:p>
    <w:p>
      <w:pPr>
        <w:widowControl/>
        <w:snapToGrid w:val="0"/>
        <w:ind w:firstLine="642" w:firstLineChars="200"/>
        <w:jc w:val="left"/>
        <w:textAlignment w:val="baseline"/>
        <w:rPr>
          <w:rFonts w:ascii="楷体_GB2312" w:hAnsi="Calibri" w:eastAsia="楷体_GB2312" w:cs="Times New Roman"/>
          <w:b/>
          <w:sz w:val="20"/>
          <w:szCs w:val="32"/>
        </w:rPr>
      </w:pPr>
      <w:bookmarkStart w:id="140" w:name="_Toc61343630"/>
      <w:bookmarkStart w:id="141" w:name="_Hlk65081431"/>
      <w:r>
        <w:rPr>
          <w:rFonts w:hint="eastAsia" w:ascii="楷体_GB2312" w:hAnsi="Calibri" w:eastAsia="楷体_GB2312" w:cs="Times New Roman"/>
          <w:b/>
          <w:szCs w:val="32"/>
        </w:rPr>
        <w:t>（三）不断优化营商环境</w:t>
      </w:r>
      <w:bookmarkEnd w:id="140"/>
    </w:p>
    <w:p>
      <w:pPr>
        <w:widowControl/>
        <w:ind w:firstLine="640" w:firstLineChars="200"/>
        <w:textAlignment w:val="baseline"/>
        <w:rPr>
          <w:rFonts w:ascii="Times New Roman" w:hAnsi="Times New Roman"/>
          <w:sz w:val="20"/>
        </w:rPr>
      </w:pPr>
      <w:r>
        <w:rPr>
          <w:rFonts w:hint="eastAsia" w:ascii="Times New Roman" w:hAnsi="Times New Roman"/>
        </w:rPr>
        <w:t>积极落实各项产业发展支持政策</w:t>
      </w:r>
      <w:r>
        <w:rPr>
          <w:rFonts w:hint="eastAsia" w:ascii="仿宋_GB2312" w:hAnsi="Times New Roman"/>
        </w:rPr>
        <w:t>，重点</w:t>
      </w:r>
      <w:r>
        <w:rPr>
          <w:rFonts w:hint="eastAsia" w:ascii="Times New Roman" w:hAnsi="Times New Roman"/>
        </w:rPr>
        <w:t>争取全市智能制造资金政策，加大</w:t>
      </w:r>
      <w:r>
        <w:rPr>
          <w:rFonts w:ascii="Times New Roman" w:hAnsi="Times New Roman"/>
        </w:rPr>
        <w:t>在智能制造、传统产业改造提升、新兴产业培育、企业自主创新等方面</w:t>
      </w:r>
      <w:r>
        <w:rPr>
          <w:rFonts w:hint="eastAsia" w:ascii="Times New Roman" w:hAnsi="Times New Roman"/>
        </w:rPr>
        <w:t>政策支持力度。建立政策宣传和解读有效机制，积极进行政策解读，回应企业关切，提高政策透明度和社会知晓度。弘扬工业文化和工业文明，定期宣传推介一批工业领域的专精特新、工业新产品、工业精品典型。强化服务意识，实行首问负责制、服务承诺制、一次性告知制、限时办结制及责任追究制，提供一站式办公和一条龙服务，以及专门机构代办代审等全方位、多层次的优质高效服务。</w:t>
      </w:r>
    </w:p>
    <w:bookmarkEnd w:id="141"/>
    <w:p>
      <w:pPr>
        <w:widowControl/>
        <w:snapToGrid w:val="0"/>
        <w:ind w:firstLine="642" w:firstLineChars="200"/>
        <w:jc w:val="left"/>
        <w:textAlignment w:val="baseline"/>
        <w:rPr>
          <w:rFonts w:ascii="楷体_GB2312" w:hAnsi="Calibri" w:eastAsia="楷体_GB2312" w:cs="Times New Roman"/>
          <w:b/>
          <w:sz w:val="20"/>
          <w:szCs w:val="32"/>
        </w:rPr>
      </w:pPr>
      <w:bookmarkStart w:id="142" w:name="_Toc61343631"/>
      <w:r>
        <w:rPr>
          <w:rFonts w:hint="eastAsia" w:ascii="楷体_GB2312" w:hAnsi="Calibri" w:eastAsia="楷体_GB2312" w:cs="Times New Roman"/>
          <w:b/>
          <w:szCs w:val="32"/>
        </w:rPr>
        <w:t>（四）加大招商引资力度</w:t>
      </w:r>
      <w:bookmarkEnd w:id="142"/>
    </w:p>
    <w:p>
      <w:pPr>
        <w:widowControl/>
        <w:ind w:firstLine="640" w:firstLineChars="200"/>
        <w:textAlignment w:val="baseline"/>
        <w:rPr>
          <w:rFonts w:ascii="Times New Roman" w:hAnsi="Times New Roman"/>
          <w:sz w:val="20"/>
        </w:rPr>
      </w:pPr>
      <w:r>
        <w:rPr>
          <w:rFonts w:ascii="Times New Roman" w:hAnsi="Times New Roman"/>
        </w:rPr>
        <w:t>积极承接北京非首都功能疏解，</w:t>
      </w:r>
      <w:r>
        <w:rPr>
          <w:rFonts w:hint="eastAsia" w:ascii="Times New Roman" w:hAnsi="Times New Roman"/>
        </w:rPr>
        <w:t>开展全方位服务保障，开通引进项目绿色通道，</w:t>
      </w:r>
      <w:r>
        <w:rPr>
          <w:rFonts w:ascii="Times New Roman" w:hAnsi="Times New Roman"/>
        </w:rPr>
        <w:t>引领关联项目集群化导入落地，</w:t>
      </w:r>
      <w:r>
        <w:rPr>
          <w:rFonts w:hint="eastAsia" w:ascii="Times New Roman" w:hAnsi="Times New Roman"/>
        </w:rPr>
        <w:t>在市场准入、通关监管、迁入迁出等提供专人指导、办理服务。强化精准招商引资，以产业图谱为引导，以串链补链强链为抓手，大力推动平台招商、产业链招商、应用场景招商，引进一批标志性、引领性的优质企业、重大项目，带动产业链上下游配套企业集聚，打造一批规模效应显著、产业配套完善的标志性产业链，进一步壮大新动能“底盘”。</w:t>
      </w:r>
      <w:r>
        <w:rPr>
          <w:rFonts w:ascii="Times New Roman" w:hAnsi="Times New Roman"/>
        </w:rPr>
        <w:t>加快建立向民间资本推介项目长效机制</w:t>
      </w:r>
      <w:r>
        <w:rPr>
          <w:rFonts w:hint="eastAsia" w:ascii="Times New Roman" w:hAnsi="Times New Roman"/>
        </w:rPr>
        <w:t>，会同相关部门分级分类建立吸引民间资本投资重点领域项目库，形成常态化、制度化项目推介机制。</w:t>
      </w:r>
    </w:p>
    <w:p>
      <w:pPr>
        <w:snapToGrid w:val="0"/>
        <w:ind w:firstLine="642" w:firstLineChars="200"/>
        <w:jc w:val="left"/>
        <w:textAlignment w:val="baseline"/>
        <w:rPr>
          <w:rFonts w:ascii="楷体_GB2312" w:hAnsi="Calibri" w:eastAsia="楷体_GB2312" w:cs="Times New Roman"/>
          <w:b/>
          <w:sz w:val="20"/>
          <w:szCs w:val="32"/>
        </w:rPr>
      </w:pPr>
      <w:bookmarkStart w:id="143" w:name="_Toc61343632"/>
      <w:r>
        <w:rPr>
          <w:rFonts w:hint="eastAsia" w:ascii="楷体_GB2312" w:hAnsi="Calibri" w:eastAsia="楷体_GB2312" w:cs="Times New Roman"/>
          <w:b/>
          <w:szCs w:val="32"/>
        </w:rPr>
        <w:t>（五）切实保障安全生产</w:t>
      </w:r>
      <w:bookmarkEnd w:id="143"/>
    </w:p>
    <w:p>
      <w:pPr>
        <w:ind w:firstLine="640" w:firstLineChars="200"/>
        <w:textAlignment w:val="baseline"/>
        <w:rPr>
          <w:rFonts w:ascii="Times New Roman" w:hAnsi="Times New Roman"/>
          <w:strike/>
          <w:sz w:val="20"/>
        </w:rPr>
        <w:sectPr>
          <w:footerReference r:id="rId9" w:type="first"/>
          <w:pgSz w:w="11906" w:h="16838"/>
          <w:pgMar w:top="1440" w:right="1800" w:bottom="1440" w:left="1800" w:header="851" w:footer="992" w:gutter="0"/>
          <w:pgNumType w:start="1"/>
          <w:cols w:space="425" w:num="1"/>
          <w:titlePg/>
          <w:docGrid w:type="lines" w:linePitch="435" w:charSpace="0"/>
        </w:sectPr>
      </w:pPr>
      <w:bookmarkStart w:id="144" w:name="_Hlk65080941"/>
      <w:r>
        <w:rPr>
          <w:rFonts w:hint="eastAsia" w:ascii="Times New Roman" w:hAnsi="Times New Roman"/>
        </w:rPr>
        <w:t>深入落实习近平总书记对安全生产工作的重要批示指示精神，严格履行“三管三必须”的工作职责，全面落实《天津市安全生产专项整治三年行动计划》，牢固树立安全发展理念，强化底线思维和红线意识，将安全生产工作作为行业领域管理的重要内容，从行业规划、产业政策等方面加强行业安全生产工作。</w:t>
      </w:r>
      <w:r>
        <w:rPr>
          <w:rFonts w:ascii="Times New Roman" w:hAnsi="Times New Roman"/>
        </w:rPr>
        <w:t>强化园区安全生产源头管控，规范园区规划布局，严把园区项目准入关</w:t>
      </w:r>
      <w:r>
        <w:rPr>
          <w:rFonts w:hint="eastAsia" w:ascii="Times New Roman" w:hAnsi="Times New Roman"/>
        </w:rPr>
        <w:t>。科学论证危化企业的选址和布局，</w:t>
      </w:r>
      <w:r>
        <w:rPr>
          <w:rFonts w:ascii="Times New Roman" w:hAnsi="Times New Roman"/>
        </w:rPr>
        <w:t>对涉及重点监管危险化工工艺的项目严格审批。</w:t>
      </w:r>
      <w:r>
        <w:rPr>
          <w:rFonts w:hint="eastAsia" w:ascii="Times New Roman" w:hAnsi="Times New Roman"/>
        </w:rPr>
        <w:t>不断加强安全基础保障能力建设，鼓励支持监管高危企业加大智能化、自动化改造和建设力度，加强企业安全生产和职业健康领域科技应用项目的投入。</w:t>
      </w:r>
      <w:bookmarkEnd w:id="144"/>
      <w:r>
        <w:rPr>
          <w:rFonts w:ascii="Times New Roman" w:hAnsi="Times New Roman"/>
        </w:rPr>
        <w:t>引导重点行业规范安全生产条件，加大安全技术改造投入，</w:t>
      </w:r>
      <w:r>
        <w:rPr>
          <w:rFonts w:hint="eastAsia" w:ascii="Times New Roman" w:hAnsi="Times New Roman"/>
        </w:rPr>
        <w:t>推广应用</w:t>
      </w:r>
      <w:r>
        <w:rPr>
          <w:rFonts w:ascii="Times New Roman" w:hAnsi="Times New Roman"/>
        </w:rPr>
        <w:t>先进的工艺及装备，降低安全风险</w:t>
      </w:r>
      <w:r>
        <w:rPr>
          <w:rFonts w:hint="eastAsia" w:ascii="Times New Roman" w:hAnsi="Times New Roman"/>
        </w:rPr>
        <w:t>，</w:t>
      </w:r>
      <w:bookmarkStart w:id="145" w:name="_Hlk61016403"/>
      <w:bookmarkStart w:id="146" w:name="_Hlk66284397"/>
      <w:r>
        <w:rPr>
          <w:rFonts w:hint="eastAsia" w:ascii="Times New Roman" w:hAnsi="Times New Roman"/>
        </w:rPr>
        <w:t>为制造业高质量发展提供有力安全保障</w:t>
      </w:r>
      <w:bookmarkEnd w:id="145"/>
      <w:r>
        <w:rPr>
          <w:rFonts w:hint="eastAsia" w:ascii="Times New Roman" w:hAnsi="Times New Roman"/>
        </w:rPr>
        <w:t>。</w:t>
      </w:r>
      <w:bookmarkEnd w:id="1"/>
      <w:bookmarkEnd w:id="146"/>
    </w:p>
    <w:p>
      <w:pPr>
        <w:pageBreakBefore/>
        <w:snapToGrid w:val="0"/>
        <w:textAlignment w:val="baseline"/>
        <w:rPr>
          <w:rFonts w:ascii="Times New Roman" w:hAnsi="Times New Roman" w:eastAsia="方正小标宋简体" w:cs="Times New Roman"/>
          <w:sz w:val="36"/>
          <w:szCs w:val="36"/>
          <w:shd w:val="pct10" w:color="auto" w:fill="FFFFFF"/>
        </w:rPr>
      </w:pPr>
      <w:bookmarkStart w:id="147" w:name="_Toc59728520"/>
      <w:bookmarkStart w:id="148" w:name="_Toc61343634"/>
      <w:r>
        <w:rPr>
          <w:rFonts w:hint="eastAsia" w:ascii="Times New Roman" w:hAnsi="Times New Roman" w:eastAsia="方正小标宋简体" w:cs="Times New Roman"/>
          <w:sz w:val="36"/>
          <w:szCs w:val="36"/>
        </w:rPr>
        <w:t>附件1：</w:t>
      </w:r>
      <w:bookmarkEnd w:id="147"/>
      <w:bookmarkEnd w:id="148"/>
    </w:p>
    <w:p>
      <w:pPr>
        <w:widowControl/>
        <w:snapToGrid w:val="0"/>
        <w:spacing w:before="217" w:after="217"/>
        <w:jc w:val="center"/>
        <w:textAlignment w:val="baseline"/>
        <w:rPr>
          <w:rFonts w:ascii="Times New Roman" w:hAnsi="Times New Roman" w:eastAsia="方正小标宋简体" w:cs="Times New Roman"/>
          <w:sz w:val="36"/>
          <w:szCs w:val="36"/>
          <w:shd w:val="pct10" w:color="auto" w:fill="FFFFFF"/>
        </w:rPr>
      </w:pPr>
      <w:r>
        <w:rPr>
          <w:rFonts w:hint="eastAsia" w:ascii="Times New Roman" w:hAnsi="Times New Roman" w:eastAsia="方正小标宋简体" w:cs="Times New Roman"/>
          <w:sz w:val="36"/>
          <w:szCs w:val="36"/>
        </w:rPr>
        <w:t>东丽区“十四五”时期工业重大项目列表</w:t>
      </w:r>
    </w:p>
    <w:p>
      <w:pPr>
        <w:widowControl/>
        <w:snapToGrid w:val="0"/>
        <w:spacing w:line="400" w:lineRule="exact"/>
        <w:jc w:val="right"/>
        <w:textAlignment w:val="baseline"/>
        <w:rPr>
          <w:rFonts w:ascii="Times New Roman" w:hAnsi="Times New Roman" w:cs="Times New Roman"/>
          <w:b/>
          <w:bCs/>
          <w:kern w:val="0"/>
          <w:sz w:val="21"/>
          <w:szCs w:val="21"/>
        </w:rPr>
      </w:pPr>
      <w:r>
        <w:rPr>
          <w:rFonts w:hint="eastAsia" w:ascii="Times New Roman" w:hAnsi="Times New Roman" w:cs="Times New Roman"/>
          <w:b/>
          <w:bCs/>
          <w:kern w:val="0"/>
          <w:sz w:val="21"/>
          <w:szCs w:val="21"/>
        </w:rPr>
        <w:t>单位：亿元</w:t>
      </w:r>
    </w:p>
    <w:tbl>
      <w:tblPr>
        <w:tblStyle w:val="16"/>
        <w:tblW w:w="16061" w:type="dxa"/>
        <w:jc w:val="center"/>
        <w:tblLayout w:type="autofit"/>
        <w:tblCellMar>
          <w:top w:w="0" w:type="dxa"/>
          <w:left w:w="108" w:type="dxa"/>
          <w:bottom w:w="0" w:type="dxa"/>
          <w:right w:w="108" w:type="dxa"/>
        </w:tblCellMar>
      </w:tblPr>
      <w:tblGrid>
        <w:gridCol w:w="818"/>
        <w:gridCol w:w="1899"/>
        <w:gridCol w:w="6581"/>
        <w:gridCol w:w="906"/>
        <w:gridCol w:w="1403"/>
        <w:gridCol w:w="1231"/>
        <w:gridCol w:w="1397"/>
        <w:gridCol w:w="1826"/>
      </w:tblGrid>
      <w:tr>
        <w:tblPrEx>
          <w:tblCellMar>
            <w:top w:w="0" w:type="dxa"/>
            <w:left w:w="108" w:type="dxa"/>
            <w:bottom w:w="0" w:type="dxa"/>
            <w:right w:w="108" w:type="dxa"/>
          </w:tblCellMar>
        </w:tblPrEx>
        <w:trPr>
          <w:trHeight w:val="588" w:hRule="atLeast"/>
          <w:jc w:val="center"/>
        </w:trPr>
        <w:tc>
          <w:tcPr>
            <w:tcW w:w="8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Times New Roman" w:cs="Times New Roman"/>
                <w:b/>
                <w:bCs/>
                <w:kern w:val="0"/>
                <w:sz w:val="21"/>
                <w:szCs w:val="21"/>
              </w:rPr>
            </w:pPr>
            <w:r>
              <w:rPr>
                <w:rFonts w:hint="eastAsia" w:ascii="仿宋_GB2312" w:hAnsi="Times New Roman" w:cs="Times New Roman"/>
                <w:b/>
                <w:bCs/>
                <w:kern w:val="0"/>
                <w:sz w:val="21"/>
                <w:szCs w:val="21"/>
              </w:rPr>
              <w:t>序号</w:t>
            </w:r>
          </w:p>
        </w:tc>
        <w:tc>
          <w:tcPr>
            <w:tcW w:w="1899"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项目名称</w:t>
            </w:r>
          </w:p>
        </w:tc>
        <w:tc>
          <w:tcPr>
            <w:tcW w:w="658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主要建设内容和生产规模</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预计总投资</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其中：“十四五”时期投资</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建设起止年限</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政府投资或社会投资</w:t>
            </w:r>
          </w:p>
        </w:tc>
        <w:tc>
          <w:tcPr>
            <w:tcW w:w="18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项目法人（筹建）单位</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一、战略性新兴产业</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（一）高端装备制造</w:t>
            </w:r>
          </w:p>
        </w:tc>
      </w:tr>
      <w:tr>
        <w:tblPrEx>
          <w:tblCellMar>
            <w:top w:w="0" w:type="dxa"/>
            <w:left w:w="108" w:type="dxa"/>
            <w:bottom w:w="0" w:type="dxa"/>
            <w:right w:w="108" w:type="dxa"/>
          </w:tblCellMar>
        </w:tblPrEx>
        <w:trPr>
          <w:trHeight w:val="676"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永磁直驱系统系列产品生产项目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项目占地40亩，将生产永磁直驱电机、永磁联轴器、永磁直驱电动滚筒等产品，产品主要应用于煤矿、钢铁、水利等行业</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乾顺永磁（天津）科技发展有限公司</w:t>
            </w:r>
          </w:p>
        </w:tc>
      </w:tr>
      <w:tr>
        <w:tblPrEx>
          <w:tblCellMar>
            <w:top w:w="0" w:type="dxa"/>
            <w:left w:w="108" w:type="dxa"/>
            <w:bottom w:w="0" w:type="dxa"/>
            <w:right w:w="108" w:type="dxa"/>
          </w:tblCellMar>
        </w:tblPrEx>
        <w:trPr>
          <w:trHeight w:val="7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天津沃可达电力设备有限公司科技园项目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项目占地20亩，将生产电力互感器及电力设备和脊柱手术开路机器人等产品。预计达产后实现年销售收入1亿元，税收1000万元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天津沃可达电力设备有限公司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中航装甲产业基地项目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建设6万平方米的生产车间和研发办公楼。拟生产重型燃气轮机配套、陶瓷型芯、防弹装甲复合材料和航空发动机关键部件。项目运营5年后</w:t>
            </w:r>
            <w:r>
              <w:rPr>
                <w:rFonts w:hint="eastAsia" w:ascii="Times New Roman" w:hAnsi="Times New Roman" w:cs="Times New Roman"/>
                <w:kern w:val="0"/>
                <w:sz w:val="21"/>
                <w:szCs w:val="21"/>
              </w:rPr>
              <w:t>，</w:t>
            </w:r>
            <w:r>
              <w:rPr>
                <w:rFonts w:ascii="Times New Roman" w:hAnsi="Times New Roman" w:cs="Times New Roman"/>
                <w:kern w:val="0"/>
                <w:sz w:val="21"/>
                <w:szCs w:val="21"/>
              </w:rPr>
              <w:t>预计可实现年营收8.05亿元</w:t>
            </w:r>
            <w:r>
              <w:rPr>
                <w:rFonts w:hint="eastAsia" w:ascii="Times New Roman" w:hAnsi="Times New Roman" w:cs="Times New Roman"/>
                <w:kern w:val="0"/>
                <w:sz w:val="21"/>
                <w:szCs w:val="21"/>
              </w:rPr>
              <w:t>，</w:t>
            </w:r>
            <w:r>
              <w:rPr>
                <w:rFonts w:ascii="Times New Roman" w:hAnsi="Times New Roman" w:cs="Times New Roman"/>
                <w:kern w:val="0"/>
                <w:sz w:val="21"/>
                <w:szCs w:val="21"/>
              </w:rPr>
              <w:t>年税收1.8亿元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中航装甲科技有限公司</w:t>
            </w:r>
          </w:p>
        </w:tc>
      </w:tr>
      <w:tr>
        <w:tblPrEx>
          <w:tblCellMar>
            <w:top w:w="0" w:type="dxa"/>
            <w:left w:w="108" w:type="dxa"/>
            <w:bottom w:w="0" w:type="dxa"/>
            <w:right w:w="108" w:type="dxa"/>
          </w:tblCellMar>
        </w:tblPrEx>
        <w:trPr>
          <w:trHeight w:val="68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和治友德研发生产总部基地</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项目投资1.6亿元，建设2.3万平方米厂房，主要建设厂房研发、生产大健康相关产品，设立全球运营总部</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天津和治友德科技发展有限公司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自动化电动机设备研发组装项目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项目占地30.8亩，总投资1亿元，产品应用于工程机械、船舶、石油化工领域。达产后预计实现产值8000万元，税收1600万元。达产后预计实现产值3.7亿元，税收2000万元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天津春利达新能源科技发展有限公司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大宗物料清洁运输专用铁路建设项目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新建1台铁路单翻机、1台铁路双翻机、接卸管带机系统及其他配套设施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699"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盈迦迈精密零件制造总部基地项目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拟需求17亩土地进行盈迦迈二期项目的投资建设。项目建成后年产值将超过1.3亿元，税收将达到680万元以上</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0.7</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0.7</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盈迦迈科技发展（天津）有限公司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中国远望无人机项目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无人机产业园项目占地</w:t>
            </w:r>
            <w:r>
              <w:rPr>
                <w:rFonts w:ascii="Times New Roman" w:hAnsi="Times New Roman" w:cs="Times New Roman"/>
                <w:kern w:val="0"/>
                <w:sz w:val="21"/>
                <w:szCs w:val="21"/>
              </w:rPr>
              <w:t>9848.8</w:t>
            </w:r>
            <w:r>
              <w:rPr>
                <w:rFonts w:hint="eastAsia" w:ascii="Times New Roman" w:hAnsi="Times New Roman" w:cs="Times New Roman"/>
                <w:kern w:val="0"/>
                <w:sz w:val="21"/>
                <w:szCs w:val="21"/>
              </w:rPr>
              <w:t>平方米，申报总建筑面积</w:t>
            </w:r>
            <w:r>
              <w:rPr>
                <w:rFonts w:ascii="Times New Roman" w:hAnsi="Times New Roman" w:cs="Times New Roman"/>
                <w:kern w:val="0"/>
                <w:sz w:val="21"/>
                <w:szCs w:val="21"/>
              </w:rPr>
              <w:t>22697.6</w:t>
            </w:r>
            <w:r>
              <w:rPr>
                <w:rFonts w:hint="eastAsia" w:ascii="Times New Roman" w:hAnsi="Times New Roman" w:cs="Times New Roman"/>
                <w:kern w:val="0"/>
                <w:sz w:val="21"/>
                <w:szCs w:val="21"/>
              </w:rPr>
              <w:t>平方米，其中包括地上</w:t>
            </w:r>
            <w:r>
              <w:rPr>
                <w:rFonts w:ascii="Times New Roman" w:hAnsi="Times New Roman" w:cs="Times New Roman"/>
                <w:kern w:val="0"/>
                <w:sz w:val="21"/>
                <w:szCs w:val="21"/>
              </w:rPr>
              <w:t>19697.6</w:t>
            </w:r>
            <w:r>
              <w:rPr>
                <w:rFonts w:hint="eastAsia" w:ascii="Times New Roman" w:hAnsi="Times New Roman" w:cs="Times New Roman"/>
                <w:kern w:val="0"/>
                <w:sz w:val="21"/>
                <w:szCs w:val="21"/>
              </w:rPr>
              <w:t>平方米，地下</w:t>
            </w:r>
            <w:r>
              <w:rPr>
                <w:rFonts w:ascii="Times New Roman" w:hAnsi="Times New Roman" w:cs="Times New Roman"/>
                <w:kern w:val="0"/>
                <w:sz w:val="21"/>
                <w:szCs w:val="21"/>
              </w:rPr>
              <w:t>3000</w:t>
            </w:r>
            <w:r>
              <w:rPr>
                <w:rFonts w:hint="eastAsia" w:ascii="Times New Roman" w:hAnsi="Times New Roman" w:cs="Times New Roman"/>
                <w:kern w:val="0"/>
                <w:sz w:val="21"/>
                <w:szCs w:val="21"/>
              </w:rPr>
              <w:t>平方米</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021</w:t>
            </w:r>
            <w:r>
              <w:rPr>
                <w:rFonts w:hint="eastAsia" w:ascii="Times New Roman" w:hAnsi="Times New Roman" w:cs="Times New Roman"/>
                <w:kern w:val="0"/>
                <w:sz w:val="21"/>
                <w:szCs w:val="21"/>
              </w:rPr>
              <w:t>-</w:t>
            </w:r>
            <w:r>
              <w:rPr>
                <w:rFonts w:ascii="Times New Roman" w:hAnsi="Times New Roman" w:cs="Times New Roman"/>
                <w:kern w:val="0"/>
                <w:sz w:val="21"/>
                <w:szCs w:val="21"/>
              </w:rPr>
              <w:t>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中国远望通信有限公司</w:t>
            </w:r>
          </w:p>
        </w:tc>
      </w:tr>
      <w:tr>
        <w:tblPrEx>
          <w:tblCellMar>
            <w:top w:w="0" w:type="dxa"/>
            <w:left w:w="108" w:type="dxa"/>
            <w:bottom w:w="0" w:type="dxa"/>
            <w:right w:w="108" w:type="dxa"/>
          </w:tblCellMar>
        </w:tblPrEx>
        <w:trPr>
          <w:trHeight w:val="68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青岛斯坦德北方总部基地项目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建设斯坦德检测北方总部，从事检验检测、技术研发和计量认证技术服务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r>
              <w:rPr>
                <w:rFonts w:ascii="Times New Roman" w:hAnsi="Times New Roman" w:cs="Times New Roman"/>
                <w:kern w:val="0"/>
                <w:sz w:val="21"/>
                <w:szCs w:val="21"/>
              </w:rPr>
              <w:t>.5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青岛斯坦德检测股份有限公司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中台精密机械项目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开展机械零件、零部件加工、建筑材料生产专用机械制造；泵及真空设备制造等业务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中台精密机械（天津）有限公司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泽昊起重设备项目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开展机械电子设备、五金工具、电工器材批发兼零售，起重设备销售、钢结构销售等业务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天津泽昊起重设备有限公司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天津海特传动机械有限公司工业机器人生产制造项目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开展直线导轨、滚珠等高济宁杜直线传动系列产品以及模组机器人、桁架机器人等产品的研发及制造</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天津海特传动机械有限公司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垠坤电子信息智能制造创新园项目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以电子信息智能制造为核心，引进电子信息制造产业、智能装备制造产业、工业互联网、工业软件等优质企业</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天津垠瑞万合智能科技有限公司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5G</w:t>
            </w:r>
            <w:r>
              <w:rPr>
                <w:rFonts w:hint="eastAsia" w:ascii="Times New Roman" w:hAnsi="Times New Roman" w:cs="Times New Roman"/>
                <w:kern w:val="0"/>
                <w:sz w:val="21"/>
                <w:szCs w:val="21"/>
              </w:rPr>
              <w:t>物联网智能空气开关研发生产基地项目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主要建设</w:t>
            </w:r>
            <w:r>
              <w:rPr>
                <w:rFonts w:ascii="Times New Roman" w:hAnsi="Times New Roman" w:cs="Times New Roman"/>
                <w:kern w:val="0"/>
                <w:sz w:val="21"/>
                <w:szCs w:val="21"/>
              </w:rPr>
              <w:t>5G</w:t>
            </w:r>
            <w:r>
              <w:rPr>
                <w:rFonts w:hint="eastAsia" w:ascii="Times New Roman" w:hAnsi="Times New Roman" w:cs="Times New Roman"/>
                <w:kern w:val="0"/>
                <w:sz w:val="21"/>
                <w:szCs w:val="21"/>
              </w:rPr>
              <w:t>物联网空气开关、新产品研发中心、生产基地、科技数字化运维调度中心及培训基地</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天津中电华利电器科技集团有限公司</w:t>
            </w:r>
          </w:p>
        </w:tc>
      </w:tr>
      <w:tr>
        <w:tblPrEx>
          <w:tblCellMar>
            <w:top w:w="0" w:type="dxa"/>
            <w:left w:w="108" w:type="dxa"/>
            <w:bottom w:w="0" w:type="dxa"/>
            <w:right w:w="108" w:type="dxa"/>
          </w:tblCellMar>
        </w:tblPrEx>
        <w:trPr>
          <w:trHeight w:val="646"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富士达年增产</w:t>
            </w:r>
            <w:r>
              <w:rPr>
                <w:rFonts w:ascii="Times New Roman" w:hAnsi="Times New Roman" w:cs="Times New Roman"/>
                <w:kern w:val="0"/>
                <w:sz w:val="21"/>
                <w:szCs w:val="21"/>
              </w:rPr>
              <w:t>100</w:t>
            </w:r>
            <w:r>
              <w:rPr>
                <w:rFonts w:hint="eastAsia" w:ascii="Times New Roman" w:hAnsi="Times New Roman" w:cs="Times New Roman"/>
                <w:kern w:val="0"/>
                <w:sz w:val="21"/>
                <w:szCs w:val="21"/>
              </w:rPr>
              <w:t>万辆高端自行车智能化生产线项目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富士达公司进行工厂智能化升级和改造，同时新增机器人、冲床等高端设备及生产线，服务器系统，升级开发新的管理系统</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天津富士达自行车工业有限公司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爱思达航天科技天津总部基地项目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新建材料研发车间、产品研制车间、型号批产车间等，形成多功能高科技轻质化结构件研发研制批产厂区</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天津爱思达航天科技有限公司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自动化电动机设备研发组装项目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新建项目厂房、办公楼等设施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天津春利达新能源科技发展有限公司</w:t>
            </w:r>
          </w:p>
        </w:tc>
      </w:tr>
      <w:tr>
        <w:tblPrEx>
          <w:tblCellMar>
            <w:top w:w="0" w:type="dxa"/>
            <w:left w:w="108" w:type="dxa"/>
            <w:bottom w:w="0" w:type="dxa"/>
            <w:right w:w="108" w:type="dxa"/>
          </w:tblCellMar>
        </w:tblPrEx>
        <w:trPr>
          <w:trHeight w:val="545"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毫米波雷达研发中心建设项目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主要包括购置试验数据中心、微波阵列、中央处理器</w:t>
            </w:r>
            <w:r>
              <w:rPr>
                <w:rFonts w:ascii="Times New Roman" w:hAnsi="Times New Roman" w:cs="Times New Roman"/>
                <w:kern w:val="0"/>
                <w:sz w:val="21"/>
                <w:szCs w:val="21"/>
              </w:rPr>
              <w:t>IP</w:t>
            </w:r>
            <w:r>
              <w:rPr>
                <w:rFonts w:hint="eastAsia" w:ascii="Times New Roman" w:hAnsi="Times New Roman" w:cs="Times New Roman"/>
                <w:kern w:val="0"/>
                <w:sz w:val="21"/>
                <w:szCs w:val="21"/>
              </w:rPr>
              <w:t>及外围总线、信号分析仪等设计研发设备、相关技术软件以及配套附属设备设施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理工雷科电子（天津）有限公司</w:t>
            </w:r>
          </w:p>
        </w:tc>
      </w:tr>
      <w:tr>
        <w:tblPrEx>
          <w:tblCellMar>
            <w:top w:w="0" w:type="dxa"/>
            <w:left w:w="108" w:type="dxa"/>
            <w:bottom w:w="0" w:type="dxa"/>
            <w:right w:w="108" w:type="dxa"/>
          </w:tblCellMar>
        </w:tblPrEx>
        <w:trPr>
          <w:trHeight w:val="54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天津高温合金国际宇航产品线</w:t>
            </w:r>
            <w:r>
              <w:rPr>
                <w:rFonts w:ascii="Times New Roman" w:hAnsi="Times New Roman" w:cs="Times New Roman"/>
                <w:kern w:val="0"/>
                <w:sz w:val="21"/>
                <w:szCs w:val="21"/>
              </w:rPr>
              <w:t>(</w:t>
            </w:r>
            <w:r>
              <w:rPr>
                <w:rFonts w:hint="eastAsia" w:ascii="Times New Roman" w:hAnsi="Times New Roman" w:cs="Times New Roman"/>
                <w:kern w:val="0"/>
                <w:sz w:val="21"/>
                <w:szCs w:val="21"/>
              </w:rPr>
              <w:t>一期</w:t>
            </w:r>
            <w:r>
              <w:rPr>
                <w:rFonts w:ascii="Times New Roman" w:hAnsi="Times New Roman" w:cs="Times New Roman"/>
                <w:kern w:val="0"/>
                <w:sz w:val="21"/>
                <w:szCs w:val="21"/>
              </w:rPr>
              <w:t>)</w:t>
            </w:r>
            <w:r>
              <w:rPr>
                <w:rFonts w:hint="eastAsia" w:ascii="Times New Roman" w:hAnsi="Times New Roman" w:cs="Times New Roman"/>
                <w:kern w:val="0"/>
                <w:sz w:val="21"/>
                <w:szCs w:val="21"/>
              </w:rPr>
              <w:t>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依托北京航空材料研究院，开展航空发动机用高温合金结构制件和涡轮叶片的生产，并为国内外应用单位提供产品及技术服务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天津宇航金属制品加工有限公司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（二</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新一代汽车技术</w:t>
            </w:r>
          </w:p>
        </w:tc>
      </w:tr>
      <w:tr>
        <w:tblPrEx>
          <w:tblCellMar>
            <w:top w:w="0" w:type="dxa"/>
            <w:left w:w="108" w:type="dxa"/>
            <w:bottom w:w="0" w:type="dxa"/>
            <w:right w:w="108" w:type="dxa"/>
          </w:tblCellMar>
        </w:tblPrEx>
        <w:trPr>
          <w:trHeight w:val="64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bookmarkStart w:id="149" w:name="_Hlk69921607"/>
            <w:r>
              <w:rPr>
                <w:rFonts w:ascii="Times New Roman" w:hAnsi="Times New Roman" w:cs="Times New Roman"/>
                <w:kern w:val="0"/>
                <w:sz w:val="21"/>
                <w:szCs w:val="21"/>
              </w:rPr>
              <w:t>电装电机新能源汽车驱动电机及逆变器项目</w:t>
            </w:r>
            <w:bookmarkEnd w:id="149"/>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该项目将利用东丽开发区57亩土地，</w:t>
            </w:r>
            <w:r>
              <w:rPr>
                <w:rFonts w:hint="eastAsia" w:ascii="仿宋_GB2312" w:hAnsi="Times New Roman" w:cs="Times New Roman"/>
                <w:kern w:val="0"/>
                <w:sz w:val="21"/>
                <w:szCs w:val="21"/>
              </w:rPr>
              <w:t>建设“新能源汽车驱动电机及逆变器项目”</w:t>
            </w:r>
            <w:r>
              <w:rPr>
                <w:rFonts w:hint="eastAsia" w:ascii="Times New Roman" w:hAnsi="Times New Roman" w:cs="Times New Roman"/>
                <w:kern w:val="0"/>
                <w:sz w:val="21"/>
                <w:szCs w:val="21"/>
              </w:rPr>
              <w:t>，</w:t>
            </w:r>
            <w:r>
              <w:rPr>
                <w:rFonts w:ascii="Times New Roman" w:hAnsi="Times New Roman" w:cs="Times New Roman"/>
                <w:kern w:val="0"/>
                <w:sz w:val="21"/>
                <w:szCs w:val="21"/>
              </w:rPr>
              <w:t>预计产值可达百亿元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天津电装电机有限公司</w:t>
            </w:r>
          </w:p>
        </w:tc>
      </w:tr>
      <w:tr>
        <w:tblPrEx>
          <w:tblCellMar>
            <w:top w:w="0" w:type="dxa"/>
            <w:left w:w="108" w:type="dxa"/>
            <w:bottom w:w="0" w:type="dxa"/>
            <w:right w:w="108" w:type="dxa"/>
          </w:tblCellMar>
        </w:tblPrEx>
        <w:trPr>
          <w:trHeight w:val="835"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中汽中心新能源汽车检测中心项目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建设覆盖燃料电池汽车从整车级到原材料级全系统测试能力的运营基地，建设加氢站、综合实验楼等相关设施，开展燃料电池整车、电堆、动力电池和电驱动</w:t>
            </w:r>
            <w:r>
              <w:rPr>
                <w:rFonts w:hint="eastAsia" w:ascii="Times New Roman" w:hAnsi="Times New Roman" w:cs="Times New Roman"/>
                <w:kern w:val="0"/>
                <w:sz w:val="21"/>
                <w:szCs w:val="21"/>
              </w:rPr>
              <w:t>等</w:t>
            </w:r>
            <w:r>
              <w:rPr>
                <w:rFonts w:ascii="Times New Roman" w:hAnsi="Times New Roman" w:cs="Times New Roman"/>
                <w:kern w:val="0"/>
                <w:sz w:val="21"/>
                <w:szCs w:val="21"/>
              </w:rPr>
              <w:t>检测业务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中国汽车技术研究中心有限公司</w:t>
            </w:r>
          </w:p>
        </w:tc>
      </w:tr>
      <w:tr>
        <w:tblPrEx>
          <w:tblCellMar>
            <w:top w:w="0" w:type="dxa"/>
            <w:left w:w="108" w:type="dxa"/>
            <w:bottom w:w="0" w:type="dxa"/>
            <w:right w:w="108" w:type="dxa"/>
          </w:tblCellMar>
        </w:tblPrEx>
        <w:trPr>
          <w:trHeight w:val="83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自动驾驶系统开发项目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本项目主要购置测试用车辆以及研发专用电脑、应用传感器等研发设备。用于开发符合自动驾驶需求的无人车辆平台、开发适应正常城市交通流的L4级自动驾驶系统、以及编队自动驾驶系统等技术</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w:t>
            </w:r>
            <w:r>
              <w:rPr>
                <w:rFonts w:ascii="Times New Roman" w:hAnsi="Times New Roman" w:cs="Times New Roman"/>
                <w:kern w:val="0"/>
                <w:sz w:val="21"/>
                <w:szCs w:val="21"/>
              </w:rPr>
              <w:t>-</w:t>
            </w:r>
            <w:r>
              <w:rPr>
                <w:rFonts w:hint="eastAsia" w:ascii="Times New Roman" w:hAnsi="Times New Roman" w:cs="Times New Roman"/>
                <w:kern w:val="0"/>
                <w:sz w:val="21"/>
                <w:szCs w:val="21"/>
              </w:rPr>
              <w:t>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奥特贝睿（天津）科技有限公司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（三</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新材料</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永昌焊丝高强高韧特种焊接材料研发及产业化</w:t>
            </w:r>
            <w:r>
              <w:rPr>
                <w:rFonts w:hint="eastAsia" w:ascii="Times New Roman" w:hAnsi="Times New Roman" w:cs="Times New Roman"/>
                <w:kern w:val="0"/>
                <w:sz w:val="21"/>
                <w:szCs w:val="21"/>
              </w:rPr>
              <w:t>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拟改造现有生产线，组建高强高韧特种焊材研发生产线，实现对高强高韧特种新型焊材的研发和全流程智能化自动化加工生产</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天津市永昌焊丝有限公司</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碳纳米硅复合防火玻璃及系统成套生产线二期项目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投资续建年产45万平米碳纳米硅复合防火玻璃及系统成套生产线一条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天津市思特玻璃有限公司</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天津明日宇航金属结构件加工生产线项目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购置金属结构件加工生产线设备</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0.24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020</w:t>
            </w:r>
            <w:r>
              <w:rPr>
                <w:rFonts w:hint="eastAsia" w:ascii="Times New Roman" w:hAnsi="Times New Roman" w:cs="Times New Roman"/>
                <w:kern w:val="0"/>
                <w:sz w:val="21"/>
                <w:szCs w:val="21"/>
              </w:rPr>
              <w:t>-</w:t>
            </w:r>
            <w:r>
              <w:rPr>
                <w:rFonts w:ascii="Times New Roman" w:hAnsi="Times New Roman" w:cs="Times New Roman"/>
                <w:kern w:val="0"/>
                <w:sz w:val="21"/>
                <w:szCs w:val="21"/>
              </w:rPr>
              <w:t>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天津明日宇航新材料科技有限公司</w:t>
            </w:r>
          </w:p>
        </w:tc>
      </w:tr>
      <w:tr>
        <w:tblPrEx>
          <w:tblCellMar>
            <w:top w:w="0" w:type="dxa"/>
            <w:left w:w="108" w:type="dxa"/>
            <w:bottom w:w="0" w:type="dxa"/>
            <w:right w:w="108" w:type="dxa"/>
          </w:tblCellMar>
        </w:tblPrEx>
        <w:trPr>
          <w:trHeight w:val="84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石墨烯复合导电材料生产线建设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项目计划改造现有生产厂房，建设高端锂离子电池用石墨烯复合导电材料生产线</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天津艾克凯胜石墨烯科技有限公司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（四</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生物医药</w:t>
            </w:r>
          </w:p>
        </w:tc>
      </w:tr>
      <w:tr>
        <w:tblPrEx>
          <w:tblCellMar>
            <w:top w:w="0" w:type="dxa"/>
            <w:left w:w="108" w:type="dxa"/>
            <w:bottom w:w="0" w:type="dxa"/>
            <w:right w:w="108" w:type="dxa"/>
          </w:tblCellMar>
        </w:tblPrEx>
        <w:trPr>
          <w:trHeight w:val="558"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中核安科锐放射治疗系统生产项目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项目购置RADIXACT螺旋断层放射治疗系统组装设备、2套检测设备及相应的环保设施，进口1台RADIXACT系统的全部组件RADIXACT整机2台</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1.74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中核安科锐（天津）医疗科技有限责任公司</w:t>
            </w:r>
          </w:p>
        </w:tc>
      </w:tr>
      <w:tr>
        <w:tblPrEx>
          <w:tblCellMar>
            <w:top w:w="0" w:type="dxa"/>
            <w:left w:w="108" w:type="dxa"/>
            <w:bottom w:w="0" w:type="dxa"/>
            <w:right w:w="108" w:type="dxa"/>
          </w:tblCellMar>
        </w:tblPrEx>
        <w:trPr>
          <w:trHeight w:val="829"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英诺美迪国际医疗器械产业园项目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打造集研发办公楼、GMP洁净生产车间、研发实验室为一体的高端医疗器械产业孵化基地，重点引进PET/CT项目和以瑞士为主的海外高端医疗器械项目</w:t>
            </w:r>
            <w:r>
              <w:rPr>
                <w:rFonts w:hint="eastAsia" w:ascii="Times New Roman" w:hAnsi="Times New Roman" w:cs="Times New Roman"/>
                <w:kern w:val="0"/>
                <w:sz w:val="21"/>
                <w:szCs w:val="21"/>
              </w:rPr>
              <w:t>，</w:t>
            </w:r>
            <w:r>
              <w:rPr>
                <w:rFonts w:ascii="Times New Roman" w:hAnsi="Times New Roman" w:cs="Times New Roman"/>
                <w:kern w:val="0"/>
                <w:sz w:val="21"/>
                <w:szCs w:val="21"/>
              </w:rPr>
              <w:t>项目建成达产后年税收将不低于2000万元</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2.3</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2.3</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天津市达武投资有限公司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鸿霖生物正压防护服项目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生产集多功能化、复合化和系统化于一体的新型智能全身防护装备</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天津泓霖生物科技有限公司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（五</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其他</w:t>
            </w:r>
          </w:p>
        </w:tc>
      </w:tr>
      <w:tr>
        <w:tblPrEx>
          <w:tblCellMar>
            <w:top w:w="0" w:type="dxa"/>
            <w:left w:w="108" w:type="dxa"/>
            <w:bottom w:w="0" w:type="dxa"/>
            <w:right w:w="108" w:type="dxa"/>
          </w:tblCellMar>
        </w:tblPrEx>
        <w:trPr>
          <w:trHeight w:val="77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烟厂三期技改</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建设用地为天津卷烟厂老厂区自有土地，占地面积约175亩，主要建设内容新建片烟醇化库、叉车及库区公用工程用房等</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5.6</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5.0</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2021-未知</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天津卷烟厂</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天津中民筑友智造科技有限公司厂房及办公楼项目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w:t>
            </w:r>
            <w:r>
              <w:rPr>
                <w:rFonts w:ascii="Times New Roman" w:hAnsi="Times New Roman" w:cs="Times New Roman"/>
                <w:kern w:val="0"/>
                <w:sz w:val="21"/>
                <w:szCs w:val="21"/>
              </w:rPr>
              <w:t>2.6</w:t>
            </w:r>
            <w:r>
              <w:rPr>
                <w:rFonts w:hint="eastAsia" w:ascii="Times New Roman" w:hAnsi="Times New Roman" w:cs="Times New Roman"/>
                <w:kern w:val="0"/>
                <w:sz w:val="21"/>
                <w:szCs w:val="21"/>
              </w:rPr>
              <w:t>万</w:t>
            </w:r>
            <w:r>
              <w:rPr>
                <w:rFonts w:ascii="Times New Roman" w:hAnsi="Times New Roman" w:cs="Times New Roman"/>
                <w:kern w:val="0"/>
                <w:sz w:val="21"/>
                <w:szCs w:val="21"/>
              </w:rPr>
              <w:t>m</w:t>
            </w:r>
            <w:r>
              <w:rPr>
                <w:rFonts w:ascii="Times New Roman" w:hAnsi="Times New Roman" w:eastAsia="Segoe UI Symbol" w:cs="Times New Roman"/>
                <w:kern w:val="0"/>
                <w:sz w:val="21"/>
                <w:szCs w:val="21"/>
                <w:vertAlign w:val="superscript"/>
              </w:rPr>
              <w:t>2</w:t>
            </w:r>
            <w:r>
              <w:rPr>
                <w:rFonts w:hint="eastAsia" w:ascii="Times New Roman" w:hAnsi="Times New Roman" w:cs="Times New Roman"/>
                <w:kern w:val="0"/>
                <w:sz w:val="21"/>
                <w:szCs w:val="21"/>
              </w:rPr>
              <w:t>厂房及办公楼，进</w:t>
            </w:r>
            <w:r>
              <w:rPr>
                <w:rFonts w:ascii="Times New Roman" w:hAnsi="Times New Roman" w:cs="Times New Roman"/>
                <w:kern w:val="0"/>
                <w:sz w:val="21"/>
                <w:szCs w:val="21"/>
              </w:rPr>
              <w:t>行装配建筑构件的生产制造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天津中民筑友智造科技有限公司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智能电网研发中心及产业基地</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建设1-4号研发车间及购置相关设备</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仿宋_GB2312" w:hAnsi="Times New Roman" w:cs="Times New Roman"/>
                <w:kern w:val="0"/>
                <w:sz w:val="21"/>
                <w:szCs w:val="21"/>
              </w:rPr>
              <w:t>华电智网</w:t>
            </w:r>
            <w:r>
              <w:rPr>
                <w:rFonts w:ascii="仿宋_GB2312" w:hAnsi="Times New Roman" w:cs="Times New Roman"/>
                <w:kern w:val="0"/>
                <w:sz w:val="21"/>
                <w:szCs w:val="21"/>
              </w:rPr>
              <w:t>(</w:t>
            </w:r>
            <w:r>
              <w:rPr>
                <w:rFonts w:hint="eastAsia" w:ascii="仿宋_GB2312" w:hAnsi="Times New Roman" w:cs="Times New Roman"/>
                <w:kern w:val="0"/>
                <w:sz w:val="21"/>
                <w:szCs w:val="21"/>
              </w:rPr>
              <w:t>天津</w:t>
            </w:r>
            <w:r>
              <w:rPr>
                <w:rFonts w:ascii="仿宋_GB2312" w:hAnsi="Times New Roman" w:cs="Times New Roman"/>
                <w:kern w:val="0"/>
                <w:sz w:val="21"/>
                <w:szCs w:val="21"/>
              </w:rPr>
              <w:t>)</w:t>
            </w:r>
            <w:r>
              <w:rPr>
                <w:rFonts w:hint="eastAsia" w:ascii="仿宋_GB2312" w:hAnsi="Times New Roman" w:cs="Times New Roman"/>
                <w:kern w:val="0"/>
                <w:sz w:val="21"/>
                <w:szCs w:val="21"/>
              </w:rPr>
              <w:t>科</w:t>
            </w:r>
            <w:r>
              <w:rPr>
                <w:rFonts w:ascii="Times New Roman" w:hAnsi="Times New Roman" w:cs="Times New Roman"/>
                <w:kern w:val="0"/>
                <w:sz w:val="21"/>
                <w:szCs w:val="21"/>
              </w:rPr>
              <w:t>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瑞益瑞美新建厂房项目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生产以乳酸菌为主的系列微生态制剂产品</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天津瑞益瑞美生物技术有限公司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雷鸣科技环保水处理材料研发运营总部项目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项目拟需求约</w:t>
            </w:r>
            <w:r>
              <w:rPr>
                <w:rFonts w:ascii="Times New Roman" w:hAnsi="Times New Roman" w:cs="Times New Roman"/>
                <w:kern w:val="0"/>
                <w:sz w:val="21"/>
                <w:szCs w:val="21"/>
              </w:rPr>
              <w:t>26亩土地，总投资额1.15亿，用于新型地表水治理纳米材料及设备的研发实验中心、展示中心及总部办公的建设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Times New Roman" w:hAnsi="Times New Roman" w:cs="Times New Roman"/>
                <w:kern w:val="0"/>
                <w:sz w:val="21"/>
                <w:szCs w:val="21"/>
              </w:rPr>
              <w:t>天津市雷鸣生态科技有限公司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联东</w:t>
            </w:r>
            <w:r>
              <w:rPr>
                <w:rFonts w:ascii="Times New Roman" w:hAnsi="Times New Roman" w:cs="Times New Roman"/>
                <w:kern w:val="0"/>
                <w:sz w:val="21"/>
                <w:szCs w:val="21"/>
              </w:rPr>
              <w:t>U</w:t>
            </w:r>
            <w:r>
              <w:rPr>
                <w:rFonts w:hint="eastAsia" w:ascii="Times New Roman" w:hAnsi="Times New Roman" w:cs="Times New Roman"/>
                <w:kern w:val="0"/>
                <w:sz w:val="21"/>
                <w:szCs w:val="21"/>
              </w:rPr>
              <w:t>谷</w:t>
            </w:r>
            <w:r>
              <w:rPr>
                <w:rFonts w:ascii="Times New Roman" w:hAnsi="Times New Roman" w:cs="Times New Roman"/>
                <w:kern w:val="0"/>
                <w:sz w:val="21"/>
                <w:szCs w:val="21"/>
              </w:rPr>
              <w:t>·</w:t>
            </w:r>
            <w:r>
              <w:rPr>
                <w:rFonts w:hint="eastAsia" w:ascii="Times New Roman" w:hAnsi="Times New Roman" w:cs="Times New Roman"/>
                <w:kern w:val="0"/>
                <w:sz w:val="21"/>
                <w:szCs w:val="21"/>
              </w:rPr>
              <w:t>智能制造科创园项目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打造集标准化厂房、研发中试楼、人工智能创新中心、技术服务中心、工业设计中心、知识产权服务中心等业态为一体的多元化产业园区，打天津东丽信息技术产业集聚高地</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北京联东投资（集团）有限公司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中汽研主院区扩建工程</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占地</w:t>
            </w:r>
            <w:r>
              <w:rPr>
                <w:rFonts w:ascii="Times New Roman" w:hAnsi="Times New Roman" w:cs="Times New Roman"/>
                <w:kern w:val="0"/>
                <w:sz w:val="21"/>
                <w:szCs w:val="21"/>
              </w:rPr>
              <w:t>124</w:t>
            </w:r>
            <w:r>
              <w:rPr>
                <w:rFonts w:hint="eastAsia" w:ascii="Times New Roman" w:hAnsi="Times New Roman" w:cs="Times New Roman"/>
                <w:kern w:val="0"/>
                <w:sz w:val="21"/>
                <w:szCs w:val="21"/>
              </w:rPr>
              <w:t>亩，总建筑面积</w:t>
            </w:r>
            <w:r>
              <w:rPr>
                <w:rFonts w:ascii="Times New Roman" w:hAnsi="Times New Roman" w:cs="Times New Roman"/>
                <w:kern w:val="0"/>
                <w:sz w:val="21"/>
                <w:szCs w:val="21"/>
              </w:rPr>
              <w:t>15</w:t>
            </w:r>
            <w:r>
              <w:rPr>
                <w:rFonts w:hint="eastAsia" w:ascii="Times New Roman" w:hAnsi="Times New Roman" w:cs="Times New Roman"/>
                <w:kern w:val="0"/>
                <w:sz w:val="21"/>
                <w:szCs w:val="21"/>
              </w:rPr>
              <w:t>万平方米，建设汽车风洞实验室、零部件实验室、技术中心、联合站房以及配套的辅助设施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中国汽车技术研究中心</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天津华测检测认证有限公司仪器仪表制造项目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建设规模</w:t>
            </w:r>
            <w:r>
              <w:rPr>
                <w:rFonts w:ascii="Times New Roman" w:hAnsi="Times New Roman" w:cs="Times New Roman"/>
                <w:kern w:val="0"/>
                <w:sz w:val="21"/>
                <w:szCs w:val="21"/>
              </w:rPr>
              <w:t>5.7</w:t>
            </w:r>
            <w:r>
              <w:rPr>
                <w:rFonts w:hint="eastAsia" w:ascii="Times New Roman" w:hAnsi="Times New Roman" w:cs="Times New Roman"/>
                <w:kern w:val="0"/>
                <w:sz w:val="21"/>
                <w:szCs w:val="21"/>
              </w:rPr>
              <w:t>万平方米，主要用于研发、实验室等重点项目建设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天津华测检测认证有限公司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天津维达维宏电缆新建年产能</w:t>
            </w:r>
            <w:r>
              <w:rPr>
                <w:rFonts w:ascii="Times New Roman" w:hAnsi="Times New Roman" w:cs="Times New Roman"/>
                <w:kern w:val="0"/>
                <w:sz w:val="21"/>
                <w:szCs w:val="21"/>
              </w:rPr>
              <w:t>1</w:t>
            </w:r>
            <w:r>
              <w:rPr>
                <w:rFonts w:hint="eastAsia" w:ascii="Times New Roman" w:hAnsi="Times New Roman" w:cs="Times New Roman"/>
                <w:kern w:val="0"/>
                <w:sz w:val="21"/>
                <w:szCs w:val="21"/>
              </w:rPr>
              <w:t>万千米</w:t>
            </w:r>
            <w:r>
              <w:rPr>
                <w:rFonts w:ascii="Times New Roman" w:hAnsi="Times New Roman" w:cs="Times New Roman"/>
                <w:kern w:val="0"/>
                <w:sz w:val="21"/>
                <w:szCs w:val="21"/>
              </w:rPr>
              <w:t>6</w:t>
            </w:r>
            <w:r>
              <w:rPr>
                <w:rFonts w:hint="eastAsia" w:ascii="Times New Roman" w:hAnsi="Times New Roman" w:cs="Times New Roman"/>
                <w:kern w:val="0"/>
                <w:sz w:val="21"/>
                <w:szCs w:val="21"/>
              </w:rPr>
              <w:t>千伏以下电线电缆生产线项目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拟新建电线电缆生产线，实现年产</w:t>
            </w:r>
            <w:r>
              <w:rPr>
                <w:rFonts w:ascii="Times New Roman" w:hAnsi="Times New Roman" w:cs="Times New Roman"/>
                <w:kern w:val="0"/>
                <w:sz w:val="21"/>
                <w:szCs w:val="21"/>
              </w:rPr>
              <w:t>6</w:t>
            </w:r>
            <w:r>
              <w:rPr>
                <w:rFonts w:hint="eastAsia" w:ascii="Times New Roman" w:hAnsi="Times New Roman" w:cs="Times New Roman"/>
                <w:kern w:val="0"/>
                <w:sz w:val="21"/>
                <w:szCs w:val="21"/>
              </w:rPr>
              <w:t>千伏以下电线电缆</w:t>
            </w:r>
            <w:r>
              <w:rPr>
                <w:rFonts w:ascii="Times New Roman" w:hAnsi="Times New Roman" w:cs="Times New Roman"/>
                <w:kern w:val="0"/>
                <w:sz w:val="21"/>
                <w:szCs w:val="21"/>
              </w:rPr>
              <w:t>1</w:t>
            </w:r>
            <w:r>
              <w:rPr>
                <w:rFonts w:hint="eastAsia" w:ascii="Times New Roman" w:hAnsi="Times New Roman" w:cs="Times New Roman"/>
                <w:kern w:val="0"/>
                <w:sz w:val="21"/>
                <w:szCs w:val="21"/>
              </w:rPr>
              <w:t>万千米的加工能力</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0.07</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天津维达维宏电缆科技有限公司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集成电路芯片切割项目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拟建半导体集成电路芯片切割生产线，实现对晶圆年</w:t>
            </w:r>
            <w:r>
              <w:rPr>
                <w:rFonts w:ascii="Times New Roman" w:hAnsi="Times New Roman" w:cs="Times New Roman"/>
                <w:kern w:val="0"/>
                <w:sz w:val="21"/>
                <w:szCs w:val="21"/>
              </w:rPr>
              <w:t>18000</w:t>
            </w:r>
            <w:r>
              <w:rPr>
                <w:rFonts w:hint="eastAsia" w:ascii="Times New Roman" w:hAnsi="Times New Roman" w:cs="Times New Roman"/>
                <w:kern w:val="0"/>
                <w:sz w:val="21"/>
                <w:szCs w:val="21"/>
              </w:rPr>
              <w:t>片的切割加工能力主要包括购置台湾博雷，苏州京创等类型切割机及其附属设备设施，同步实施车间内部配套改造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020</w:t>
            </w:r>
            <w:r>
              <w:rPr>
                <w:rFonts w:hint="eastAsia" w:ascii="Times New Roman" w:hAnsi="Times New Roman" w:cs="Times New Roman"/>
                <w:kern w:val="0"/>
                <w:sz w:val="21"/>
                <w:szCs w:val="21"/>
              </w:rPr>
              <w:t>-</w:t>
            </w:r>
            <w:r>
              <w:rPr>
                <w:rFonts w:ascii="Times New Roman" w:hAnsi="Times New Roman" w:cs="Times New Roman"/>
                <w:kern w:val="0"/>
                <w:sz w:val="21"/>
                <w:szCs w:val="21"/>
              </w:rPr>
              <w:t>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中科华艺（天津）科技有限公司</w:t>
            </w:r>
          </w:p>
        </w:tc>
      </w:tr>
      <w:tr>
        <w:tblPrEx>
          <w:tblCellMar>
            <w:top w:w="0" w:type="dxa"/>
            <w:left w:w="108" w:type="dxa"/>
            <w:bottom w:w="0" w:type="dxa"/>
            <w:right w:w="108" w:type="dxa"/>
          </w:tblCellMar>
        </w:tblPrEx>
        <w:trPr>
          <w:trHeight w:val="339"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textAlignment w:val="baseline"/>
              <w:rPr>
                <w:rFonts w:ascii="Times New Roman" w:hAnsi="Times New Roman" w:cs="Times New Roman"/>
                <w:kern w:val="0"/>
                <w:sz w:val="21"/>
                <w:szCs w:val="21"/>
              </w:rPr>
            </w:pPr>
            <w:r>
              <w:rPr>
                <w:rFonts w:hint="eastAsia" w:ascii="Times New Roman" w:hAnsi="Times New Roman" w:cs="Times New Roman"/>
                <w:b/>
                <w:bCs/>
                <w:kern w:val="0"/>
                <w:sz w:val="21"/>
                <w:szCs w:val="21"/>
              </w:rPr>
              <w:t>二、工业节能与综合利用</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烧结煤棚改造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部分烧结煤棚新增与部分现有烧结煤棚改造工程及其配套附属工程与设备设施购置</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0.255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生化水处理站改造处理生活污水暨雨污分流</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对现有生化水处理站实施升级改造、分别建设雨水与生产废水排放系统；对赵家河防汛水闸进行加高</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0.4398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0.1508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textAlignment w:val="baseline"/>
              <w:rPr>
                <w:rFonts w:ascii="Times New Roman" w:hAnsi="Times New Roman" w:cs="Times New Roman"/>
                <w:kern w:val="0"/>
                <w:sz w:val="21"/>
                <w:szCs w:val="21"/>
              </w:rPr>
            </w:pP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ascii="Times New Roman" w:hAnsi="Times New Roman" w:cs="Times New Roman"/>
                <w:kern w:val="0"/>
                <w:sz w:val="21"/>
                <w:szCs w:val="21"/>
              </w:rPr>
              <w:t>高炉炉顶均压放散煤气除尘回收暨铸铁机除尘改造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w:t>
            </w: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高炉炉顶均压放散煤气除尘回收设施；铸铁机除尘器建设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公转铁建设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建设铁路运输及配套接卸系统</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0.875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无组织排放管控系统集成暨环保门禁系统和在线监测监控设施建设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建设视频监控、厂区空气质量微站；建设货车监控门禁系统；全厂环保在线监测设施进行</w:t>
            </w:r>
            <w:r>
              <w:rPr>
                <w:rFonts w:ascii="Times New Roman" w:hAnsi="Times New Roman" w:cs="Times New Roman"/>
                <w:kern w:val="0"/>
                <w:sz w:val="21"/>
                <w:szCs w:val="21"/>
              </w:rPr>
              <w:t>DCS</w:t>
            </w:r>
            <w:r>
              <w:rPr>
                <w:rFonts w:hint="eastAsia" w:ascii="Times New Roman" w:hAnsi="Times New Roman" w:cs="Times New Roman"/>
                <w:kern w:val="0"/>
                <w:sz w:val="21"/>
                <w:szCs w:val="21"/>
              </w:rPr>
              <w:t>改造；所有在线监测、视频、门禁等信息的集中管控</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0.3826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0.0926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钢渣处理设施建设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选择适合的工艺建设钢渣处理设施建设项目</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0.985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烧结、原料皮带输送系统无组织点位治理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针对皮带落料点扬尘进行治理。针对烧结、原料皮带输送系统增加皮带罩、对落料点强化封堵</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烧结区域封闭治理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烧结</w:t>
            </w:r>
            <w:r>
              <w:rPr>
                <w:rFonts w:ascii="Times New Roman" w:hAnsi="Times New Roman" w:cs="Times New Roman"/>
                <w:kern w:val="0"/>
                <w:sz w:val="21"/>
                <w:szCs w:val="21"/>
              </w:rPr>
              <w:t>0</w:t>
            </w:r>
            <w:r>
              <w:rPr>
                <w:rFonts w:hint="eastAsia" w:ascii="Times New Roman" w:hAnsi="Times New Roman" w:cs="Times New Roman"/>
                <w:kern w:val="0"/>
                <w:sz w:val="21"/>
                <w:szCs w:val="21"/>
              </w:rPr>
              <w:t>米全封闭，一烧配料室料仓上部封闭，烧结区域除尘器放灰平台整体封闭，烧结环冷机整体封闭，返矿返焦整体封闭，混合机封闭</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0.04</w:t>
            </w: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皮带通廊封闭</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一标段</w:t>
            </w:r>
            <w:r>
              <w:rPr>
                <w:rFonts w:ascii="Times New Roman" w:hAnsi="Times New Roman" w:cs="Times New Roman"/>
                <w:kern w:val="0"/>
                <w:sz w:val="21"/>
                <w:szCs w:val="21"/>
              </w:rPr>
              <w:t>30</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2000</w:t>
            </w:r>
            <w:r>
              <w:rPr>
                <w:rFonts w:hint="eastAsia" w:ascii="Times New Roman" w:hAnsi="Times New Roman" w:cs="Times New Roman"/>
                <w:kern w:val="0"/>
                <w:sz w:val="21"/>
                <w:szCs w:val="21"/>
              </w:rPr>
              <w:t>米）通廊，二标段</w:t>
            </w:r>
            <w:r>
              <w:rPr>
                <w:rFonts w:ascii="Times New Roman" w:hAnsi="Times New Roman" w:cs="Times New Roman"/>
                <w:kern w:val="0"/>
                <w:sz w:val="21"/>
                <w:szCs w:val="21"/>
              </w:rPr>
              <w:t>21</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2500</w:t>
            </w:r>
            <w:r>
              <w:rPr>
                <w:rFonts w:hint="eastAsia" w:ascii="Times New Roman" w:hAnsi="Times New Roman" w:cs="Times New Roman"/>
                <w:kern w:val="0"/>
                <w:sz w:val="21"/>
                <w:szCs w:val="21"/>
              </w:rPr>
              <w:t>米），三标段</w:t>
            </w:r>
            <w:r>
              <w:rPr>
                <w:rFonts w:ascii="Times New Roman" w:hAnsi="Times New Roman" w:cs="Times New Roman"/>
                <w:kern w:val="0"/>
                <w:sz w:val="21"/>
                <w:szCs w:val="21"/>
              </w:rPr>
              <w:t>21</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1100</w:t>
            </w:r>
            <w:r>
              <w:rPr>
                <w:rFonts w:hint="eastAsia" w:ascii="Times New Roman" w:hAnsi="Times New Roman" w:cs="Times New Roman"/>
                <w:kern w:val="0"/>
                <w:sz w:val="21"/>
                <w:szCs w:val="21"/>
              </w:rPr>
              <w:t>米）</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轧钢加热炉烟气脱硫改造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建设烟气脱硫设施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炼钢厂无组织排放综合治理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实施皮带通廊封闭工程、原料场道路及两侧治理工程，对成品料场、汽车卸料仓、一二原料配料室、烧结厂配料室进行除尘系统改造工程及其它厂区无组织排放综合治理工程</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0.545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原料场内道路硬化</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对原料场内剩余的未硬化道路进行硬化、美化和日常的高标准保障维护</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0.095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烧结厂粉尘综合治理暨配料室除尘改造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原料场严密封闭、干雾抑尘；成品料场干雾抑尘；建设车轮冲洗装置；汽车卸料仓封闭、除尘系统优化、建设干雾抑尘设施；一二原料配料室、一二烧结配料室除尘改造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0.086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公司环保设施综合提升</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高炉出铁场除尘系统优化提升改造；</w:t>
            </w: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高炉矿槽除尘系统优化提升改造；中厚板轧机塑烧板除尘器改造；烧结机电除尘升级改造；烧结机烟气循环改造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厂区综合治理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汽车卸料仓粉尘综合治理；原料场粉尘综合治理；成品料场粉尘综合治理；精炼渣区料场喷雾抑尘；针对烧结、原料皮带落料点进行扬尘治理；除尘灰气力输送系统建设；厂区各种景观和绿化建设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0.195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0.143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#1、#2机汽轮机通流提效改造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拟对现有</w:t>
            </w:r>
            <w:r>
              <w:rPr>
                <w:rFonts w:ascii="Times New Roman" w:hAnsi="Times New Roman" w:cs="Times New Roman"/>
                <w:kern w:val="0"/>
                <w:sz w:val="21"/>
                <w:szCs w:val="21"/>
              </w:rPr>
              <w:t>#1</w:t>
            </w:r>
            <w:r>
              <w:rPr>
                <w:rFonts w:hint="eastAsia" w:ascii="Times New Roman" w:hAnsi="Times New Roman" w:cs="Times New Roman"/>
                <w:kern w:val="0"/>
                <w:sz w:val="21"/>
                <w:szCs w:val="21"/>
              </w:rPr>
              <w:t>、</w:t>
            </w:r>
            <w:r>
              <w:rPr>
                <w:rFonts w:ascii="Times New Roman" w:hAnsi="Times New Roman" w:cs="Times New Roman"/>
                <w:kern w:val="0"/>
                <w:sz w:val="21"/>
                <w:szCs w:val="21"/>
              </w:rPr>
              <w:t>#2</w:t>
            </w:r>
            <w:r>
              <w:rPr>
                <w:rFonts w:hint="eastAsia" w:ascii="Times New Roman" w:hAnsi="Times New Roman" w:cs="Times New Roman"/>
                <w:kern w:val="0"/>
                <w:sz w:val="21"/>
                <w:szCs w:val="21"/>
              </w:rPr>
              <w:t>汽轮机实施通流节能改造工程。包括购置</w:t>
            </w:r>
            <w:r>
              <w:rPr>
                <w:rFonts w:ascii="Times New Roman" w:hAnsi="Times New Roman" w:cs="Times New Roman"/>
                <w:kern w:val="0"/>
                <w:sz w:val="21"/>
                <w:szCs w:val="21"/>
              </w:rPr>
              <w:t>2</w:t>
            </w:r>
            <w:r>
              <w:rPr>
                <w:rFonts w:hint="eastAsia" w:ascii="Times New Roman" w:hAnsi="Times New Roman" w:cs="Times New Roman"/>
                <w:kern w:val="0"/>
                <w:sz w:val="21"/>
                <w:szCs w:val="21"/>
              </w:rPr>
              <w:t>套节能型汽轮机通流功能单元（含设计方案）及其配套系统与附属设施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天津国电津能热电有限公司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高耗能电机改造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将目前存在的高耗能电机更换为高效电机</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0.009</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0.0069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天津军电热电有限公司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钢管制造公司</w:t>
            </w:r>
            <w:r>
              <w:rPr>
                <w:rFonts w:ascii="Times New Roman" w:hAnsi="Times New Roman" w:cs="Times New Roman"/>
                <w:kern w:val="0"/>
                <w:sz w:val="21"/>
                <w:szCs w:val="21"/>
              </w:rPr>
              <w:t>2021</w:t>
            </w:r>
            <w:r>
              <w:rPr>
                <w:rFonts w:hint="eastAsia" w:ascii="Times New Roman" w:hAnsi="Times New Roman" w:cs="Times New Roman"/>
                <w:kern w:val="0"/>
                <w:sz w:val="21"/>
                <w:szCs w:val="21"/>
              </w:rPr>
              <w:t>年日常技改项目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炼铁厂</w:t>
            </w:r>
            <w:r>
              <w:rPr>
                <w:rFonts w:ascii="Times New Roman" w:hAnsi="Times New Roman" w:cs="Times New Roman"/>
                <w:kern w:val="0"/>
                <w:sz w:val="21"/>
                <w:szCs w:val="21"/>
              </w:rPr>
              <w:t>TRT</w:t>
            </w:r>
            <w:r>
              <w:rPr>
                <w:rFonts w:hint="eastAsia" w:ascii="Times New Roman" w:hAnsi="Times New Roman" w:cs="Times New Roman"/>
                <w:kern w:val="0"/>
                <w:sz w:val="21"/>
                <w:szCs w:val="21"/>
              </w:rPr>
              <w:t>、循环水系统改造、发电机组改造、电机节能改造等</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天津钢管制造有限公司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挥发性有机物废气治理升级改造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投入沸石转轮</w:t>
            </w:r>
            <w:r>
              <w:rPr>
                <w:rFonts w:ascii="Times New Roman" w:hAnsi="Times New Roman" w:cs="Times New Roman"/>
                <w:kern w:val="0"/>
                <w:sz w:val="21"/>
                <w:szCs w:val="21"/>
              </w:rPr>
              <w:t>+RTO</w:t>
            </w:r>
            <w:r>
              <w:rPr>
                <w:rFonts w:hint="eastAsia" w:ascii="Times New Roman" w:hAnsi="Times New Roman" w:cs="Times New Roman"/>
                <w:kern w:val="0"/>
                <w:sz w:val="21"/>
                <w:szCs w:val="21"/>
              </w:rPr>
              <w:t>或沸石转轮</w:t>
            </w:r>
            <w:r>
              <w:rPr>
                <w:rFonts w:ascii="Times New Roman" w:hAnsi="Times New Roman" w:cs="Times New Roman"/>
                <w:kern w:val="0"/>
                <w:sz w:val="21"/>
                <w:szCs w:val="21"/>
              </w:rPr>
              <w:t>+CO</w:t>
            </w:r>
            <w:r>
              <w:rPr>
                <w:rFonts w:hint="eastAsia" w:ascii="Times New Roman" w:hAnsi="Times New Roman" w:cs="Times New Roman"/>
                <w:kern w:val="0"/>
                <w:sz w:val="21"/>
                <w:szCs w:val="21"/>
              </w:rPr>
              <w:t>废气治理设备升级改造替代原有环保设备</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天津富士达自行车工业有限公司</w:t>
            </w:r>
          </w:p>
        </w:tc>
      </w:tr>
      <w:tr>
        <w:tblPrEx>
          <w:tblCellMar>
            <w:top w:w="0" w:type="dxa"/>
            <w:left w:w="108" w:type="dxa"/>
            <w:bottom w:w="0" w:type="dxa"/>
            <w:right w:w="108" w:type="dxa"/>
          </w:tblCellMar>
        </w:tblPrEx>
        <w:trPr>
          <w:trHeight w:val="483" w:hRule="atLeast"/>
          <w:jc w:val="center"/>
        </w:trPr>
        <w:tc>
          <w:tcPr>
            <w:tcW w:w="92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hint="eastAsia" w:ascii="Times New Roman" w:hAnsi="Times New Roman" w:cs="Times New Roman"/>
                <w:b/>
                <w:bCs/>
                <w:kern w:val="0"/>
                <w:sz w:val="21"/>
                <w:szCs w:val="21"/>
              </w:rPr>
              <w:t>总计</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129.3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95.9</w:t>
            </w:r>
          </w:p>
        </w:tc>
        <w:tc>
          <w:tcPr>
            <w:tcW w:w="445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w:t>
            </w:r>
          </w:p>
        </w:tc>
      </w:tr>
    </w:tbl>
    <w:p>
      <w:pPr>
        <w:widowControl/>
        <w:snapToGrid w:val="0"/>
        <w:spacing w:before="217" w:after="217"/>
        <w:jc w:val="left"/>
        <w:textAlignment w:val="baseline"/>
        <w:rPr>
          <w:rFonts w:ascii="Times New Roman" w:hAnsi="Times New Roman"/>
          <w:sz w:val="20"/>
        </w:rPr>
      </w:pPr>
    </w:p>
    <w:sectPr>
      <w:pgSz w:w="16838" w:h="11906" w:orient="landscape"/>
      <w:pgMar w:top="1800" w:right="1440" w:bottom="1800" w:left="144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Segoe UI Symbol">
    <w:altName w:val="Noto Sans"/>
    <w:panose1 w:val="020B0502040204020203"/>
    <w:charset w:val="00"/>
    <w:family w:val="swiss"/>
    <w:pitch w:val="default"/>
    <w:sig w:usb0="00000000" w:usb1="00000000" w:usb2="00040000" w:usb3="00000000" w:csb0="00000001"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仿宋"/>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010315"/>
      <w:docPartObj>
        <w:docPartGallery w:val="autotext"/>
      </w:docPartObj>
    </w:sdtPr>
    <w:sdtEndPr>
      <w:rPr>
        <w:rFonts w:ascii="Times New Roman" w:hAnsi="Times New Roman" w:cs="Times New Roman"/>
        <w:sz w:val="21"/>
        <w:szCs w:val="21"/>
      </w:rPr>
    </w:sdtEndPr>
    <w:sdtContent>
      <w:p>
        <w:pPr>
          <w:pStyle w:val="10"/>
          <w:spacing w:line="240" w:lineRule="auto"/>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30</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lang w:val="zh-CN"/>
      </w:rPr>
      <w:id w:val="-1564325315"/>
      <w:docPartObj>
        <w:docPartGallery w:val="autotext"/>
      </w:docPartObj>
    </w:sdtPr>
    <w:sdtEndPr>
      <w:rPr>
        <w:rFonts w:ascii="Times New Roman" w:hAnsi="Times New Roman" w:cs="Times New Roman"/>
        <w:lang w:val="zh-CN"/>
      </w:rPr>
    </w:sdtEndPr>
    <w:sdtContent>
      <w:p>
        <w:pPr>
          <w:pStyle w:val="10"/>
          <w:spacing w:line="240" w:lineRule="auto"/>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I</w:t>
        </w:r>
        <w:r>
          <w:rPr>
            <w:rFonts w:ascii="Times New Roman" w:hAnsi="Times New Roman" w:cs="Times New Roman"/>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539558165"/>
    </w:sdtPr>
    <w:sdtEndPr>
      <w:rPr>
        <w:rFonts w:ascii="Times New Roman" w:hAnsi="Times New Roman" w:cs="Times New Roman"/>
        <w:sz w:val="21"/>
        <w:szCs w:val="21"/>
      </w:rPr>
    </w:sdtEndPr>
    <w:sdtContent>
      <w:p>
        <w:pPr>
          <w:pStyle w:val="10"/>
          <w:spacing w:line="240" w:lineRule="auto"/>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33</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FD"/>
    <w:rsid w:val="00001445"/>
    <w:rsid w:val="0000183F"/>
    <w:rsid w:val="000019B5"/>
    <w:rsid w:val="00002608"/>
    <w:rsid w:val="000028EF"/>
    <w:rsid w:val="000031F5"/>
    <w:rsid w:val="0000367C"/>
    <w:rsid w:val="00003BF1"/>
    <w:rsid w:val="00004268"/>
    <w:rsid w:val="00005407"/>
    <w:rsid w:val="0000564D"/>
    <w:rsid w:val="00005C85"/>
    <w:rsid w:val="00005FB5"/>
    <w:rsid w:val="00006D10"/>
    <w:rsid w:val="00007517"/>
    <w:rsid w:val="000078F6"/>
    <w:rsid w:val="00007CEB"/>
    <w:rsid w:val="00010A58"/>
    <w:rsid w:val="00011615"/>
    <w:rsid w:val="00011973"/>
    <w:rsid w:val="0001267C"/>
    <w:rsid w:val="0001298E"/>
    <w:rsid w:val="00012A38"/>
    <w:rsid w:val="000131A0"/>
    <w:rsid w:val="00013BC2"/>
    <w:rsid w:val="00014339"/>
    <w:rsid w:val="00017102"/>
    <w:rsid w:val="00017297"/>
    <w:rsid w:val="00017419"/>
    <w:rsid w:val="000174DC"/>
    <w:rsid w:val="00017674"/>
    <w:rsid w:val="00017974"/>
    <w:rsid w:val="00020636"/>
    <w:rsid w:val="00020FE6"/>
    <w:rsid w:val="00021056"/>
    <w:rsid w:val="00021754"/>
    <w:rsid w:val="000230FA"/>
    <w:rsid w:val="000235C6"/>
    <w:rsid w:val="00023BF7"/>
    <w:rsid w:val="00024FD9"/>
    <w:rsid w:val="00027373"/>
    <w:rsid w:val="0002746E"/>
    <w:rsid w:val="0002795C"/>
    <w:rsid w:val="00027B45"/>
    <w:rsid w:val="000309F6"/>
    <w:rsid w:val="00030E2E"/>
    <w:rsid w:val="0003188A"/>
    <w:rsid w:val="00031DF5"/>
    <w:rsid w:val="000330C0"/>
    <w:rsid w:val="000331A5"/>
    <w:rsid w:val="0003383F"/>
    <w:rsid w:val="0003674C"/>
    <w:rsid w:val="0004022B"/>
    <w:rsid w:val="00040887"/>
    <w:rsid w:val="000419C1"/>
    <w:rsid w:val="00041D4E"/>
    <w:rsid w:val="0004245E"/>
    <w:rsid w:val="00042D35"/>
    <w:rsid w:val="00042E36"/>
    <w:rsid w:val="00043356"/>
    <w:rsid w:val="000436EF"/>
    <w:rsid w:val="0004381B"/>
    <w:rsid w:val="000441CF"/>
    <w:rsid w:val="000441EF"/>
    <w:rsid w:val="00044FF5"/>
    <w:rsid w:val="000458F4"/>
    <w:rsid w:val="00045C05"/>
    <w:rsid w:val="0004624D"/>
    <w:rsid w:val="000472B9"/>
    <w:rsid w:val="00047EF8"/>
    <w:rsid w:val="000511C5"/>
    <w:rsid w:val="00051291"/>
    <w:rsid w:val="0005146A"/>
    <w:rsid w:val="00051508"/>
    <w:rsid w:val="00051DE7"/>
    <w:rsid w:val="00052787"/>
    <w:rsid w:val="00052BB0"/>
    <w:rsid w:val="000537B4"/>
    <w:rsid w:val="00053F45"/>
    <w:rsid w:val="00053F8D"/>
    <w:rsid w:val="00054823"/>
    <w:rsid w:val="000555DE"/>
    <w:rsid w:val="00056165"/>
    <w:rsid w:val="000567EE"/>
    <w:rsid w:val="00056817"/>
    <w:rsid w:val="00056BF4"/>
    <w:rsid w:val="00056CCE"/>
    <w:rsid w:val="00057A40"/>
    <w:rsid w:val="00057CFD"/>
    <w:rsid w:val="00060213"/>
    <w:rsid w:val="00060967"/>
    <w:rsid w:val="000612FC"/>
    <w:rsid w:val="000615D5"/>
    <w:rsid w:val="000629DA"/>
    <w:rsid w:val="00063C72"/>
    <w:rsid w:val="00064491"/>
    <w:rsid w:val="00064562"/>
    <w:rsid w:val="00064575"/>
    <w:rsid w:val="0006459E"/>
    <w:rsid w:val="00064D3A"/>
    <w:rsid w:val="00065784"/>
    <w:rsid w:val="00066228"/>
    <w:rsid w:val="000671CC"/>
    <w:rsid w:val="00067671"/>
    <w:rsid w:val="00070864"/>
    <w:rsid w:val="000708CF"/>
    <w:rsid w:val="00070DDB"/>
    <w:rsid w:val="000713AE"/>
    <w:rsid w:val="00071C88"/>
    <w:rsid w:val="0007289C"/>
    <w:rsid w:val="00073A3D"/>
    <w:rsid w:val="00074481"/>
    <w:rsid w:val="00074EAF"/>
    <w:rsid w:val="00075127"/>
    <w:rsid w:val="0007520F"/>
    <w:rsid w:val="00075291"/>
    <w:rsid w:val="000757CE"/>
    <w:rsid w:val="00076F96"/>
    <w:rsid w:val="00077F5E"/>
    <w:rsid w:val="00080264"/>
    <w:rsid w:val="00080524"/>
    <w:rsid w:val="00080B0A"/>
    <w:rsid w:val="000814E9"/>
    <w:rsid w:val="0008156E"/>
    <w:rsid w:val="0008179F"/>
    <w:rsid w:val="0008194B"/>
    <w:rsid w:val="0008199C"/>
    <w:rsid w:val="000821B8"/>
    <w:rsid w:val="000825C7"/>
    <w:rsid w:val="00083881"/>
    <w:rsid w:val="0008508D"/>
    <w:rsid w:val="000850D2"/>
    <w:rsid w:val="00085372"/>
    <w:rsid w:val="000853FD"/>
    <w:rsid w:val="00087106"/>
    <w:rsid w:val="0008735A"/>
    <w:rsid w:val="0008781E"/>
    <w:rsid w:val="00087D44"/>
    <w:rsid w:val="0009007D"/>
    <w:rsid w:val="00090F17"/>
    <w:rsid w:val="00092485"/>
    <w:rsid w:val="000924AD"/>
    <w:rsid w:val="00092E93"/>
    <w:rsid w:val="000931D5"/>
    <w:rsid w:val="00093479"/>
    <w:rsid w:val="000935C0"/>
    <w:rsid w:val="00093FFC"/>
    <w:rsid w:val="00094781"/>
    <w:rsid w:val="000947BB"/>
    <w:rsid w:val="00094D17"/>
    <w:rsid w:val="000951F8"/>
    <w:rsid w:val="000965B3"/>
    <w:rsid w:val="00096A54"/>
    <w:rsid w:val="00096F1E"/>
    <w:rsid w:val="000971B6"/>
    <w:rsid w:val="00097DCD"/>
    <w:rsid w:val="000A024D"/>
    <w:rsid w:val="000A0638"/>
    <w:rsid w:val="000A0681"/>
    <w:rsid w:val="000A09BF"/>
    <w:rsid w:val="000A0B64"/>
    <w:rsid w:val="000A0D8A"/>
    <w:rsid w:val="000A0EC6"/>
    <w:rsid w:val="000A0F5A"/>
    <w:rsid w:val="000A19DA"/>
    <w:rsid w:val="000A20F2"/>
    <w:rsid w:val="000A2621"/>
    <w:rsid w:val="000A3004"/>
    <w:rsid w:val="000A35B1"/>
    <w:rsid w:val="000A470D"/>
    <w:rsid w:val="000A4B57"/>
    <w:rsid w:val="000A4CA1"/>
    <w:rsid w:val="000A608F"/>
    <w:rsid w:val="000A69CF"/>
    <w:rsid w:val="000A7199"/>
    <w:rsid w:val="000A7940"/>
    <w:rsid w:val="000B0CA1"/>
    <w:rsid w:val="000B106C"/>
    <w:rsid w:val="000B13EC"/>
    <w:rsid w:val="000B20FE"/>
    <w:rsid w:val="000B2709"/>
    <w:rsid w:val="000B2C27"/>
    <w:rsid w:val="000B2EC3"/>
    <w:rsid w:val="000B305E"/>
    <w:rsid w:val="000B35E8"/>
    <w:rsid w:val="000B3712"/>
    <w:rsid w:val="000B3DA9"/>
    <w:rsid w:val="000B4069"/>
    <w:rsid w:val="000B5268"/>
    <w:rsid w:val="000B55B6"/>
    <w:rsid w:val="000B56D9"/>
    <w:rsid w:val="000B6309"/>
    <w:rsid w:val="000B6447"/>
    <w:rsid w:val="000B68A5"/>
    <w:rsid w:val="000B6F7F"/>
    <w:rsid w:val="000B70C5"/>
    <w:rsid w:val="000B756F"/>
    <w:rsid w:val="000C1868"/>
    <w:rsid w:val="000C22B0"/>
    <w:rsid w:val="000C260D"/>
    <w:rsid w:val="000C2921"/>
    <w:rsid w:val="000C2C15"/>
    <w:rsid w:val="000C2FB7"/>
    <w:rsid w:val="000C3129"/>
    <w:rsid w:val="000C3258"/>
    <w:rsid w:val="000C3325"/>
    <w:rsid w:val="000C333F"/>
    <w:rsid w:val="000C3555"/>
    <w:rsid w:val="000C3A6C"/>
    <w:rsid w:val="000C3D6C"/>
    <w:rsid w:val="000C4AE9"/>
    <w:rsid w:val="000C4E55"/>
    <w:rsid w:val="000C5E16"/>
    <w:rsid w:val="000C6643"/>
    <w:rsid w:val="000C79E2"/>
    <w:rsid w:val="000C7E7C"/>
    <w:rsid w:val="000D0835"/>
    <w:rsid w:val="000D1F40"/>
    <w:rsid w:val="000D2EFC"/>
    <w:rsid w:val="000D4A54"/>
    <w:rsid w:val="000D4BA8"/>
    <w:rsid w:val="000D4F28"/>
    <w:rsid w:val="000D6D37"/>
    <w:rsid w:val="000D71D1"/>
    <w:rsid w:val="000D73AF"/>
    <w:rsid w:val="000D7A52"/>
    <w:rsid w:val="000D7C86"/>
    <w:rsid w:val="000D7CFD"/>
    <w:rsid w:val="000E0041"/>
    <w:rsid w:val="000E04F2"/>
    <w:rsid w:val="000E1DA9"/>
    <w:rsid w:val="000E2022"/>
    <w:rsid w:val="000E21FA"/>
    <w:rsid w:val="000E31D7"/>
    <w:rsid w:val="000E32A6"/>
    <w:rsid w:val="000E339E"/>
    <w:rsid w:val="000E3592"/>
    <w:rsid w:val="000E3771"/>
    <w:rsid w:val="000E48AF"/>
    <w:rsid w:val="000E4FE8"/>
    <w:rsid w:val="000E5356"/>
    <w:rsid w:val="000E5876"/>
    <w:rsid w:val="000E59E0"/>
    <w:rsid w:val="000E59F7"/>
    <w:rsid w:val="000E5BE2"/>
    <w:rsid w:val="000E7304"/>
    <w:rsid w:val="000F0C6C"/>
    <w:rsid w:val="000F145C"/>
    <w:rsid w:val="000F1671"/>
    <w:rsid w:val="000F1D03"/>
    <w:rsid w:val="000F36C3"/>
    <w:rsid w:val="000F3895"/>
    <w:rsid w:val="000F3BEE"/>
    <w:rsid w:val="000F40CF"/>
    <w:rsid w:val="000F5766"/>
    <w:rsid w:val="000F5A17"/>
    <w:rsid w:val="000F66AD"/>
    <w:rsid w:val="000F67E5"/>
    <w:rsid w:val="000F7D8E"/>
    <w:rsid w:val="000F7F44"/>
    <w:rsid w:val="001003C9"/>
    <w:rsid w:val="001003E5"/>
    <w:rsid w:val="00100CEA"/>
    <w:rsid w:val="00101517"/>
    <w:rsid w:val="0010203A"/>
    <w:rsid w:val="00102224"/>
    <w:rsid w:val="00102C9B"/>
    <w:rsid w:val="00102E47"/>
    <w:rsid w:val="00103B10"/>
    <w:rsid w:val="00103D6D"/>
    <w:rsid w:val="00104428"/>
    <w:rsid w:val="00104525"/>
    <w:rsid w:val="0010466F"/>
    <w:rsid w:val="001046FF"/>
    <w:rsid w:val="00104770"/>
    <w:rsid w:val="00104C2B"/>
    <w:rsid w:val="00104C59"/>
    <w:rsid w:val="00104F82"/>
    <w:rsid w:val="001056B6"/>
    <w:rsid w:val="0010594C"/>
    <w:rsid w:val="001066ED"/>
    <w:rsid w:val="00106B60"/>
    <w:rsid w:val="00107285"/>
    <w:rsid w:val="001077D3"/>
    <w:rsid w:val="0011008B"/>
    <w:rsid w:val="001108D8"/>
    <w:rsid w:val="001113E4"/>
    <w:rsid w:val="0011170F"/>
    <w:rsid w:val="00111C3C"/>
    <w:rsid w:val="00112709"/>
    <w:rsid w:val="00112D63"/>
    <w:rsid w:val="00112EF1"/>
    <w:rsid w:val="001149BD"/>
    <w:rsid w:val="001149CC"/>
    <w:rsid w:val="00114A66"/>
    <w:rsid w:val="00114CFE"/>
    <w:rsid w:val="001151BD"/>
    <w:rsid w:val="00116590"/>
    <w:rsid w:val="00116EC4"/>
    <w:rsid w:val="00117D48"/>
    <w:rsid w:val="0012070F"/>
    <w:rsid w:val="001229B7"/>
    <w:rsid w:val="00123514"/>
    <w:rsid w:val="00124167"/>
    <w:rsid w:val="001242E0"/>
    <w:rsid w:val="001242ED"/>
    <w:rsid w:val="00124426"/>
    <w:rsid w:val="00124DB7"/>
    <w:rsid w:val="0012509C"/>
    <w:rsid w:val="00126179"/>
    <w:rsid w:val="0012798C"/>
    <w:rsid w:val="00127A0C"/>
    <w:rsid w:val="00127B12"/>
    <w:rsid w:val="00130485"/>
    <w:rsid w:val="001307C0"/>
    <w:rsid w:val="00130E18"/>
    <w:rsid w:val="0013116D"/>
    <w:rsid w:val="00131F29"/>
    <w:rsid w:val="00132215"/>
    <w:rsid w:val="0013239E"/>
    <w:rsid w:val="00132AEB"/>
    <w:rsid w:val="0013329E"/>
    <w:rsid w:val="0013453B"/>
    <w:rsid w:val="001352EC"/>
    <w:rsid w:val="00135C05"/>
    <w:rsid w:val="00136045"/>
    <w:rsid w:val="001360AB"/>
    <w:rsid w:val="001370D8"/>
    <w:rsid w:val="00137C72"/>
    <w:rsid w:val="00140552"/>
    <w:rsid w:val="00140F52"/>
    <w:rsid w:val="0014123C"/>
    <w:rsid w:val="001416E6"/>
    <w:rsid w:val="00141971"/>
    <w:rsid w:val="00141A34"/>
    <w:rsid w:val="00141B62"/>
    <w:rsid w:val="00141D56"/>
    <w:rsid w:val="001427A5"/>
    <w:rsid w:val="0014302E"/>
    <w:rsid w:val="0014330F"/>
    <w:rsid w:val="001438C7"/>
    <w:rsid w:val="001439C0"/>
    <w:rsid w:val="00143B21"/>
    <w:rsid w:val="00143BC0"/>
    <w:rsid w:val="00143EB3"/>
    <w:rsid w:val="001449BA"/>
    <w:rsid w:val="00146AC5"/>
    <w:rsid w:val="001473F6"/>
    <w:rsid w:val="001474A4"/>
    <w:rsid w:val="00147D27"/>
    <w:rsid w:val="00150243"/>
    <w:rsid w:val="00150DDC"/>
    <w:rsid w:val="001514D4"/>
    <w:rsid w:val="001518DD"/>
    <w:rsid w:val="0015190E"/>
    <w:rsid w:val="00151D7E"/>
    <w:rsid w:val="0015220D"/>
    <w:rsid w:val="00153485"/>
    <w:rsid w:val="0015363D"/>
    <w:rsid w:val="00153822"/>
    <w:rsid w:val="00154316"/>
    <w:rsid w:val="001546CA"/>
    <w:rsid w:val="0015470F"/>
    <w:rsid w:val="001556C6"/>
    <w:rsid w:val="00155980"/>
    <w:rsid w:val="001559E1"/>
    <w:rsid w:val="00155B62"/>
    <w:rsid w:val="00156459"/>
    <w:rsid w:val="0015662B"/>
    <w:rsid w:val="00157F10"/>
    <w:rsid w:val="00161047"/>
    <w:rsid w:val="001612A8"/>
    <w:rsid w:val="0016150B"/>
    <w:rsid w:val="00161AEA"/>
    <w:rsid w:val="00161D56"/>
    <w:rsid w:val="00161D8E"/>
    <w:rsid w:val="00162229"/>
    <w:rsid w:val="00162976"/>
    <w:rsid w:val="00162AA5"/>
    <w:rsid w:val="00163619"/>
    <w:rsid w:val="00163842"/>
    <w:rsid w:val="00163A56"/>
    <w:rsid w:val="00163B8E"/>
    <w:rsid w:val="00164719"/>
    <w:rsid w:val="00164893"/>
    <w:rsid w:val="001649B6"/>
    <w:rsid w:val="00164A02"/>
    <w:rsid w:val="00164AB0"/>
    <w:rsid w:val="00165BBE"/>
    <w:rsid w:val="00167482"/>
    <w:rsid w:val="001675F3"/>
    <w:rsid w:val="00167979"/>
    <w:rsid w:val="00167C27"/>
    <w:rsid w:val="00170997"/>
    <w:rsid w:val="0017269D"/>
    <w:rsid w:val="00172A27"/>
    <w:rsid w:val="001730EB"/>
    <w:rsid w:val="001737EC"/>
    <w:rsid w:val="001738B3"/>
    <w:rsid w:val="00174B9B"/>
    <w:rsid w:val="00174BD8"/>
    <w:rsid w:val="00174EE5"/>
    <w:rsid w:val="00175813"/>
    <w:rsid w:val="00175A3F"/>
    <w:rsid w:val="00175CC9"/>
    <w:rsid w:val="001771F4"/>
    <w:rsid w:val="00182605"/>
    <w:rsid w:val="00183E1F"/>
    <w:rsid w:val="0018499E"/>
    <w:rsid w:val="0018534B"/>
    <w:rsid w:val="001853BE"/>
    <w:rsid w:val="0018614A"/>
    <w:rsid w:val="00186A8E"/>
    <w:rsid w:val="00187067"/>
    <w:rsid w:val="00187E10"/>
    <w:rsid w:val="001918FA"/>
    <w:rsid w:val="00192378"/>
    <w:rsid w:val="001937D0"/>
    <w:rsid w:val="00193D0D"/>
    <w:rsid w:val="00195FB7"/>
    <w:rsid w:val="001967C2"/>
    <w:rsid w:val="00196906"/>
    <w:rsid w:val="00197067"/>
    <w:rsid w:val="0019716F"/>
    <w:rsid w:val="00197850"/>
    <w:rsid w:val="001A0F43"/>
    <w:rsid w:val="001A26B6"/>
    <w:rsid w:val="001A2703"/>
    <w:rsid w:val="001A2C36"/>
    <w:rsid w:val="001A495C"/>
    <w:rsid w:val="001A4FD5"/>
    <w:rsid w:val="001A502A"/>
    <w:rsid w:val="001A55C4"/>
    <w:rsid w:val="001A6CD9"/>
    <w:rsid w:val="001A725A"/>
    <w:rsid w:val="001A749F"/>
    <w:rsid w:val="001B0560"/>
    <w:rsid w:val="001B07DC"/>
    <w:rsid w:val="001B0B0C"/>
    <w:rsid w:val="001B10C5"/>
    <w:rsid w:val="001B15B6"/>
    <w:rsid w:val="001B2216"/>
    <w:rsid w:val="001B24E6"/>
    <w:rsid w:val="001B322D"/>
    <w:rsid w:val="001B494A"/>
    <w:rsid w:val="001B4BB1"/>
    <w:rsid w:val="001B62CB"/>
    <w:rsid w:val="001B710D"/>
    <w:rsid w:val="001B7585"/>
    <w:rsid w:val="001B79DB"/>
    <w:rsid w:val="001B7C42"/>
    <w:rsid w:val="001C0726"/>
    <w:rsid w:val="001C102E"/>
    <w:rsid w:val="001C16D1"/>
    <w:rsid w:val="001C189E"/>
    <w:rsid w:val="001C1A9F"/>
    <w:rsid w:val="001C45E7"/>
    <w:rsid w:val="001C54E5"/>
    <w:rsid w:val="001C6E36"/>
    <w:rsid w:val="001C7AA7"/>
    <w:rsid w:val="001D046E"/>
    <w:rsid w:val="001D1855"/>
    <w:rsid w:val="001D2CB7"/>
    <w:rsid w:val="001D32DB"/>
    <w:rsid w:val="001D3726"/>
    <w:rsid w:val="001D3C38"/>
    <w:rsid w:val="001D44B3"/>
    <w:rsid w:val="001D4B30"/>
    <w:rsid w:val="001D4FAB"/>
    <w:rsid w:val="001D54AB"/>
    <w:rsid w:val="001D6FBE"/>
    <w:rsid w:val="001D70B4"/>
    <w:rsid w:val="001D70CD"/>
    <w:rsid w:val="001E00C1"/>
    <w:rsid w:val="001E06F2"/>
    <w:rsid w:val="001E19FB"/>
    <w:rsid w:val="001E1FE3"/>
    <w:rsid w:val="001E264E"/>
    <w:rsid w:val="001E277A"/>
    <w:rsid w:val="001E306F"/>
    <w:rsid w:val="001E364B"/>
    <w:rsid w:val="001E3C3C"/>
    <w:rsid w:val="001E42DA"/>
    <w:rsid w:val="001E4DAB"/>
    <w:rsid w:val="001E53CC"/>
    <w:rsid w:val="001E5A50"/>
    <w:rsid w:val="001E5BD0"/>
    <w:rsid w:val="001E69BF"/>
    <w:rsid w:val="001E7205"/>
    <w:rsid w:val="001E7E56"/>
    <w:rsid w:val="001F01DC"/>
    <w:rsid w:val="001F0E3C"/>
    <w:rsid w:val="001F1746"/>
    <w:rsid w:val="001F17FF"/>
    <w:rsid w:val="001F20AF"/>
    <w:rsid w:val="001F281E"/>
    <w:rsid w:val="001F3773"/>
    <w:rsid w:val="001F40E2"/>
    <w:rsid w:val="001F4A3A"/>
    <w:rsid w:val="001F4BA8"/>
    <w:rsid w:val="001F55B1"/>
    <w:rsid w:val="001F56F0"/>
    <w:rsid w:val="001F5F42"/>
    <w:rsid w:val="001F6030"/>
    <w:rsid w:val="001F664F"/>
    <w:rsid w:val="001F66F2"/>
    <w:rsid w:val="001F6C1E"/>
    <w:rsid w:val="0020054A"/>
    <w:rsid w:val="002007DD"/>
    <w:rsid w:val="00201794"/>
    <w:rsid w:val="0020195F"/>
    <w:rsid w:val="002019F4"/>
    <w:rsid w:val="00203242"/>
    <w:rsid w:val="00203FF1"/>
    <w:rsid w:val="00205176"/>
    <w:rsid w:val="002053D6"/>
    <w:rsid w:val="00205693"/>
    <w:rsid w:val="0020644D"/>
    <w:rsid w:val="00206BCD"/>
    <w:rsid w:val="00206C5F"/>
    <w:rsid w:val="00206D67"/>
    <w:rsid w:val="0020770C"/>
    <w:rsid w:val="00207CB9"/>
    <w:rsid w:val="00211CAF"/>
    <w:rsid w:val="00212647"/>
    <w:rsid w:val="00212776"/>
    <w:rsid w:val="00213800"/>
    <w:rsid w:val="00213A1C"/>
    <w:rsid w:val="00213AF4"/>
    <w:rsid w:val="00213CF7"/>
    <w:rsid w:val="002142BD"/>
    <w:rsid w:val="00214756"/>
    <w:rsid w:val="00214C62"/>
    <w:rsid w:val="00214F18"/>
    <w:rsid w:val="00215627"/>
    <w:rsid w:val="00215A8C"/>
    <w:rsid w:val="002174BF"/>
    <w:rsid w:val="002175D2"/>
    <w:rsid w:val="002207CC"/>
    <w:rsid w:val="0022094A"/>
    <w:rsid w:val="00221160"/>
    <w:rsid w:val="00221182"/>
    <w:rsid w:val="00221248"/>
    <w:rsid w:val="002212A6"/>
    <w:rsid w:val="0022196A"/>
    <w:rsid w:val="002219CE"/>
    <w:rsid w:val="00221C14"/>
    <w:rsid w:val="0022250F"/>
    <w:rsid w:val="0022297A"/>
    <w:rsid w:val="00222A3E"/>
    <w:rsid w:val="002240B1"/>
    <w:rsid w:val="002249BE"/>
    <w:rsid w:val="002252BB"/>
    <w:rsid w:val="002255FB"/>
    <w:rsid w:val="00225D1B"/>
    <w:rsid w:val="00225FCB"/>
    <w:rsid w:val="00227B7F"/>
    <w:rsid w:val="0023017E"/>
    <w:rsid w:val="00232BF8"/>
    <w:rsid w:val="0023368C"/>
    <w:rsid w:val="00233FF1"/>
    <w:rsid w:val="00235013"/>
    <w:rsid w:val="00235282"/>
    <w:rsid w:val="0023543E"/>
    <w:rsid w:val="0023545D"/>
    <w:rsid w:val="00236636"/>
    <w:rsid w:val="0023686E"/>
    <w:rsid w:val="00236A71"/>
    <w:rsid w:val="00237031"/>
    <w:rsid w:val="00237C1A"/>
    <w:rsid w:val="00237E3F"/>
    <w:rsid w:val="00240564"/>
    <w:rsid w:val="002411F7"/>
    <w:rsid w:val="002413B5"/>
    <w:rsid w:val="00241AD7"/>
    <w:rsid w:val="00241D74"/>
    <w:rsid w:val="0024201F"/>
    <w:rsid w:val="00242CE0"/>
    <w:rsid w:val="00243103"/>
    <w:rsid w:val="002435FE"/>
    <w:rsid w:val="00243622"/>
    <w:rsid w:val="00243C5A"/>
    <w:rsid w:val="00244D56"/>
    <w:rsid w:val="00244E5A"/>
    <w:rsid w:val="002454ED"/>
    <w:rsid w:val="00246DD5"/>
    <w:rsid w:val="00247178"/>
    <w:rsid w:val="0024744E"/>
    <w:rsid w:val="002508B8"/>
    <w:rsid w:val="00250DB1"/>
    <w:rsid w:val="00250F95"/>
    <w:rsid w:val="00251127"/>
    <w:rsid w:val="00251A40"/>
    <w:rsid w:val="00251CE9"/>
    <w:rsid w:val="00252A90"/>
    <w:rsid w:val="00252FD0"/>
    <w:rsid w:val="00253C32"/>
    <w:rsid w:val="00254340"/>
    <w:rsid w:val="00254434"/>
    <w:rsid w:val="00254CE7"/>
    <w:rsid w:val="002555A8"/>
    <w:rsid w:val="00255680"/>
    <w:rsid w:val="002559B6"/>
    <w:rsid w:val="00255B26"/>
    <w:rsid w:val="002561E7"/>
    <w:rsid w:val="0025720F"/>
    <w:rsid w:val="00257D87"/>
    <w:rsid w:val="00257EC6"/>
    <w:rsid w:val="0026064B"/>
    <w:rsid w:val="00260EE3"/>
    <w:rsid w:val="00261426"/>
    <w:rsid w:val="002614C1"/>
    <w:rsid w:val="00261AFA"/>
    <w:rsid w:val="00261EBF"/>
    <w:rsid w:val="002621FD"/>
    <w:rsid w:val="0026242B"/>
    <w:rsid w:val="002626BF"/>
    <w:rsid w:val="00262C9E"/>
    <w:rsid w:val="00263819"/>
    <w:rsid w:val="00263C6C"/>
    <w:rsid w:val="00264123"/>
    <w:rsid w:val="002643F1"/>
    <w:rsid w:val="002651C2"/>
    <w:rsid w:val="0026793D"/>
    <w:rsid w:val="00267D44"/>
    <w:rsid w:val="0027110E"/>
    <w:rsid w:val="002713B8"/>
    <w:rsid w:val="00271690"/>
    <w:rsid w:val="002722DE"/>
    <w:rsid w:val="0027296C"/>
    <w:rsid w:val="0027335E"/>
    <w:rsid w:val="0027379B"/>
    <w:rsid w:val="00274A28"/>
    <w:rsid w:val="00275776"/>
    <w:rsid w:val="00275796"/>
    <w:rsid w:val="0027580E"/>
    <w:rsid w:val="0027699F"/>
    <w:rsid w:val="00276B9A"/>
    <w:rsid w:val="00277781"/>
    <w:rsid w:val="00280B1E"/>
    <w:rsid w:val="00280C42"/>
    <w:rsid w:val="00283B89"/>
    <w:rsid w:val="00283BC5"/>
    <w:rsid w:val="00283F16"/>
    <w:rsid w:val="00284D1E"/>
    <w:rsid w:val="0028559A"/>
    <w:rsid w:val="00285689"/>
    <w:rsid w:val="00285791"/>
    <w:rsid w:val="00285930"/>
    <w:rsid w:val="00285962"/>
    <w:rsid w:val="0028760C"/>
    <w:rsid w:val="00287C29"/>
    <w:rsid w:val="00290D61"/>
    <w:rsid w:val="002917C1"/>
    <w:rsid w:val="00294014"/>
    <w:rsid w:val="00294020"/>
    <w:rsid w:val="0029409D"/>
    <w:rsid w:val="00294A19"/>
    <w:rsid w:val="002957E9"/>
    <w:rsid w:val="00295A46"/>
    <w:rsid w:val="00295B8D"/>
    <w:rsid w:val="00295FC5"/>
    <w:rsid w:val="0029703F"/>
    <w:rsid w:val="0029778F"/>
    <w:rsid w:val="002A081B"/>
    <w:rsid w:val="002A11E9"/>
    <w:rsid w:val="002A17EF"/>
    <w:rsid w:val="002A190E"/>
    <w:rsid w:val="002A33E2"/>
    <w:rsid w:val="002A3593"/>
    <w:rsid w:val="002A39E7"/>
    <w:rsid w:val="002A4CB8"/>
    <w:rsid w:val="002A4F3D"/>
    <w:rsid w:val="002A6A1C"/>
    <w:rsid w:val="002A6B2F"/>
    <w:rsid w:val="002A75B8"/>
    <w:rsid w:val="002A7A31"/>
    <w:rsid w:val="002A7E85"/>
    <w:rsid w:val="002B0E84"/>
    <w:rsid w:val="002B12A7"/>
    <w:rsid w:val="002B1681"/>
    <w:rsid w:val="002B3435"/>
    <w:rsid w:val="002B3A5E"/>
    <w:rsid w:val="002B3BBB"/>
    <w:rsid w:val="002B3C67"/>
    <w:rsid w:val="002B701F"/>
    <w:rsid w:val="002B7183"/>
    <w:rsid w:val="002B73C1"/>
    <w:rsid w:val="002B7E67"/>
    <w:rsid w:val="002C1825"/>
    <w:rsid w:val="002C19EE"/>
    <w:rsid w:val="002C1AD9"/>
    <w:rsid w:val="002C2617"/>
    <w:rsid w:val="002C3180"/>
    <w:rsid w:val="002C39AE"/>
    <w:rsid w:val="002C49A3"/>
    <w:rsid w:val="002C4A15"/>
    <w:rsid w:val="002C52A5"/>
    <w:rsid w:val="002C62C3"/>
    <w:rsid w:val="002C6485"/>
    <w:rsid w:val="002C70C7"/>
    <w:rsid w:val="002D0233"/>
    <w:rsid w:val="002D0CCE"/>
    <w:rsid w:val="002D0E72"/>
    <w:rsid w:val="002D0ED3"/>
    <w:rsid w:val="002D22BD"/>
    <w:rsid w:val="002D2612"/>
    <w:rsid w:val="002D28B6"/>
    <w:rsid w:val="002D30D0"/>
    <w:rsid w:val="002D3490"/>
    <w:rsid w:val="002D3C3C"/>
    <w:rsid w:val="002D53C3"/>
    <w:rsid w:val="002D568A"/>
    <w:rsid w:val="002D6113"/>
    <w:rsid w:val="002D661A"/>
    <w:rsid w:val="002D6C69"/>
    <w:rsid w:val="002D6D80"/>
    <w:rsid w:val="002D789E"/>
    <w:rsid w:val="002D7DEE"/>
    <w:rsid w:val="002D7E65"/>
    <w:rsid w:val="002E012C"/>
    <w:rsid w:val="002E100B"/>
    <w:rsid w:val="002E15CB"/>
    <w:rsid w:val="002E186D"/>
    <w:rsid w:val="002E18E3"/>
    <w:rsid w:val="002E26E7"/>
    <w:rsid w:val="002E3930"/>
    <w:rsid w:val="002E3B39"/>
    <w:rsid w:val="002E4735"/>
    <w:rsid w:val="002E4B68"/>
    <w:rsid w:val="002E5030"/>
    <w:rsid w:val="002E55B7"/>
    <w:rsid w:val="002E59A7"/>
    <w:rsid w:val="002E5A3E"/>
    <w:rsid w:val="002E6AAB"/>
    <w:rsid w:val="002E6DEE"/>
    <w:rsid w:val="002E7489"/>
    <w:rsid w:val="002E797D"/>
    <w:rsid w:val="002E7AA6"/>
    <w:rsid w:val="002F0439"/>
    <w:rsid w:val="002F0801"/>
    <w:rsid w:val="002F131E"/>
    <w:rsid w:val="002F137C"/>
    <w:rsid w:val="002F1FA6"/>
    <w:rsid w:val="002F32DD"/>
    <w:rsid w:val="002F3342"/>
    <w:rsid w:val="002F380F"/>
    <w:rsid w:val="002F4B4E"/>
    <w:rsid w:val="002F4FF2"/>
    <w:rsid w:val="002F5468"/>
    <w:rsid w:val="002F577E"/>
    <w:rsid w:val="002F5F21"/>
    <w:rsid w:val="002F6D14"/>
    <w:rsid w:val="002F6D91"/>
    <w:rsid w:val="002F7EB2"/>
    <w:rsid w:val="002F7EED"/>
    <w:rsid w:val="003005EF"/>
    <w:rsid w:val="00300B1D"/>
    <w:rsid w:val="00300FBF"/>
    <w:rsid w:val="00301184"/>
    <w:rsid w:val="0030151E"/>
    <w:rsid w:val="0030152B"/>
    <w:rsid w:val="00301D71"/>
    <w:rsid w:val="00302597"/>
    <w:rsid w:val="0030296A"/>
    <w:rsid w:val="0030297D"/>
    <w:rsid w:val="00302F71"/>
    <w:rsid w:val="00303C9F"/>
    <w:rsid w:val="00304902"/>
    <w:rsid w:val="00304EC1"/>
    <w:rsid w:val="00305A85"/>
    <w:rsid w:val="00305FCB"/>
    <w:rsid w:val="0030649C"/>
    <w:rsid w:val="0030708B"/>
    <w:rsid w:val="003075A7"/>
    <w:rsid w:val="00310572"/>
    <w:rsid w:val="00311355"/>
    <w:rsid w:val="00312843"/>
    <w:rsid w:val="00314045"/>
    <w:rsid w:val="003149A4"/>
    <w:rsid w:val="003161BA"/>
    <w:rsid w:val="00316CF0"/>
    <w:rsid w:val="0031720E"/>
    <w:rsid w:val="00317CB2"/>
    <w:rsid w:val="00320044"/>
    <w:rsid w:val="003203EB"/>
    <w:rsid w:val="0032120E"/>
    <w:rsid w:val="00321532"/>
    <w:rsid w:val="00321AEE"/>
    <w:rsid w:val="00321D44"/>
    <w:rsid w:val="00322673"/>
    <w:rsid w:val="00322FC1"/>
    <w:rsid w:val="0032312B"/>
    <w:rsid w:val="00324728"/>
    <w:rsid w:val="003249B5"/>
    <w:rsid w:val="00324DE9"/>
    <w:rsid w:val="00324FC9"/>
    <w:rsid w:val="00325CF2"/>
    <w:rsid w:val="003261F9"/>
    <w:rsid w:val="00326406"/>
    <w:rsid w:val="00327507"/>
    <w:rsid w:val="00330A2A"/>
    <w:rsid w:val="00330D2D"/>
    <w:rsid w:val="00331598"/>
    <w:rsid w:val="00331811"/>
    <w:rsid w:val="003319F2"/>
    <w:rsid w:val="00331AAD"/>
    <w:rsid w:val="00333481"/>
    <w:rsid w:val="0033455B"/>
    <w:rsid w:val="00334851"/>
    <w:rsid w:val="00335666"/>
    <w:rsid w:val="00335935"/>
    <w:rsid w:val="00336B1F"/>
    <w:rsid w:val="0033767D"/>
    <w:rsid w:val="00337B18"/>
    <w:rsid w:val="00337DB8"/>
    <w:rsid w:val="00340B9F"/>
    <w:rsid w:val="00340DF6"/>
    <w:rsid w:val="0034135D"/>
    <w:rsid w:val="00341855"/>
    <w:rsid w:val="00341AD2"/>
    <w:rsid w:val="00341D1D"/>
    <w:rsid w:val="00341F12"/>
    <w:rsid w:val="00342868"/>
    <w:rsid w:val="00342959"/>
    <w:rsid w:val="00342D02"/>
    <w:rsid w:val="00343008"/>
    <w:rsid w:val="003444DE"/>
    <w:rsid w:val="003449C7"/>
    <w:rsid w:val="00344BFE"/>
    <w:rsid w:val="00344D49"/>
    <w:rsid w:val="0034507E"/>
    <w:rsid w:val="0034567D"/>
    <w:rsid w:val="00345963"/>
    <w:rsid w:val="00346000"/>
    <w:rsid w:val="00347885"/>
    <w:rsid w:val="003478B9"/>
    <w:rsid w:val="00347D77"/>
    <w:rsid w:val="00347DFE"/>
    <w:rsid w:val="00350331"/>
    <w:rsid w:val="003503F0"/>
    <w:rsid w:val="003504B4"/>
    <w:rsid w:val="00350681"/>
    <w:rsid w:val="00350C91"/>
    <w:rsid w:val="00350EE6"/>
    <w:rsid w:val="00351DA9"/>
    <w:rsid w:val="00351F72"/>
    <w:rsid w:val="00352062"/>
    <w:rsid w:val="0035261B"/>
    <w:rsid w:val="00352747"/>
    <w:rsid w:val="00352A08"/>
    <w:rsid w:val="00352A2F"/>
    <w:rsid w:val="00352DBC"/>
    <w:rsid w:val="003535F0"/>
    <w:rsid w:val="00354FF1"/>
    <w:rsid w:val="00355239"/>
    <w:rsid w:val="00355245"/>
    <w:rsid w:val="00356687"/>
    <w:rsid w:val="00356C5E"/>
    <w:rsid w:val="003570E4"/>
    <w:rsid w:val="00361772"/>
    <w:rsid w:val="00361AE9"/>
    <w:rsid w:val="003624CD"/>
    <w:rsid w:val="003629BB"/>
    <w:rsid w:val="003639CB"/>
    <w:rsid w:val="00363F16"/>
    <w:rsid w:val="00363F3D"/>
    <w:rsid w:val="00364191"/>
    <w:rsid w:val="00364218"/>
    <w:rsid w:val="0036428C"/>
    <w:rsid w:val="00365F72"/>
    <w:rsid w:val="003667C1"/>
    <w:rsid w:val="00367865"/>
    <w:rsid w:val="00367A77"/>
    <w:rsid w:val="00371A2F"/>
    <w:rsid w:val="00371C52"/>
    <w:rsid w:val="003724EF"/>
    <w:rsid w:val="00373098"/>
    <w:rsid w:val="00373397"/>
    <w:rsid w:val="003737AC"/>
    <w:rsid w:val="003739B8"/>
    <w:rsid w:val="00373AD9"/>
    <w:rsid w:val="00373DFE"/>
    <w:rsid w:val="00374248"/>
    <w:rsid w:val="003744F6"/>
    <w:rsid w:val="00375D3F"/>
    <w:rsid w:val="00375E3B"/>
    <w:rsid w:val="0037608D"/>
    <w:rsid w:val="00380910"/>
    <w:rsid w:val="00380E86"/>
    <w:rsid w:val="00381758"/>
    <w:rsid w:val="00382775"/>
    <w:rsid w:val="003831C6"/>
    <w:rsid w:val="003831F9"/>
    <w:rsid w:val="003835DF"/>
    <w:rsid w:val="00383633"/>
    <w:rsid w:val="00384A95"/>
    <w:rsid w:val="00385916"/>
    <w:rsid w:val="00386DE2"/>
    <w:rsid w:val="0038765B"/>
    <w:rsid w:val="00390564"/>
    <w:rsid w:val="0039066C"/>
    <w:rsid w:val="003918D9"/>
    <w:rsid w:val="00392587"/>
    <w:rsid w:val="003929FD"/>
    <w:rsid w:val="00393106"/>
    <w:rsid w:val="0039423F"/>
    <w:rsid w:val="003942A5"/>
    <w:rsid w:val="0039439E"/>
    <w:rsid w:val="00394410"/>
    <w:rsid w:val="00394685"/>
    <w:rsid w:val="003946B4"/>
    <w:rsid w:val="003948A1"/>
    <w:rsid w:val="00394F8E"/>
    <w:rsid w:val="00395403"/>
    <w:rsid w:val="0039550B"/>
    <w:rsid w:val="003977CD"/>
    <w:rsid w:val="003A014D"/>
    <w:rsid w:val="003A04ED"/>
    <w:rsid w:val="003A1D6D"/>
    <w:rsid w:val="003A2D9A"/>
    <w:rsid w:val="003A33C4"/>
    <w:rsid w:val="003A52DC"/>
    <w:rsid w:val="003A5A40"/>
    <w:rsid w:val="003A5FBA"/>
    <w:rsid w:val="003A7AC0"/>
    <w:rsid w:val="003A7C57"/>
    <w:rsid w:val="003B06DA"/>
    <w:rsid w:val="003B0B6E"/>
    <w:rsid w:val="003B1E1B"/>
    <w:rsid w:val="003B1F4F"/>
    <w:rsid w:val="003B25E0"/>
    <w:rsid w:val="003B3F0B"/>
    <w:rsid w:val="003B400A"/>
    <w:rsid w:val="003B57D8"/>
    <w:rsid w:val="003B65C5"/>
    <w:rsid w:val="003B6CAB"/>
    <w:rsid w:val="003C0070"/>
    <w:rsid w:val="003C00CD"/>
    <w:rsid w:val="003C0850"/>
    <w:rsid w:val="003C088E"/>
    <w:rsid w:val="003C0AA0"/>
    <w:rsid w:val="003C0E25"/>
    <w:rsid w:val="003C0F57"/>
    <w:rsid w:val="003C15AA"/>
    <w:rsid w:val="003C1629"/>
    <w:rsid w:val="003C23CE"/>
    <w:rsid w:val="003C2682"/>
    <w:rsid w:val="003C364A"/>
    <w:rsid w:val="003C3B3B"/>
    <w:rsid w:val="003C46A3"/>
    <w:rsid w:val="003C4845"/>
    <w:rsid w:val="003C5D82"/>
    <w:rsid w:val="003C79C7"/>
    <w:rsid w:val="003C7D83"/>
    <w:rsid w:val="003D0B78"/>
    <w:rsid w:val="003D0D61"/>
    <w:rsid w:val="003D14FC"/>
    <w:rsid w:val="003D17A5"/>
    <w:rsid w:val="003D18C4"/>
    <w:rsid w:val="003D20E7"/>
    <w:rsid w:val="003D22B8"/>
    <w:rsid w:val="003D265D"/>
    <w:rsid w:val="003D2AE0"/>
    <w:rsid w:val="003D3196"/>
    <w:rsid w:val="003D3258"/>
    <w:rsid w:val="003D3625"/>
    <w:rsid w:val="003D37C1"/>
    <w:rsid w:val="003D3893"/>
    <w:rsid w:val="003D38C4"/>
    <w:rsid w:val="003D39AE"/>
    <w:rsid w:val="003D39E5"/>
    <w:rsid w:val="003D5853"/>
    <w:rsid w:val="003D5883"/>
    <w:rsid w:val="003D5F05"/>
    <w:rsid w:val="003D626C"/>
    <w:rsid w:val="003D6D9C"/>
    <w:rsid w:val="003D72A6"/>
    <w:rsid w:val="003D7380"/>
    <w:rsid w:val="003D755D"/>
    <w:rsid w:val="003D7573"/>
    <w:rsid w:val="003D7667"/>
    <w:rsid w:val="003D78E0"/>
    <w:rsid w:val="003E004D"/>
    <w:rsid w:val="003E08D4"/>
    <w:rsid w:val="003E0F5B"/>
    <w:rsid w:val="003E179E"/>
    <w:rsid w:val="003E17F3"/>
    <w:rsid w:val="003E1EB3"/>
    <w:rsid w:val="003E233A"/>
    <w:rsid w:val="003E2418"/>
    <w:rsid w:val="003E2B13"/>
    <w:rsid w:val="003E4FB0"/>
    <w:rsid w:val="003E5220"/>
    <w:rsid w:val="003E5653"/>
    <w:rsid w:val="003E582C"/>
    <w:rsid w:val="003E60FF"/>
    <w:rsid w:val="003E69EA"/>
    <w:rsid w:val="003E6DEE"/>
    <w:rsid w:val="003E7095"/>
    <w:rsid w:val="003E7E47"/>
    <w:rsid w:val="003F0795"/>
    <w:rsid w:val="003F0C8E"/>
    <w:rsid w:val="003F101E"/>
    <w:rsid w:val="003F185F"/>
    <w:rsid w:val="003F1926"/>
    <w:rsid w:val="003F1A2C"/>
    <w:rsid w:val="003F2A57"/>
    <w:rsid w:val="003F2B87"/>
    <w:rsid w:val="003F4277"/>
    <w:rsid w:val="003F44BC"/>
    <w:rsid w:val="003F57E5"/>
    <w:rsid w:val="003F5E6D"/>
    <w:rsid w:val="003F5F30"/>
    <w:rsid w:val="003F65E7"/>
    <w:rsid w:val="003F6AF5"/>
    <w:rsid w:val="003F6CD9"/>
    <w:rsid w:val="003F6CF9"/>
    <w:rsid w:val="003F6EB4"/>
    <w:rsid w:val="003F794B"/>
    <w:rsid w:val="00401DC3"/>
    <w:rsid w:val="00401E95"/>
    <w:rsid w:val="004021BD"/>
    <w:rsid w:val="00403B80"/>
    <w:rsid w:val="0040463F"/>
    <w:rsid w:val="00404D1E"/>
    <w:rsid w:val="00404EEA"/>
    <w:rsid w:val="00404F37"/>
    <w:rsid w:val="00405154"/>
    <w:rsid w:val="00405B08"/>
    <w:rsid w:val="00406555"/>
    <w:rsid w:val="004077BC"/>
    <w:rsid w:val="00410431"/>
    <w:rsid w:val="00411183"/>
    <w:rsid w:val="00411840"/>
    <w:rsid w:val="00411D60"/>
    <w:rsid w:val="00411ED9"/>
    <w:rsid w:val="00412281"/>
    <w:rsid w:val="0041270B"/>
    <w:rsid w:val="0041286B"/>
    <w:rsid w:val="004131C2"/>
    <w:rsid w:val="0041398C"/>
    <w:rsid w:val="00413FA0"/>
    <w:rsid w:val="004140E4"/>
    <w:rsid w:val="004150C7"/>
    <w:rsid w:val="00415414"/>
    <w:rsid w:val="00415725"/>
    <w:rsid w:val="00415762"/>
    <w:rsid w:val="00415D2E"/>
    <w:rsid w:val="00415F95"/>
    <w:rsid w:val="004164B1"/>
    <w:rsid w:val="0041699A"/>
    <w:rsid w:val="00417157"/>
    <w:rsid w:val="004171A4"/>
    <w:rsid w:val="00417F39"/>
    <w:rsid w:val="00420F98"/>
    <w:rsid w:val="004219E3"/>
    <w:rsid w:val="00421A0C"/>
    <w:rsid w:val="00422530"/>
    <w:rsid w:val="00422E34"/>
    <w:rsid w:val="00422F8C"/>
    <w:rsid w:val="004232DC"/>
    <w:rsid w:val="004234BC"/>
    <w:rsid w:val="004236C4"/>
    <w:rsid w:val="00424894"/>
    <w:rsid w:val="00424AF7"/>
    <w:rsid w:val="00424C31"/>
    <w:rsid w:val="004267DF"/>
    <w:rsid w:val="00426A16"/>
    <w:rsid w:val="00426DBD"/>
    <w:rsid w:val="00426DEF"/>
    <w:rsid w:val="00427640"/>
    <w:rsid w:val="0043016D"/>
    <w:rsid w:val="004303CD"/>
    <w:rsid w:val="004306A0"/>
    <w:rsid w:val="0043095E"/>
    <w:rsid w:val="00430E1D"/>
    <w:rsid w:val="00431901"/>
    <w:rsid w:val="00431DFA"/>
    <w:rsid w:val="00432C3C"/>
    <w:rsid w:val="00433CFC"/>
    <w:rsid w:val="00433E87"/>
    <w:rsid w:val="00436380"/>
    <w:rsid w:val="004368AB"/>
    <w:rsid w:val="0043769F"/>
    <w:rsid w:val="0043789B"/>
    <w:rsid w:val="00437A7A"/>
    <w:rsid w:val="004401BA"/>
    <w:rsid w:val="00440EAA"/>
    <w:rsid w:val="00440EEB"/>
    <w:rsid w:val="00441F7F"/>
    <w:rsid w:val="0044353F"/>
    <w:rsid w:val="00443832"/>
    <w:rsid w:val="0044403F"/>
    <w:rsid w:val="004449B3"/>
    <w:rsid w:val="00445213"/>
    <w:rsid w:val="00445366"/>
    <w:rsid w:val="00445BDF"/>
    <w:rsid w:val="0044606A"/>
    <w:rsid w:val="00446100"/>
    <w:rsid w:val="004461E8"/>
    <w:rsid w:val="0044648B"/>
    <w:rsid w:val="00447CF9"/>
    <w:rsid w:val="004503BE"/>
    <w:rsid w:val="0045203F"/>
    <w:rsid w:val="004524D8"/>
    <w:rsid w:val="00452A25"/>
    <w:rsid w:val="00452F3C"/>
    <w:rsid w:val="00453ABE"/>
    <w:rsid w:val="00453EA7"/>
    <w:rsid w:val="004550F9"/>
    <w:rsid w:val="0045518B"/>
    <w:rsid w:val="00455549"/>
    <w:rsid w:val="00455A00"/>
    <w:rsid w:val="0045607E"/>
    <w:rsid w:val="0045613F"/>
    <w:rsid w:val="004562B1"/>
    <w:rsid w:val="004568B8"/>
    <w:rsid w:val="00456958"/>
    <w:rsid w:val="00456D1D"/>
    <w:rsid w:val="00456ED4"/>
    <w:rsid w:val="004578EF"/>
    <w:rsid w:val="00460233"/>
    <w:rsid w:val="00460D36"/>
    <w:rsid w:val="004613DE"/>
    <w:rsid w:val="0046167D"/>
    <w:rsid w:val="004617EB"/>
    <w:rsid w:val="00461983"/>
    <w:rsid w:val="0046239A"/>
    <w:rsid w:val="00462AFC"/>
    <w:rsid w:val="004632DE"/>
    <w:rsid w:val="004637C0"/>
    <w:rsid w:val="00464193"/>
    <w:rsid w:val="00465303"/>
    <w:rsid w:val="0046602C"/>
    <w:rsid w:val="0046623E"/>
    <w:rsid w:val="00467380"/>
    <w:rsid w:val="00467BD5"/>
    <w:rsid w:val="00470672"/>
    <w:rsid w:val="00470697"/>
    <w:rsid w:val="004710AE"/>
    <w:rsid w:val="00471C4B"/>
    <w:rsid w:val="0047202B"/>
    <w:rsid w:val="004720BC"/>
    <w:rsid w:val="00472848"/>
    <w:rsid w:val="00472E58"/>
    <w:rsid w:val="00473147"/>
    <w:rsid w:val="00473232"/>
    <w:rsid w:val="004752FD"/>
    <w:rsid w:val="0047531F"/>
    <w:rsid w:val="00476928"/>
    <w:rsid w:val="00476D94"/>
    <w:rsid w:val="004779D3"/>
    <w:rsid w:val="00480013"/>
    <w:rsid w:val="004801C5"/>
    <w:rsid w:val="00480B6A"/>
    <w:rsid w:val="00480C28"/>
    <w:rsid w:val="004814C9"/>
    <w:rsid w:val="0048152D"/>
    <w:rsid w:val="004822E2"/>
    <w:rsid w:val="00482336"/>
    <w:rsid w:val="00482CA0"/>
    <w:rsid w:val="00482CF6"/>
    <w:rsid w:val="00482F4B"/>
    <w:rsid w:val="00483105"/>
    <w:rsid w:val="004831BC"/>
    <w:rsid w:val="00483AC0"/>
    <w:rsid w:val="00484206"/>
    <w:rsid w:val="00484B8A"/>
    <w:rsid w:val="00484C3A"/>
    <w:rsid w:val="004850E0"/>
    <w:rsid w:val="004854B8"/>
    <w:rsid w:val="00485FDC"/>
    <w:rsid w:val="004871B3"/>
    <w:rsid w:val="00487200"/>
    <w:rsid w:val="004874C5"/>
    <w:rsid w:val="00491383"/>
    <w:rsid w:val="00491CEB"/>
    <w:rsid w:val="00491D6C"/>
    <w:rsid w:val="00492CB4"/>
    <w:rsid w:val="004939E3"/>
    <w:rsid w:val="00493E59"/>
    <w:rsid w:val="0049445D"/>
    <w:rsid w:val="00495348"/>
    <w:rsid w:val="00495E58"/>
    <w:rsid w:val="004964AF"/>
    <w:rsid w:val="00496F9B"/>
    <w:rsid w:val="00497D85"/>
    <w:rsid w:val="004A0489"/>
    <w:rsid w:val="004A0FCB"/>
    <w:rsid w:val="004A1172"/>
    <w:rsid w:val="004A1423"/>
    <w:rsid w:val="004A16F8"/>
    <w:rsid w:val="004A1B66"/>
    <w:rsid w:val="004A224D"/>
    <w:rsid w:val="004A289C"/>
    <w:rsid w:val="004A2B36"/>
    <w:rsid w:val="004A33C8"/>
    <w:rsid w:val="004A36D4"/>
    <w:rsid w:val="004A3794"/>
    <w:rsid w:val="004A3ACD"/>
    <w:rsid w:val="004A3BB4"/>
    <w:rsid w:val="004A4324"/>
    <w:rsid w:val="004A4609"/>
    <w:rsid w:val="004A4954"/>
    <w:rsid w:val="004A4B15"/>
    <w:rsid w:val="004A5658"/>
    <w:rsid w:val="004A5ADA"/>
    <w:rsid w:val="004A607C"/>
    <w:rsid w:val="004A6960"/>
    <w:rsid w:val="004A7EC1"/>
    <w:rsid w:val="004B01F1"/>
    <w:rsid w:val="004B18EC"/>
    <w:rsid w:val="004B1C4B"/>
    <w:rsid w:val="004B2A2A"/>
    <w:rsid w:val="004B2BDD"/>
    <w:rsid w:val="004B2E85"/>
    <w:rsid w:val="004B3057"/>
    <w:rsid w:val="004B306F"/>
    <w:rsid w:val="004B317E"/>
    <w:rsid w:val="004B3F51"/>
    <w:rsid w:val="004B3F74"/>
    <w:rsid w:val="004B40B2"/>
    <w:rsid w:val="004B505A"/>
    <w:rsid w:val="004B55DA"/>
    <w:rsid w:val="004B571F"/>
    <w:rsid w:val="004B5C9A"/>
    <w:rsid w:val="004B6114"/>
    <w:rsid w:val="004B6608"/>
    <w:rsid w:val="004B7383"/>
    <w:rsid w:val="004B7EAC"/>
    <w:rsid w:val="004C22B9"/>
    <w:rsid w:val="004C241E"/>
    <w:rsid w:val="004C24AA"/>
    <w:rsid w:val="004C26A6"/>
    <w:rsid w:val="004C294C"/>
    <w:rsid w:val="004C2F59"/>
    <w:rsid w:val="004C394E"/>
    <w:rsid w:val="004C3A14"/>
    <w:rsid w:val="004C3A65"/>
    <w:rsid w:val="004C4AC0"/>
    <w:rsid w:val="004C5269"/>
    <w:rsid w:val="004C5859"/>
    <w:rsid w:val="004C6023"/>
    <w:rsid w:val="004C6C35"/>
    <w:rsid w:val="004C7558"/>
    <w:rsid w:val="004C7A74"/>
    <w:rsid w:val="004D107E"/>
    <w:rsid w:val="004D1102"/>
    <w:rsid w:val="004D1904"/>
    <w:rsid w:val="004D1C35"/>
    <w:rsid w:val="004D1C57"/>
    <w:rsid w:val="004D27D4"/>
    <w:rsid w:val="004D2CEA"/>
    <w:rsid w:val="004D4E3F"/>
    <w:rsid w:val="004D4E9B"/>
    <w:rsid w:val="004D626E"/>
    <w:rsid w:val="004D6DBC"/>
    <w:rsid w:val="004D7E17"/>
    <w:rsid w:val="004E059E"/>
    <w:rsid w:val="004E090D"/>
    <w:rsid w:val="004E18B0"/>
    <w:rsid w:val="004E2EB4"/>
    <w:rsid w:val="004E3A91"/>
    <w:rsid w:val="004E4298"/>
    <w:rsid w:val="004E4EA6"/>
    <w:rsid w:val="004E502B"/>
    <w:rsid w:val="004E50D0"/>
    <w:rsid w:val="004E62E3"/>
    <w:rsid w:val="004E750F"/>
    <w:rsid w:val="004E781D"/>
    <w:rsid w:val="004F11C3"/>
    <w:rsid w:val="004F15E4"/>
    <w:rsid w:val="004F3414"/>
    <w:rsid w:val="004F4200"/>
    <w:rsid w:val="004F47EF"/>
    <w:rsid w:val="004F4F81"/>
    <w:rsid w:val="004F6C68"/>
    <w:rsid w:val="004F745E"/>
    <w:rsid w:val="004F774E"/>
    <w:rsid w:val="004F7C44"/>
    <w:rsid w:val="004F7D46"/>
    <w:rsid w:val="004F7FF9"/>
    <w:rsid w:val="00500212"/>
    <w:rsid w:val="00500A3B"/>
    <w:rsid w:val="0050174F"/>
    <w:rsid w:val="005019BD"/>
    <w:rsid w:val="0050225E"/>
    <w:rsid w:val="005027C9"/>
    <w:rsid w:val="0050282F"/>
    <w:rsid w:val="005028DA"/>
    <w:rsid w:val="00502AA5"/>
    <w:rsid w:val="00502BFE"/>
    <w:rsid w:val="00502C6B"/>
    <w:rsid w:val="00502F94"/>
    <w:rsid w:val="005034E9"/>
    <w:rsid w:val="0050475F"/>
    <w:rsid w:val="00504BE3"/>
    <w:rsid w:val="00504F6D"/>
    <w:rsid w:val="0050502C"/>
    <w:rsid w:val="005061FB"/>
    <w:rsid w:val="0051076B"/>
    <w:rsid w:val="00511B86"/>
    <w:rsid w:val="005125E8"/>
    <w:rsid w:val="005126E9"/>
    <w:rsid w:val="00512A53"/>
    <w:rsid w:val="00513577"/>
    <w:rsid w:val="0051373C"/>
    <w:rsid w:val="00513B7F"/>
    <w:rsid w:val="005143F2"/>
    <w:rsid w:val="00514549"/>
    <w:rsid w:val="00514619"/>
    <w:rsid w:val="0051471E"/>
    <w:rsid w:val="0051585B"/>
    <w:rsid w:val="00516D89"/>
    <w:rsid w:val="005176BB"/>
    <w:rsid w:val="00517C7B"/>
    <w:rsid w:val="00517ED1"/>
    <w:rsid w:val="005209FC"/>
    <w:rsid w:val="005213EC"/>
    <w:rsid w:val="00521BB2"/>
    <w:rsid w:val="00522414"/>
    <w:rsid w:val="00523F2B"/>
    <w:rsid w:val="0052431F"/>
    <w:rsid w:val="00526E53"/>
    <w:rsid w:val="00527E1A"/>
    <w:rsid w:val="00527E8B"/>
    <w:rsid w:val="00531A1B"/>
    <w:rsid w:val="00531E0E"/>
    <w:rsid w:val="005320F1"/>
    <w:rsid w:val="0053327B"/>
    <w:rsid w:val="00534250"/>
    <w:rsid w:val="00534DAF"/>
    <w:rsid w:val="005353C0"/>
    <w:rsid w:val="00535BAB"/>
    <w:rsid w:val="00535D75"/>
    <w:rsid w:val="00535E25"/>
    <w:rsid w:val="005362B4"/>
    <w:rsid w:val="00537AAC"/>
    <w:rsid w:val="00540954"/>
    <w:rsid w:val="00542DDE"/>
    <w:rsid w:val="0054348F"/>
    <w:rsid w:val="005435E3"/>
    <w:rsid w:val="0054389C"/>
    <w:rsid w:val="0054419A"/>
    <w:rsid w:val="005448F6"/>
    <w:rsid w:val="00545ACD"/>
    <w:rsid w:val="00545D35"/>
    <w:rsid w:val="00545F64"/>
    <w:rsid w:val="005461EA"/>
    <w:rsid w:val="0054682F"/>
    <w:rsid w:val="00547782"/>
    <w:rsid w:val="005517DE"/>
    <w:rsid w:val="00551811"/>
    <w:rsid w:val="00551A44"/>
    <w:rsid w:val="00551A52"/>
    <w:rsid w:val="00551E3E"/>
    <w:rsid w:val="00552119"/>
    <w:rsid w:val="00552810"/>
    <w:rsid w:val="00553273"/>
    <w:rsid w:val="00554A79"/>
    <w:rsid w:val="00554AA1"/>
    <w:rsid w:val="0055528A"/>
    <w:rsid w:val="005553C9"/>
    <w:rsid w:val="00555590"/>
    <w:rsid w:val="00555AF8"/>
    <w:rsid w:val="00556272"/>
    <w:rsid w:val="00556373"/>
    <w:rsid w:val="00556CA2"/>
    <w:rsid w:val="00557306"/>
    <w:rsid w:val="00557A48"/>
    <w:rsid w:val="00560689"/>
    <w:rsid w:val="00560880"/>
    <w:rsid w:val="00560B14"/>
    <w:rsid w:val="00561E46"/>
    <w:rsid w:val="00562792"/>
    <w:rsid w:val="00562AFE"/>
    <w:rsid w:val="00563A9A"/>
    <w:rsid w:val="00564680"/>
    <w:rsid w:val="00564A8D"/>
    <w:rsid w:val="00564D79"/>
    <w:rsid w:val="00565079"/>
    <w:rsid w:val="00565CC5"/>
    <w:rsid w:val="00565D3F"/>
    <w:rsid w:val="0056691B"/>
    <w:rsid w:val="00566E43"/>
    <w:rsid w:val="00566EA4"/>
    <w:rsid w:val="00567394"/>
    <w:rsid w:val="00567443"/>
    <w:rsid w:val="00567F0F"/>
    <w:rsid w:val="00570915"/>
    <w:rsid w:val="00570AC0"/>
    <w:rsid w:val="005713CD"/>
    <w:rsid w:val="00571D11"/>
    <w:rsid w:val="0057230C"/>
    <w:rsid w:val="00572410"/>
    <w:rsid w:val="005726B6"/>
    <w:rsid w:val="00572F58"/>
    <w:rsid w:val="00573E1D"/>
    <w:rsid w:val="00574A1D"/>
    <w:rsid w:val="00575026"/>
    <w:rsid w:val="0057588E"/>
    <w:rsid w:val="0057691F"/>
    <w:rsid w:val="00576A5F"/>
    <w:rsid w:val="005772E0"/>
    <w:rsid w:val="00577B83"/>
    <w:rsid w:val="00577D67"/>
    <w:rsid w:val="00577ED3"/>
    <w:rsid w:val="00580AFB"/>
    <w:rsid w:val="00580FD7"/>
    <w:rsid w:val="005811FC"/>
    <w:rsid w:val="0058130F"/>
    <w:rsid w:val="00582E9F"/>
    <w:rsid w:val="00583151"/>
    <w:rsid w:val="00583B13"/>
    <w:rsid w:val="00583DCE"/>
    <w:rsid w:val="00583F2B"/>
    <w:rsid w:val="00584614"/>
    <w:rsid w:val="00584B6D"/>
    <w:rsid w:val="00584CDE"/>
    <w:rsid w:val="005859C2"/>
    <w:rsid w:val="00585F3E"/>
    <w:rsid w:val="0058663B"/>
    <w:rsid w:val="0058682C"/>
    <w:rsid w:val="00586C4B"/>
    <w:rsid w:val="00587403"/>
    <w:rsid w:val="00587D7C"/>
    <w:rsid w:val="005909E0"/>
    <w:rsid w:val="005914BB"/>
    <w:rsid w:val="00591CD4"/>
    <w:rsid w:val="00591CE9"/>
    <w:rsid w:val="00592003"/>
    <w:rsid w:val="00592819"/>
    <w:rsid w:val="00593966"/>
    <w:rsid w:val="00593AB7"/>
    <w:rsid w:val="0059402D"/>
    <w:rsid w:val="00595E87"/>
    <w:rsid w:val="0059649A"/>
    <w:rsid w:val="00596D44"/>
    <w:rsid w:val="00597182"/>
    <w:rsid w:val="005971B8"/>
    <w:rsid w:val="0059723A"/>
    <w:rsid w:val="00597604"/>
    <w:rsid w:val="005A02F9"/>
    <w:rsid w:val="005A1ACD"/>
    <w:rsid w:val="005A3608"/>
    <w:rsid w:val="005A3832"/>
    <w:rsid w:val="005A4201"/>
    <w:rsid w:val="005A4334"/>
    <w:rsid w:val="005A44A9"/>
    <w:rsid w:val="005A52D4"/>
    <w:rsid w:val="005A5517"/>
    <w:rsid w:val="005A55DD"/>
    <w:rsid w:val="005A61D2"/>
    <w:rsid w:val="005A61F4"/>
    <w:rsid w:val="005A6438"/>
    <w:rsid w:val="005A6771"/>
    <w:rsid w:val="005A6796"/>
    <w:rsid w:val="005A6812"/>
    <w:rsid w:val="005A76C0"/>
    <w:rsid w:val="005A7776"/>
    <w:rsid w:val="005B121E"/>
    <w:rsid w:val="005B23B6"/>
    <w:rsid w:val="005B2506"/>
    <w:rsid w:val="005B2AEF"/>
    <w:rsid w:val="005B2C71"/>
    <w:rsid w:val="005B3195"/>
    <w:rsid w:val="005B31C9"/>
    <w:rsid w:val="005B3471"/>
    <w:rsid w:val="005B3E67"/>
    <w:rsid w:val="005B4694"/>
    <w:rsid w:val="005B4960"/>
    <w:rsid w:val="005B4EBD"/>
    <w:rsid w:val="005B6386"/>
    <w:rsid w:val="005B65D7"/>
    <w:rsid w:val="005B6EDC"/>
    <w:rsid w:val="005C03B8"/>
    <w:rsid w:val="005C05C0"/>
    <w:rsid w:val="005C0FEB"/>
    <w:rsid w:val="005C1B0D"/>
    <w:rsid w:val="005C1E02"/>
    <w:rsid w:val="005C2072"/>
    <w:rsid w:val="005C2E27"/>
    <w:rsid w:val="005C3C6D"/>
    <w:rsid w:val="005C43CA"/>
    <w:rsid w:val="005C5323"/>
    <w:rsid w:val="005C5467"/>
    <w:rsid w:val="005C57A3"/>
    <w:rsid w:val="005C582D"/>
    <w:rsid w:val="005C6422"/>
    <w:rsid w:val="005C6CDF"/>
    <w:rsid w:val="005C6F64"/>
    <w:rsid w:val="005C70A3"/>
    <w:rsid w:val="005C7306"/>
    <w:rsid w:val="005C7572"/>
    <w:rsid w:val="005C7BAB"/>
    <w:rsid w:val="005D0DCE"/>
    <w:rsid w:val="005D0E62"/>
    <w:rsid w:val="005D254F"/>
    <w:rsid w:val="005D2A9B"/>
    <w:rsid w:val="005D357D"/>
    <w:rsid w:val="005D4701"/>
    <w:rsid w:val="005D5B21"/>
    <w:rsid w:val="005D5B67"/>
    <w:rsid w:val="005D6E11"/>
    <w:rsid w:val="005D72C0"/>
    <w:rsid w:val="005E00C3"/>
    <w:rsid w:val="005E0A64"/>
    <w:rsid w:val="005E0D24"/>
    <w:rsid w:val="005E126E"/>
    <w:rsid w:val="005E1323"/>
    <w:rsid w:val="005E14EC"/>
    <w:rsid w:val="005E1CF0"/>
    <w:rsid w:val="005E20C4"/>
    <w:rsid w:val="005E2477"/>
    <w:rsid w:val="005E2D2D"/>
    <w:rsid w:val="005E312A"/>
    <w:rsid w:val="005E3401"/>
    <w:rsid w:val="005E3E97"/>
    <w:rsid w:val="005E49F6"/>
    <w:rsid w:val="005E542F"/>
    <w:rsid w:val="005E5C36"/>
    <w:rsid w:val="005E651D"/>
    <w:rsid w:val="005E6757"/>
    <w:rsid w:val="005E7342"/>
    <w:rsid w:val="005E7E6E"/>
    <w:rsid w:val="005F098E"/>
    <w:rsid w:val="005F0D70"/>
    <w:rsid w:val="005F196A"/>
    <w:rsid w:val="005F2A92"/>
    <w:rsid w:val="005F31E7"/>
    <w:rsid w:val="005F3450"/>
    <w:rsid w:val="005F3864"/>
    <w:rsid w:val="005F46EB"/>
    <w:rsid w:val="005F498A"/>
    <w:rsid w:val="005F62B3"/>
    <w:rsid w:val="005F6B9E"/>
    <w:rsid w:val="005F71A6"/>
    <w:rsid w:val="005F722D"/>
    <w:rsid w:val="005F7455"/>
    <w:rsid w:val="005F7E5D"/>
    <w:rsid w:val="00600F7D"/>
    <w:rsid w:val="006012EF"/>
    <w:rsid w:val="00601B24"/>
    <w:rsid w:val="00602428"/>
    <w:rsid w:val="006025FD"/>
    <w:rsid w:val="00602689"/>
    <w:rsid w:val="00604648"/>
    <w:rsid w:val="006046A2"/>
    <w:rsid w:val="00604A58"/>
    <w:rsid w:val="00604CD5"/>
    <w:rsid w:val="00604D90"/>
    <w:rsid w:val="00605333"/>
    <w:rsid w:val="00605824"/>
    <w:rsid w:val="00605B8F"/>
    <w:rsid w:val="006061C0"/>
    <w:rsid w:val="0060624D"/>
    <w:rsid w:val="00606B13"/>
    <w:rsid w:val="006071D0"/>
    <w:rsid w:val="006077CA"/>
    <w:rsid w:val="00610197"/>
    <w:rsid w:val="00610E2A"/>
    <w:rsid w:val="006111C3"/>
    <w:rsid w:val="00611247"/>
    <w:rsid w:val="0061156E"/>
    <w:rsid w:val="0061273F"/>
    <w:rsid w:val="00612BE9"/>
    <w:rsid w:val="00613696"/>
    <w:rsid w:val="00613A37"/>
    <w:rsid w:val="00613CC1"/>
    <w:rsid w:val="0061421E"/>
    <w:rsid w:val="00614E34"/>
    <w:rsid w:val="00614F38"/>
    <w:rsid w:val="00615BD7"/>
    <w:rsid w:val="00615D97"/>
    <w:rsid w:val="006162B7"/>
    <w:rsid w:val="006170A8"/>
    <w:rsid w:val="00617985"/>
    <w:rsid w:val="00617B1E"/>
    <w:rsid w:val="00617F73"/>
    <w:rsid w:val="00620221"/>
    <w:rsid w:val="0062075B"/>
    <w:rsid w:val="00620994"/>
    <w:rsid w:val="00620A25"/>
    <w:rsid w:val="00620B42"/>
    <w:rsid w:val="00620BE3"/>
    <w:rsid w:val="00620D46"/>
    <w:rsid w:val="006212D0"/>
    <w:rsid w:val="00621534"/>
    <w:rsid w:val="00621FCA"/>
    <w:rsid w:val="00622023"/>
    <w:rsid w:val="00622E90"/>
    <w:rsid w:val="00625A87"/>
    <w:rsid w:val="00625E36"/>
    <w:rsid w:val="00625EF8"/>
    <w:rsid w:val="006272CD"/>
    <w:rsid w:val="00627332"/>
    <w:rsid w:val="00627761"/>
    <w:rsid w:val="00627902"/>
    <w:rsid w:val="00627B5D"/>
    <w:rsid w:val="006306CB"/>
    <w:rsid w:val="00630C6A"/>
    <w:rsid w:val="00631649"/>
    <w:rsid w:val="006318A9"/>
    <w:rsid w:val="006319C6"/>
    <w:rsid w:val="00631EF2"/>
    <w:rsid w:val="006325D8"/>
    <w:rsid w:val="00632959"/>
    <w:rsid w:val="00632A3C"/>
    <w:rsid w:val="00633614"/>
    <w:rsid w:val="00633B97"/>
    <w:rsid w:val="006349AE"/>
    <w:rsid w:val="006351BB"/>
    <w:rsid w:val="00635448"/>
    <w:rsid w:val="006362CB"/>
    <w:rsid w:val="006368C0"/>
    <w:rsid w:val="00636CF1"/>
    <w:rsid w:val="00637032"/>
    <w:rsid w:val="00640244"/>
    <w:rsid w:val="00642AAF"/>
    <w:rsid w:val="00643041"/>
    <w:rsid w:val="00643792"/>
    <w:rsid w:val="00643C0F"/>
    <w:rsid w:val="00643C9A"/>
    <w:rsid w:val="00643D16"/>
    <w:rsid w:val="00644286"/>
    <w:rsid w:val="00644AE9"/>
    <w:rsid w:val="006452B3"/>
    <w:rsid w:val="0064589D"/>
    <w:rsid w:val="00645B7B"/>
    <w:rsid w:val="00647977"/>
    <w:rsid w:val="006509D7"/>
    <w:rsid w:val="00650E9D"/>
    <w:rsid w:val="006512AD"/>
    <w:rsid w:val="00651F59"/>
    <w:rsid w:val="00652920"/>
    <w:rsid w:val="00653148"/>
    <w:rsid w:val="006532EF"/>
    <w:rsid w:val="0065350C"/>
    <w:rsid w:val="0065361D"/>
    <w:rsid w:val="006536C3"/>
    <w:rsid w:val="00653C85"/>
    <w:rsid w:val="00653CA8"/>
    <w:rsid w:val="00654048"/>
    <w:rsid w:val="0065411B"/>
    <w:rsid w:val="006541D6"/>
    <w:rsid w:val="00655772"/>
    <w:rsid w:val="0065582A"/>
    <w:rsid w:val="00655B35"/>
    <w:rsid w:val="00655EED"/>
    <w:rsid w:val="00655F86"/>
    <w:rsid w:val="00656A5F"/>
    <w:rsid w:val="00656BC3"/>
    <w:rsid w:val="0065771F"/>
    <w:rsid w:val="00657E6C"/>
    <w:rsid w:val="006601FF"/>
    <w:rsid w:val="00660451"/>
    <w:rsid w:val="006604D8"/>
    <w:rsid w:val="006606FD"/>
    <w:rsid w:val="00660E2E"/>
    <w:rsid w:val="00661721"/>
    <w:rsid w:val="00661BE1"/>
    <w:rsid w:val="00661EF5"/>
    <w:rsid w:val="00662064"/>
    <w:rsid w:val="006623BB"/>
    <w:rsid w:val="00662442"/>
    <w:rsid w:val="00662827"/>
    <w:rsid w:val="006628F5"/>
    <w:rsid w:val="006645E2"/>
    <w:rsid w:val="00664DBB"/>
    <w:rsid w:val="006658C3"/>
    <w:rsid w:val="00666307"/>
    <w:rsid w:val="00667246"/>
    <w:rsid w:val="00667A4A"/>
    <w:rsid w:val="00667E2E"/>
    <w:rsid w:val="00670367"/>
    <w:rsid w:val="006713AF"/>
    <w:rsid w:val="00671585"/>
    <w:rsid w:val="00672595"/>
    <w:rsid w:val="0067448B"/>
    <w:rsid w:val="00674689"/>
    <w:rsid w:val="00674A96"/>
    <w:rsid w:val="00674C9D"/>
    <w:rsid w:val="006762EF"/>
    <w:rsid w:val="00676743"/>
    <w:rsid w:val="006767E3"/>
    <w:rsid w:val="006769A9"/>
    <w:rsid w:val="006770DD"/>
    <w:rsid w:val="006775D9"/>
    <w:rsid w:val="006777BC"/>
    <w:rsid w:val="00677A83"/>
    <w:rsid w:val="00677BFD"/>
    <w:rsid w:val="00677DAE"/>
    <w:rsid w:val="00680E2B"/>
    <w:rsid w:val="00680FCD"/>
    <w:rsid w:val="00681F3C"/>
    <w:rsid w:val="006823D6"/>
    <w:rsid w:val="006828BB"/>
    <w:rsid w:val="00683B09"/>
    <w:rsid w:val="00683BAC"/>
    <w:rsid w:val="0068457C"/>
    <w:rsid w:val="00684B1C"/>
    <w:rsid w:val="00684B38"/>
    <w:rsid w:val="006851A5"/>
    <w:rsid w:val="00685313"/>
    <w:rsid w:val="006855A2"/>
    <w:rsid w:val="00686294"/>
    <w:rsid w:val="00686463"/>
    <w:rsid w:val="00687902"/>
    <w:rsid w:val="00690333"/>
    <w:rsid w:val="00690CEE"/>
    <w:rsid w:val="00690D8F"/>
    <w:rsid w:val="00691E8D"/>
    <w:rsid w:val="00692CFB"/>
    <w:rsid w:val="00693E89"/>
    <w:rsid w:val="0069507F"/>
    <w:rsid w:val="00695929"/>
    <w:rsid w:val="00696242"/>
    <w:rsid w:val="00697689"/>
    <w:rsid w:val="00697F73"/>
    <w:rsid w:val="006A0354"/>
    <w:rsid w:val="006A03B8"/>
    <w:rsid w:val="006A0887"/>
    <w:rsid w:val="006A12FC"/>
    <w:rsid w:val="006A14E1"/>
    <w:rsid w:val="006A2152"/>
    <w:rsid w:val="006A2700"/>
    <w:rsid w:val="006A29B8"/>
    <w:rsid w:val="006A36B0"/>
    <w:rsid w:val="006A3E1B"/>
    <w:rsid w:val="006A4B33"/>
    <w:rsid w:val="006A6866"/>
    <w:rsid w:val="006A6C9F"/>
    <w:rsid w:val="006B01FF"/>
    <w:rsid w:val="006B08B5"/>
    <w:rsid w:val="006B0B39"/>
    <w:rsid w:val="006B1067"/>
    <w:rsid w:val="006B2120"/>
    <w:rsid w:val="006B24F3"/>
    <w:rsid w:val="006B259A"/>
    <w:rsid w:val="006B2FAA"/>
    <w:rsid w:val="006B3906"/>
    <w:rsid w:val="006B47B4"/>
    <w:rsid w:val="006B4DFC"/>
    <w:rsid w:val="006B6921"/>
    <w:rsid w:val="006B69F9"/>
    <w:rsid w:val="006B6B59"/>
    <w:rsid w:val="006B6EE9"/>
    <w:rsid w:val="006C0B47"/>
    <w:rsid w:val="006C1223"/>
    <w:rsid w:val="006C13A9"/>
    <w:rsid w:val="006C151D"/>
    <w:rsid w:val="006C153F"/>
    <w:rsid w:val="006C1B7C"/>
    <w:rsid w:val="006C20C2"/>
    <w:rsid w:val="006C221B"/>
    <w:rsid w:val="006C2518"/>
    <w:rsid w:val="006C2861"/>
    <w:rsid w:val="006C4EA3"/>
    <w:rsid w:val="006C4ECA"/>
    <w:rsid w:val="006C50FA"/>
    <w:rsid w:val="006C547D"/>
    <w:rsid w:val="006C5999"/>
    <w:rsid w:val="006C636C"/>
    <w:rsid w:val="006C7F2E"/>
    <w:rsid w:val="006C7FBD"/>
    <w:rsid w:val="006D0C59"/>
    <w:rsid w:val="006D1E94"/>
    <w:rsid w:val="006D27BF"/>
    <w:rsid w:val="006D3020"/>
    <w:rsid w:val="006D3F77"/>
    <w:rsid w:val="006D5114"/>
    <w:rsid w:val="006D6A74"/>
    <w:rsid w:val="006D7490"/>
    <w:rsid w:val="006E01C5"/>
    <w:rsid w:val="006E0E8B"/>
    <w:rsid w:val="006E14E3"/>
    <w:rsid w:val="006E17C6"/>
    <w:rsid w:val="006E237E"/>
    <w:rsid w:val="006E2C2B"/>
    <w:rsid w:val="006E2C71"/>
    <w:rsid w:val="006E3A5E"/>
    <w:rsid w:val="006E3F32"/>
    <w:rsid w:val="006E4217"/>
    <w:rsid w:val="006E4347"/>
    <w:rsid w:val="006E43EE"/>
    <w:rsid w:val="006E59EB"/>
    <w:rsid w:val="006E62D6"/>
    <w:rsid w:val="006E6782"/>
    <w:rsid w:val="006E67B6"/>
    <w:rsid w:val="006E6C00"/>
    <w:rsid w:val="006E6C67"/>
    <w:rsid w:val="006E6CBF"/>
    <w:rsid w:val="006E70FB"/>
    <w:rsid w:val="006E76D5"/>
    <w:rsid w:val="006E7D02"/>
    <w:rsid w:val="006E7E8C"/>
    <w:rsid w:val="006F1A4E"/>
    <w:rsid w:val="006F276E"/>
    <w:rsid w:val="006F31F1"/>
    <w:rsid w:val="006F42D8"/>
    <w:rsid w:val="006F521D"/>
    <w:rsid w:val="006F5597"/>
    <w:rsid w:val="006F5624"/>
    <w:rsid w:val="006F587B"/>
    <w:rsid w:val="006F681A"/>
    <w:rsid w:val="006F6AA1"/>
    <w:rsid w:val="006F6B07"/>
    <w:rsid w:val="00700735"/>
    <w:rsid w:val="00700DA4"/>
    <w:rsid w:val="00701DE7"/>
    <w:rsid w:val="00702AAB"/>
    <w:rsid w:val="00703DE0"/>
    <w:rsid w:val="00703F12"/>
    <w:rsid w:val="00704A31"/>
    <w:rsid w:val="00704E0B"/>
    <w:rsid w:val="00705434"/>
    <w:rsid w:val="007057E9"/>
    <w:rsid w:val="00705BC9"/>
    <w:rsid w:val="00705F07"/>
    <w:rsid w:val="0070688F"/>
    <w:rsid w:val="007069C6"/>
    <w:rsid w:val="0071028E"/>
    <w:rsid w:val="00710520"/>
    <w:rsid w:val="0071075D"/>
    <w:rsid w:val="00710AFB"/>
    <w:rsid w:val="00710E90"/>
    <w:rsid w:val="00710EBE"/>
    <w:rsid w:val="007120B2"/>
    <w:rsid w:val="0071219A"/>
    <w:rsid w:val="00712323"/>
    <w:rsid w:val="007128E2"/>
    <w:rsid w:val="007129F9"/>
    <w:rsid w:val="00712F15"/>
    <w:rsid w:val="007131EC"/>
    <w:rsid w:val="007134BC"/>
    <w:rsid w:val="00713CE7"/>
    <w:rsid w:val="00713DB4"/>
    <w:rsid w:val="00713DC3"/>
    <w:rsid w:val="00715538"/>
    <w:rsid w:val="00715991"/>
    <w:rsid w:val="00716ADF"/>
    <w:rsid w:val="00716EED"/>
    <w:rsid w:val="0071749E"/>
    <w:rsid w:val="007176A3"/>
    <w:rsid w:val="0071773D"/>
    <w:rsid w:val="0072007D"/>
    <w:rsid w:val="007213B5"/>
    <w:rsid w:val="00721726"/>
    <w:rsid w:val="00722783"/>
    <w:rsid w:val="00722947"/>
    <w:rsid w:val="007233AA"/>
    <w:rsid w:val="00723F5D"/>
    <w:rsid w:val="007243C4"/>
    <w:rsid w:val="00724A04"/>
    <w:rsid w:val="007256D0"/>
    <w:rsid w:val="00725DC7"/>
    <w:rsid w:val="00726975"/>
    <w:rsid w:val="00726DD1"/>
    <w:rsid w:val="00726E92"/>
    <w:rsid w:val="007273AA"/>
    <w:rsid w:val="00727842"/>
    <w:rsid w:val="0073018C"/>
    <w:rsid w:val="00730280"/>
    <w:rsid w:val="00730492"/>
    <w:rsid w:val="00730C74"/>
    <w:rsid w:val="00731D46"/>
    <w:rsid w:val="00732FB4"/>
    <w:rsid w:val="0073350E"/>
    <w:rsid w:val="007335EE"/>
    <w:rsid w:val="00733E6D"/>
    <w:rsid w:val="007341FF"/>
    <w:rsid w:val="00734549"/>
    <w:rsid w:val="007347D5"/>
    <w:rsid w:val="00735508"/>
    <w:rsid w:val="0073560B"/>
    <w:rsid w:val="007367FC"/>
    <w:rsid w:val="00736A20"/>
    <w:rsid w:val="00736E15"/>
    <w:rsid w:val="00737105"/>
    <w:rsid w:val="00737109"/>
    <w:rsid w:val="00737480"/>
    <w:rsid w:val="00737B19"/>
    <w:rsid w:val="00740090"/>
    <w:rsid w:val="007400E6"/>
    <w:rsid w:val="007403B9"/>
    <w:rsid w:val="00740417"/>
    <w:rsid w:val="00740AD2"/>
    <w:rsid w:val="00740BA8"/>
    <w:rsid w:val="00741494"/>
    <w:rsid w:val="00741B1D"/>
    <w:rsid w:val="00741B76"/>
    <w:rsid w:val="00742144"/>
    <w:rsid w:val="0074215B"/>
    <w:rsid w:val="007425AF"/>
    <w:rsid w:val="0074273E"/>
    <w:rsid w:val="00742D53"/>
    <w:rsid w:val="00743936"/>
    <w:rsid w:val="00743A0C"/>
    <w:rsid w:val="007440CE"/>
    <w:rsid w:val="0074426D"/>
    <w:rsid w:val="00745637"/>
    <w:rsid w:val="00745784"/>
    <w:rsid w:val="00746991"/>
    <w:rsid w:val="00747711"/>
    <w:rsid w:val="00750E27"/>
    <w:rsid w:val="00750E62"/>
    <w:rsid w:val="007516C9"/>
    <w:rsid w:val="007521E8"/>
    <w:rsid w:val="007530D4"/>
    <w:rsid w:val="00753D0F"/>
    <w:rsid w:val="00753FC7"/>
    <w:rsid w:val="0075482D"/>
    <w:rsid w:val="00754CD5"/>
    <w:rsid w:val="007557AC"/>
    <w:rsid w:val="00755D36"/>
    <w:rsid w:val="007562E4"/>
    <w:rsid w:val="007578E5"/>
    <w:rsid w:val="00757AD2"/>
    <w:rsid w:val="00760646"/>
    <w:rsid w:val="00760A49"/>
    <w:rsid w:val="00761460"/>
    <w:rsid w:val="00763710"/>
    <w:rsid w:val="00763B20"/>
    <w:rsid w:val="007643F0"/>
    <w:rsid w:val="00764937"/>
    <w:rsid w:val="007651C0"/>
    <w:rsid w:val="007668DA"/>
    <w:rsid w:val="00766915"/>
    <w:rsid w:val="00766C15"/>
    <w:rsid w:val="00767237"/>
    <w:rsid w:val="007675E8"/>
    <w:rsid w:val="00767EE1"/>
    <w:rsid w:val="007703B5"/>
    <w:rsid w:val="007703B7"/>
    <w:rsid w:val="00771797"/>
    <w:rsid w:val="007724F8"/>
    <w:rsid w:val="00772632"/>
    <w:rsid w:val="00772ABC"/>
    <w:rsid w:val="007730AA"/>
    <w:rsid w:val="0077324F"/>
    <w:rsid w:val="00773A29"/>
    <w:rsid w:val="00773D0B"/>
    <w:rsid w:val="00773F66"/>
    <w:rsid w:val="00774573"/>
    <w:rsid w:val="00774790"/>
    <w:rsid w:val="00774D3D"/>
    <w:rsid w:val="00775839"/>
    <w:rsid w:val="00775D00"/>
    <w:rsid w:val="00776301"/>
    <w:rsid w:val="0077686F"/>
    <w:rsid w:val="007768CE"/>
    <w:rsid w:val="00776AF3"/>
    <w:rsid w:val="00776C62"/>
    <w:rsid w:val="00777080"/>
    <w:rsid w:val="0077773D"/>
    <w:rsid w:val="007777B0"/>
    <w:rsid w:val="007800A3"/>
    <w:rsid w:val="0078015D"/>
    <w:rsid w:val="00780562"/>
    <w:rsid w:val="00780C6E"/>
    <w:rsid w:val="00781D29"/>
    <w:rsid w:val="007833D3"/>
    <w:rsid w:val="00784F30"/>
    <w:rsid w:val="007853C2"/>
    <w:rsid w:val="00787018"/>
    <w:rsid w:val="00787514"/>
    <w:rsid w:val="00787CF7"/>
    <w:rsid w:val="00790AD6"/>
    <w:rsid w:val="00790B3A"/>
    <w:rsid w:val="00790DD2"/>
    <w:rsid w:val="007915E7"/>
    <w:rsid w:val="00791FE2"/>
    <w:rsid w:val="007927F1"/>
    <w:rsid w:val="007930AE"/>
    <w:rsid w:val="0079449F"/>
    <w:rsid w:val="00794CCB"/>
    <w:rsid w:val="0079512D"/>
    <w:rsid w:val="00795C5A"/>
    <w:rsid w:val="00796A1D"/>
    <w:rsid w:val="00796E9B"/>
    <w:rsid w:val="007972BC"/>
    <w:rsid w:val="007976C4"/>
    <w:rsid w:val="007A0950"/>
    <w:rsid w:val="007A09E3"/>
    <w:rsid w:val="007A142D"/>
    <w:rsid w:val="007A24B7"/>
    <w:rsid w:val="007A36E2"/>
    <w:rsid w:val="007A3752"/>
    <w:rsid w:val="007A3D2E"/>
    <w:rsid w:val="007A3EAF"/>
    <w:rsid w:val="007A418F"/>
    <w:rsid w:val="007A44F5"/>
    <w:rsid w:val="007A450E"/>
    <w:rsid w:val="007A5184"/>
    <w:rsid w:val="007A5489"/>
    <w:rsid w:val="007A5656"/>
    <w:rsid w:val="007A618A"/>
    <w:rsid w:val="007A7135"/>
    <w:rsid w:val="007A746C"/>
    <w:rsid w:val="007B01A6"/>
    <w:rsid w:val="007B02B4"/>
    <w:rsid w:val="007B0376"/>
    <w:rsid w:val="007B05A8"/>
    <w:rsid w:val="007B0809"/>
    <w:rsid w:val="007B0C85"/>
    <w:rsid w:val="007B19C2"/>
    <w:rsid w:val="007B19FC"/>
    <w:rsid w:val="007B1B16"/>
    <w:rsid w:val="007B2B03"/>
    <w:rsid w:val="007B2C75"/>
    <w:rsid w:val="007B3297"/>
    <w:rsid w:val="007B4C0B"/>
    <w:rsid w:val="007B527B"/>
    <w:rsid w:val="007B55F1"/>
    <w:rsid w:val="007B5CCE"/>
    <w:rsid w:val="007B616F"/>
    <w:rsid w:val="007B7548"/>
    <w:rsid w:val="007B7649"/>
    <w:rsid w:val="007B790F"/>
    <w:rsid w:val="007B7969"/>
    <w:rsid w:val="007B79DA"/>
    <w:rsid w:val="007B7BE3"/>
    <w:rsid w:val="007C062B"/>
    <w:rsid w:val="007C0AA2"/>
    <w:rsid w:val="007C13AE"/>
    <w:rsid w:val="007C19E4"/>
    <w:rsid w:val="007C1EB1"/>
    <w:rsid w:val="007C226E"/>
    <w:rsid w:val="007C25A6"/>
    <w:rsid w:val="007C37DE"/>
    <w:rsid w:val="007C4236"/>
    <w:rsid w:val="007C4359"/>
    <w:rsid w:val="007C5D26"/>
    <w:rsid w:val="007C633F"/>
    <w:rsid w:val="007C651E"/>
    <w:rsid w:val="007C689B"/>
    <w:rsid w:val="007C6904"/>
    <w:rsid w:val="007D0F8D"/>
    <w:rsid w:val="007D4499"/>
    <w:rsid w:val="007D4920"/>
    <w:rsid w:val="007D5028"/>
    <w:rsid w:val="007D519B"/>
    <w:rsid w:val="007D530C"/>
    <w:rsid w:val="007D5519"/>
    <w:rsid w:val="007D5D76"/>
    <w:rsid w:val="007D5D97"/>
    <w:rsid w:val="007D69F8"/>
    <w:rsid w:val="007D6F37"/>
    <w:rsid w:val="007E0D1A"/>
    <w:rsid w:val="007E1D55"/>
    <w:rsid w:val="007E1F99"/>
    <w:rsid w:val="007E2887"/>
    <w:rsid w:val="007E2A2F"/>
    <w:rsid w:val="007E38B6"/>
    <w:rsid w:val="007E455F"/>
    <w:rsid w:val="007E461C"/>
    <w:rsid w:val="007E4A09"/>
    <w:rsid w:val="007E4EC2"/>
    <w:rsid w:val="007E4F77"/>
    <w:rsid w:val="007E518F"/>
    <w:rsid w:val="007E524D"/>
    <w:rsid w:val="007E55AF"/>
    <w:rsid w:val="007E6B99"/>
    <w:rsid w:val="007E769D"/>
    <w:rsid w:val="007F008A"/>
    <w:rsid w:val="007F12F7"/>
    <w:rsid w:val="007F1A3B"/>
    <w:rsid w:val="007F258E"/>
    <w:rsid w:val="007F2889"/>
    <w:rsid w:val="007F2A3A"/>
    <w:rsid w:val="007F2F81"/>
    <w:rsid w:val="007F3362"/>
    <w:rsid w:val="007F3991"/>
    <w:rsid w:val="007F3BEE"/>
    <w:rsid w:val="007F3D63"/>
    <w:rsid w:val="007F42E0"/>
    <w:rsid w:val="007F46C4"/>
    <w:rsid w:val="007F5650"/>
    <w:rsid w:val="007F565B"/>
    <w:rsid w:val="007F56D4"/>
    <w:rsid w:val="007F5848"/>
    <w:rsid w:val="007F5AD0"/>
    <w:rsid w:val="007F770C"/>
    <w:rsid w:val="007F785A"/>
    <w:rsid w:val="007F7E0D"/>
    <w:rsid w:val="00800896"/>
    <w:rsid w:val="00801667"/>
    <w:rsid w:val="008017AB"/>
    <w:rsid w:val="00801942"/>
    <w:rsid w:val="00801ED1"/>
    <w:rsid w:val="008030C3"/>
    <w:rsid w:val="00803BEE"/>
    <w:rsid w:val="0080431E"/>
    <w:rsid w:val="0080529A"/>
    <w:rsid w:val="0080591E"/>
    <w:rsid w:val="0080686E"/>
    <w:rsid w:val="00806F2E"/>
    <w:rsid w:val="00807568"/>
    <w:rsid w:val="00807745"/>
    <w:rsid w:val="00807B00"/>
    <w:rsid w:val="008104FF"/>
    <w:rsid w:val="00810E7A"/>
    <w:rsid w:val="008112F1"/>
    <w:rsid w:val="008119CA"/>
    <w:rsid w:val="00811B6B"/>
    <w:rsid w:val="00811BAA"/>
    <w:rsid w:val="00812823"/>
    <w:rsid w:val="0081351D"/>
    <w:rsid w:val="0081386F"/>
    <w:rsid w:val="00813A93"/>
    <w:rsid w:val="00813BBA"/>
    <w:rsid w:val="00813E10"/>
    <w:rsid w:val="00813FD7"/>
    <w:rsid w:val="00814853"/>
    <w:rsid w:val="0081579E"/>
    <w:rsid w:val="008158C8"/>
    <w:rsid w:val="00815C16"/>
    <w:rsid w:val="00815D4C"/>
    <w:rsid w:val="00816382"/>
    <w:rsid w:val="00816449"/>
    <w:rsid w:val="00816866"/>
    <w:rsid w:val="00821A10"/>
    <w:rsid w:val="00822172"/>
    <w:rsid w:val="008238D0"/>
    <w:rsid w:val="00825A2B"/>
    <w:rsid w:val="00826006"/>
    <w:rsid w:val="008263F8"/>
    <w:rsid w:val="00832053"/>
    <w:rsid w:val="00832A6B"/>
    <w:rsid w:val="008331DF"/>
    <w:rsid w:val="008338FA"/>
    <w:rsid w:val="0083421A"/>
    <w:rsid w:val="00835722"/>
    <w:rsid w:val="00835976"/>
    <w:rsid w:val="00836983"/>
    <w:rsid w:val="00836D5A"/>
    <w:rsid w:val="00837E57"/>
    <w:rsid w:val="00843250"/>
    <w:rsid w:val="00843A89"/>
    <w:rsid w:val="00844472"/>
    <w:rsid w:val="00844A6E"/>
    <w:rsid w:val="00845500"/>
    <w:rsid w:val="00845B0C"/>
    <w:rsid w:val="008478FB"/>
    <w:rsid w:val="00847A61"/>
    <w:rsid w:val="00847D78"/>
    <w:rsid w:val="00850339"/>
    <w:rsid w:val="0085134A"/>
    <w:rsid w:val="008515C6"/>
    <w:rsid w:val="00852086"/>
    <w:rsid w:val="00853594"/>
    <w:rsid w:val="008537E0"/>
    <w:rsid w:val="008540DC"/>
    <w:rsid w:val="00855F16"/>
    <w:rsid w:val="00856077"/>
    <w:rsid w:val="00856178"/>
    <w:rsid w:val="00856946"/>
    <w:rsid w:val="008569B3"/>
    <w:rsid w:val="00860336"/>
    <w:rsid w:val="00860AAD"/>
    <w:rsid w:val="00860B3A"/>
    <w:rsid w:val="00860BF2"/>
    <w:rsid w:val="008619E7"/>
    <w:rsid w:val="00861CB0"/>
    <w:rsid w:val="00861E09"/>
    <w:rsid w:val="0086317D"/>
    <w:rsid w:val="00863746"/>
    <w:rsid w:val="008639BF"/>
    <w:rsid w:val="008641B2"/>
    <w:rsid w:val="008647CC"/>
    <w:rsid w:val="008649DC"/>
    <w:rsid w:val="00865082"/>
    <w:rsid w:val="0086508B"/>
    <w:rsid w:val="008652B5"/>
    <w:rsid w:val="008661BC"/>
    <w:rsid w:val="00866FEB"/>
    <w:rsid w:val="0087071A"/>
    <w:rsid w:val="00870CBA"/>
    <w:rsid w:val="008710C9"/>
    <w:rsid w:val="008715CC"/>
    <w:rsid w:val="008718C3"/>
    <w:rsid w:val="00871F7E"/>
    <w:rsid w:val="00872B87"/>
    <w:rsid w:val="00872C9F"/>
    <w:rsid w:val="008730BB"/>
    <w:rsid w:val="008734E8"/>
    <w:rsid w:val="00875035"/>
    <w:rsid w:val="00875DB0"/>
    <w:rsid w:val="008763A9"/>
    <w:rsid w:val="00877213"/>
    <w:rsid w:val="008772AE"/>
    <w:rsid w:val="00880155"/>
    <w:rsid w:val="00881CD1"/>
    <w:rsid w:val="00881F5E"/>
    <w:rsid w:val="0088270E"/>
    <w:rsid w:val="00882964"/>
    <w:rsid w:val="008834FF"/>
    <w:rsid w:val="00884EAC"/>
    <w:rsid w:val="00884F1E"/>
    <w:rsid w:val="0088561F"/>
    <w:rsid w:val="00885E79"/>
    <w:rsid w:val="00886A4B"/>
    <w:rsid w:val="0088703C"/>
    <w:rsid w:val="008873C7"/>
    <w:rsid w:val="008900F0"/>
    <w:rsid w:val="00890BCB"/>
    <w:rsid w:val="00890DB4"/>
    <w:rsid w:val="00890E27"/>
    <w:rsid w:val="008913B0"/>
    <w:rsid w:val="0089172D"/>
    <w:rsid w:val="008919F9"/>
    <w:rsid w:val="00891B3B"/>
    <w:rsid w:val="00892D10"/>
    <w:rsid w:val="0089319F"/>
    <w:rsid w:val="008931B8"/>
    <w:rsid w:val="008934AF"/>
    <w:rsid w:val="00895690"/>
    <w:rsid w:val="0089595D"/>
    <w:rsid w:val="00896448"/>
    <w:rsid w:val="008974A6"/>
    <w:rsid w:val="008979EC"/>
    <w:rsid w:val="00897EBD"/>
    <w:rsid w:val="00897EDA"/>
    <w:rsid w:val="008A1060"/>
    <w:rsid w:val="008A195B"/>
    <w:rsid w:val="008A30BC"/>
    <w:rsid w:val="008A383B"/>
    <w:rsid w:val="008A4A38"/>
    <w:rsid w:val="008A537F"/>
    <w:rsid w:val="008A5412"/>
    <w:rsid w:val="008A5BDD"/>
    <w:rsid w:val="008A5FBB"/>
    <w:rsid w:val="008A6587"/>
    <w:rsid w:val="008A7B4F"/>
    <w:rsid w:val="008B0076"/>
    <w:rsid w:val="008B055B"/>
    <w:rsid w:val="008B0993"/>
    <w:rsid w:val="008B2110"/>
    <w:rsid w:val="008B2567"/>
    <w:rsid w:val="008B36AD"/>
    <w:rsid w:val="008B3AD9"/>
    <w:rsid w:val="008B3D0A"/>
    <w:rsid w:val="008B401E"/>
    <w:rsid w:val="008B415E"/>
    <w:rsid w:val="008B42DB"/>
    <w:rsid w:val="008B49A5"/>
    <w:rsid w:val="008B5300"/>
    <w:rsid w:val="008B5934"/>
    <w:rsid w:val="008B6A57"/>
    <w:rsid w:val="008B6C79"/>
    <w:rsid w:val="008B6FFA"/>
    <w:rsid w:val="008B7821"/>
    <w:rsid w:val="008C01C2"/>
    <w:rsid w:val="008C0955"/>
    <w:rsid w:val="008C0E60"/>
    <w:rsid w:val="008C1B21"/>
    <w:rsid w:val="008C1B48"/>
    <w:rsid w:val="008C1C36"/>
    <w:rsid w:val="008C1DAD"/>
    <w:rsid w:val="008C1E3B"/>
    <w:rsid w:val="008C278E"/>
    <w:rsid w:val="008C2944"/>
    <w:rsid w:val="008C2A92"/>
    <w:rsid w:val="008C32EC"/>
    <w:rsid w:val="008C3C75"/>
    <w:rsid w:val="008C3FE2"/>
    <w:rsid w:val="008C3FFF"/>
    <w:rsid w:val="008C4C30"/>
    <w:rsid w:val="008C63AD"/>
    <w:rsid w:val="008C6EBA"/>
    <w:rsid w:val="008C76EB"/>
    <w:rsid w:val="008C7AA4"/>
    <w:rsid w:val="008D0853"/>
    <w:rsid w:val="008D09AE"/>
    <w:rsid w:val="008D1724"/>
    <w:rsid w:val="008D172C"/>
    <w:rsid w:val="008D1B86"/>
    <w:rsid w:val="008D1F6C"/>
    <w:rsid w:val="008D1FF8"/>
    <w:rsid w:val="008D25B1"/>
    <w:rsid w:val="008D2E8B"/>
    <w:rsid w:val="008D4DC9"/>
    <w:rsid w:val="008D5691"/>
    <w:rsid w:val="008D5F7F"/>
    <w:rsid w:val="008D6925"/>
    <w:rsid w:val="008D6C06"/>
    <w:rsid w:val="008D6DE1"/>
    <w:rsid w:val="008D71F3"/>
    <w:rsid w:val="008E0633"/>
    <w:rsid w:val="008E10E3"/>
    <w:rsid w:val="008E2E62"/>
    <w:rsid w:val="008E31E4"/>
    <w:rsid w:val="008E36F1"/>
    <w:rsid w:val="008E40D1"/>
    <w:rsid w:val="008E43AC"/>
    <w:rsid w:val="008E43B9"/>
    <w:rsid w:val="008E4ADC"/>
    <w:rsid w:val="008E4E19"/>
    <w:rsid w:val="008E55F1"/>
    <w:rsid w:val="008E615C"/>
    <w:rsid w:val="008E6D68"/>
    <w:rsid w:val="008E70D6"/>
    <w:rsid w:val="008E7247"/>
    <w:rsid w:val="008F050D"/>
    <w:rsid w:val="008F1600"/>
    <w:rsid w:val="008F1DEB"/>
    <w:rsid w:val="008F1EB8"/>
    <w:rsid w:val="008F2A96"/>
    <w:rsid w:val="008F32DC"/>
    <w:rsid w:val="008F33AE"/>
    <w:rsid w:val="008F42CB"/>
    <w:rsid w:val="008F453F"/>
    <w:rsid w:val="008F47BF"/>
    <w:rsid w:val="008F53F3"/>
    <w:rsid w:val="008F56C9"/>
    <w:rsid w:val="008F6085"/>
    <w:rsid w:val="00900DAD"/>
    <w:rsid w:val="00900E67"/>
    <w:rsid w:val="00901012"/>
    <w:rsid w:val="00901FA2"/>
    <w:rsid w:val="0090212C"/>
    <w:rsid w:val="00902198"/>
    <w:rsid w:val="00904C4B"/>
    <w:rsid w:val="00904C88"/>
    <w:rsid w:val="00905EDA"/>
    <w:rsid w:val="009061A8"/>
    <w:rsid w:val="00907A8B"/>
    <w:rsid w:val="00907C74"/>
    <w:rsid w:val="00907EF3"/>
    <w:rsid w:val="00907FB0"/>
    <w:rsid w:val="00910374"/>
    <w:rsid w:val="00912449"/>
    <w:rsid w:val="00912E7B"/>
    <w:rsid w:val="009131BF"/>
    <w:rsid w:val="009146F9"/>
    <w:rsid w:val="00914CD1"/>
    <w:rsid w:val="0091619A"/>
    <w:rsid w:val="009169B3"/>
    <w:rsid w:val="00916FF9"/>
    <w:rsid w:val="009170BD"/>
    <w:rsid w:val="00917504"/>
    <w:rsid w:val="00920A26"/>
    <w:rsid w:val="009218CE"/>
    <w:rsid w:val="00921B2A"/>
    <w:rsid w:val="009222A8"/>
    <w:rsid w:val="00923925"/>
    <w:rsid w:val="00923A6A"/>
    <w:rsid w:val="00923D88"/>
    <w:rsid w:val="00923E7F"/>
    <w:rsid w:val="00923ED6"/>
    <w:rsid w:val="0092408F"/>
    <w:rsid w:val="00924A31"/>
    <w:rsid w:val="00925707"/>
    <w:rsid w:val="00925737"/>
    <w:rsid w:val="00925BC1"/>
    <w:rsid w:val="009260EA"/>
    <w:rsid w:val="0092741A"/>
    <w:rsid w:val="009274EC"/>
    <w:rsid w:val="0092787F"/>
    <w:rsid w:val="00927EFC"/>
    <w:rsid w:val="00930403"/>
    <w:rsid w:val="00930811"/>
    <w:rsid w:val="00930969"/>
    <w:rsid w:val="00930C7B"/>
    <w:rsid w:val="00931145"/>
    <w:rsid w:val="009314AE"/>
    <w:rsid w:val="00931B29"/>
    <w:rsid w:val="00931D21"/>
    <w:rsid w:val="009322E7"/>
    <w:rsid w:val="00932335"/>
    <w:rsid w:val="00932B80"/>
    <w:rsid w:val="0093336B"/>
    <w:rsid w:val="00934F5F"/>
    <w:rsid w:val="00935182"/>
    <w:rsid w:val="009352F2"/>
    <w:rsid w:val="009357B1"/>
    <w:rsid w:val="0093617F"/>
    <w:rsid w:val="009377A5"/>
    <w:rsid w:val="00940CF3"/>
    <w:rsid w:val="00941285"/>
    <w:rsid w:val="00941749"/>
    <w:rsid w:val="009417E2"/>
    <w:rsid w:val="009428C2"/>
    <w:rsid w:val="0094298F"/>
    <w:rsid w:val="009429EE"/>
    <w:rsid w:val="00942DC6"/>
    <w:rsid w:val="00943A39"/>
    <w:rsid w:val="00943AB3"/>
    <w:rsid w:val="00943DDC"/>
    <w:rsid w:val="00943FCA"/>
    <w:rsid w:val="00944581"/>
    <w:rsid w:val="00944628"/>
    <w:rsid w:val="00945B52"/>
    <w:rsid w:val="00945E0F"/>
    <w:rsid w:val="0094609A"/>
    <w:rsid w:val="009478D6"/>
    <w:rsid w:val="009478F0"/>
    <w:rsid w:val="00947B31"/>
    <w:rsid w:val="00950C0F"/>
    <w:rsid w:val="00950CD4"/>
    <w:rsid w:val="009519EF"/>
    <w:rsid w:val="00951CA8"/>
    <w:rsid w:val="00951D76"/>
    <w:rsid w:val="00951FEA"/>
    <w:rsid w:val="00951FEF"/>
    <w:rsid w:val="00952124"/>
    <w:rsid w:val="0095242F"/>
    <w:rsid w:val="00952E57"/>
    <w:rsid w:val="00952F89"/>
    <w:rsid w:val="00954057"/>
    <w:rsid w:val="009544CC"/>
    <w:rsid w:val="00954B11"/>
    <w:rsid w:val="009552CF"/>
    <w:rsid w:val="009555CB"/>
    <w:rsid w:val="009557D0"/>
    <w:rsid w:val="00956386"/>
    <w:rsid w:val="0095750D"/>
    <w:rsid w:val="00960945"/>
    <w:rsid w:val="0096111D"/>
    <w:rsid w:val="009616BA"/>
    <w:rsid w:val="009616F0"/>
    <w:rsid w:val="00962069"/>
    <w:rsid w:val="009625A2"/>
    <w:rsid w:val="00963132"/>
    <w:rsid w:val="009643FA"/>
    <w:rsid w:val="009649B7"/>
    <w:rsid w:val="009651A1"/>
    <w:rsid w:val="00965CB0"/>
    <w:rsid w:val="009669FA"/>
    <w:rsid w:val="00966E42"/>
    <w:rsid w:val="0096755B"/>
    <w:rsid w:val="00967606"/>
    <w:rsid w:val="00967BDF"/>
    <w:rsid w:val="00967FDD"/>
    <w:rsid w:val="00970676"/>
    <w:rsid w:val="009708C5"/>
    <w:rsid w:val="00970A47"/>
    <w:rsid w:val="00970BBC"/>
    <w:rsid w:val="00970C4C"/>
    <w:rsid w:val="00971467"/>
    <w:rsid w:val="009718B7"/>
    <w:rsid w:val="009723D6"/>
    <w:rsid w:val="009736D7"/>
    <w:rsid w:val="0097582B"/>
    <w:rsid w:val="00975CD2"/>
    <w:rsid w:val="009761CC"/>
    <w:rsid w:val="0097652B"/>
    <w:rsid w:val="009768DA"/>
    <w:rsid w:val="0097708D"/>
    <w:rsid w:val="009770D1"/>
    <w:rsid w:val="009771C2"/>
    <w:rsid w:val="009775EA"/>
    <w:rsid w:val="0097779C"/>
    <w:rsid w:val="00977899"/>
    <w:rsid w:val="00977D47"/>
    <w:rsid w:val="0098137D"/>
    <w:rsid w:val="00981BF1"/>
    <w:rsid w:val="0098295C"/>
    <w:rsid w:val="00983900"/>
    <w:rsid w:val="00983E2A"/>
    <w:rsid w:val="00983FC2"/>
    <w:rsid w:val="0098419D"/>
    <w:rsid w:val="00984750"/>
    <w:rsid w:val="00984816"/>
    <w:rsid w:val="00985258"/>
    <w:rsid w:val="0098596A"/>
    <w:rsid w:val="00986540"/>
    <w:rsid w:val="00986B71"/>
    <w:rsid w:val="00987236"/>
    <w:rsid w:val="00987E30"/>
    <w:rsid w:val="009915B8"/>
    <w:rsid w:val="00991CE8"/>
    <w:rsid w:val="00991F6D"/>
    <w:rsid w:val="0099216E"/>
    <w:rsid w:val="00992F63"/>
    <w:rsid w:val="00993199"/>
    <w:rsid w:val="009943B0"/>
    <w:rsid w:val="00994818"/>
    <w:rsid w:val="00994A90"/>
    <w:rsid w:val="00994B6C"/>
    <w:rsid w:val="00995005"/>
    <w:rsid w:val="0099520A"/>
    <w:rsid w:val="009953B6"/>
    <w:rsid w:val="009965EF"/>
    <w:rsid w:val="0099700C"/>
    <w:rsid w:val="009974DE"/>
    <w:rsid w:val="009977D1"/>
    <w:rsid w:val="009A00C2"/>
    <w:rsid w:val="009A0312"/>
    <w:rsid w:val="009A04B9"/>
    <w:rsid w:val="009A08C5"/>
    <w:rsid w:val="009A3054"/>
    <w:rsid w:val="009A33A1"/>
    <w:rsid w:val="009A3C59"/>
    <w:rsid w:val="009A4575"/>
    <w:rsid w:val="009A51A3"/>
    <w:rsid w:val="009A5D06"/>
    <w:rsid w:val="009B06A8"/>
    <w:rsid w:val="009B09D3"/>
    <w:rsid w:val="009B0EF6"/>
    <w:rsid w:val="009B1922"/>
    <w:rsid w:val="009B1982"/>
    <w:rsid w:val="009B1F6C"/>
    <w:rsid w:val="009B1F9D"/>
    <w:rsid w:val="009B247A"/>
    <w:rsid w:val="009B2A0B"/>
    <w:rsid w:val="009B2B6B"/>
    <w:rsid w:val="009B35EA"/>
    <w:rsid w:val="009B4219"/>
    <w:rsid w:val="009B4A96"/>
    <w:rsid w:val="009B4AA1"/>
    <w:rsid w:val="009B5A02"/>
    <w:rsid w:val="009B5D05"/>
    <w:rsid w:val="009B5ED9"/>
    <w:rsid w:val="009B62E6"/>
    <w:rsid w:val="009B6F69"/>
    <w:rsid w:val="009B763D"/>
    <w:rsid w:val="009B7842"/>
    <w:rsid w:val="009B7902"/>
    <w:rsid w:val="009C02EF"/>
    <w:rsid w:val="009C0A37"/>
    <w:rsid w:val="009C0BD3"/>
    <w:rsid w:val="009C15F5"/>
    <w:rsid w:val="009C16D4"/>
    <w:rsid w:val="009C1A94"/>
    <w:rsid w:val="009C20ED"/>
    <w:rsid w:val="009C2249"/>
    <w:rsid w:val="009C2C98"/>
    <w:rsid w:val="009C387B"/>
    <w:rsid w:val="009C3F59"/>
    <w:rsid w:val="009C5F51"/>
    <w:rsid w:val="009C6853"/>
    <w:rsid w:val="009C6DD9"/>
    <w:rsid w:val="009C6F5C"/>
    <w:rsid w:val="009C746D"/>
    <w:rsid w:val="009C7528"/>
    <w:rsid w:val="009C7BA3"/>
    <w:rsid w:val="009C7DDE"/>
    <w:rsid w:val="009D08B8"/>
    <w:rsid w:val="009D0940"/>
    <w:rsid w:val="009D0A41"/>
    <w:rsid w:val="009D0D80"/>
    <w:rsid w:val="009D2F35"/>
    <w:rsid w:val="009D392E"/>
    <w:rsid w:val="009D39A6"/>
    <w:rsid w:val="009D3D9B"/>
    <w:rsid w:val="009D44DF"/>
    <w:rsid w:val="009D5405"/>
    <w:rsid w:val="009D5AD3"/>
    <w:rsid w:val="009D5D69"/>
    <w:rsid w:val="009D5DEF"/>
    <w:rsid w:val="009D62AB"/>
    <w:rsid w:val="009D644A"/>
    <w:rsid w:val="009D6937"/>
    <w:rsid w:val="009D6FC1"/>
    <w:rsid w:val="009D7751"/>
    <w:rsid w:val="009D7A68"/>
    <w:rsid w:val="009D7A99"/>
    <w:rsid w:val="009D7FB6"/>
    <w:rsid w:val="009E0237"/>
    <w:rsid w:val="009E197E"/>
    <w:rsid w:val="009E1BA2"/>
    <w:rsid w:val="009E1FED"/>
    <w:rsid w:val="009E2B3C"/>
    <w:rsid w:val="009E3B1F"/>
    <w:rsid w:val="009E43D8"/>
    <w:rsid w:val="009E4B8B"/>
    <w:rsid w:val="009E52B5"/>
    <w:rsid w:val="009E63CD"/>
    <w:rsid w:val="009E70E0"/>
    <w:rsid w:val="009E74AE"/>
    <w:rsid w:val="009E765D"/>
    <w:rsid w:val="009F03D2"/>
    <w:rsid w:val="009F10C5"/>
    <w:rsid w:val="009F15A5"/>
    <w:rsid w:val="009F1985"/>
    <w:rsid w:val="009F1DB5"/>
    <w:rsid w:val="009F2472"/>
    <w:rsid w:val="009F371D"/>
    <w:rsid w:val="009F468C"/>
    <w:rsid w:val="009F4863"/>
    <w:rsid w:val="009F4B16"/>
    <w:rsid w:val="009F4B3C"/>
    <w:rsid w:val="009F5794"/>
    <w:rsid w:val="009F6060"/>
    <w:rsid w:val="009F6E4B"/>
    <w:rsid w:val="009F775C"/>
    <w:rsid w:val="009F7A44"/>
    <w:rsid w:val="009F7B23"/>
    <w:rsid w:val="00A009BC"/>
    <w:rsid w:val="00A00CC5"/>
    <w:rsid w:val="00A02512"/>
    <w:rsid w:val="00A028C0"/>
    <w:rsid w:val="00A02C29"/>
    <w:rsid w:val="00A02ECF"/>
    <w:rsid w:val="00A03015"/>
    <w:rsid w:val="00A03353"/>
    <w:rsid w:val="00A03D7D"/>
    <w:rsid w:val="00A040A7"/>
    <w:rsid w:val="00A05F4A"/>
    <w:rsid w:val="00A062D2"/>
    <w:rsid w:val="00A06516"/>
    <w:rsid w:val="00A06683"/>
    <w:rsid w:val="00A06FA5"/>
    <w:rsid w:val="00A105BD"/>
    <w:rsid w:val="00A10DC0"/>
    <w:rsid w:val="00A1165F"/>
    <w:rsid w:val="00A11823"/>
    <w:rsid w:val="00A11C6B"/>
    <w:rsid w:val="00A11E93"/>
    <w:rsid w:val="00A126B5"/>
    <w:rsid w:val="00A127FA"/>
    <w:rsid w:val="00A127FC"/>
    <w:rsid w:val="00A12815"/>
    <w:rsid w:val="00A12986"/>
    <w:rsid w:val="00A135A9"/>
    <w:rsid w:val="00A14253"/>
    <w:rsid w:val="00A1482C"/>
    <w:rsid w:val="00A15DC8"/>
    <w:rsid w:val="00A16002"/>
    <w:rsid w:val="00A16024"/>
    <w:rsid w:val="00A1640F"/>
    <w:rsid w:val="00A165A8"/>
    <w:rsid w:val="00A17C90"/>
    <w:rsid w:val="00A17DE6"/>
    <w:rsid w:val="00A208FD"/>
    <w:rsid w:val="00A2129A"/>
    <w:rsid w:val="00A21764"/>
    <w:rsid w:val="00A22196"/>
    <w:rsid w:val="00A22D56"/>
    <w:rsid w:val="00A24F49"/>
    <w:rsid w:val="00A25374"/>
    <w:rsid w:val="00A254A5"/>
    <w:rsid w:val="00A25A33"/>
    <w:rsid w:val="00A2656F"/>
    <w:rsid w:val="00A26B81"/>
    <w:rsid w:val="00A27638"/>
    <w:rsid w:val="00A30790"/>
    <w:rsid w:val="00A30A44"/>
    <w:rsid w:val="00A30C76"/>
    <w:rsid w:val="00A3226D"/>
    <w:rsid w:val="00A346E6"/>
    <w:rsid w:val="00A34C19"/>
    <w:rsid w:val="00A35E83"/>
    <w:rsid w:val="00A360A0"/>
    <w:rsid w:val="00A37762"/>
    <w:rsid w:val="00A416E4"/>
    <w:rsid w:val="00A424F1"/>
    <w:rsid w:val="00A426A7"/>
    <w:rsid w:val="00A42783"/>
    <w:rsid w:val="00A43C9D"/>
    <w:rsid w:val="00A44823"/>
    <w:rsid w:val="00A464DE"/>
    <w:rsid w:val="00A46787"/>
    <w:rsid w:val="00A468AE"/>
    <w:rsid w:val="00A46B82"/>
    <w:rsid w:val="00A47226"/>
    <w:rsid w:val="00A5151E"/>
    <w:rsid w:val="00A517F9"/>
    <w:rsid w:val="00A521DE"/>
    <w:rsid w:val="00A53033"/>
    <w:rsid w:val="00A53221"/>
    <w:rsid w:val="00A53CF9"/>
    <w:rsid w:val="00A55684"/>
    <w:rsid w:val="00A56338"/>
    <w:rsid w:val="00A5643E"/>
    <w:rsid w:val="00A5689A"/>
    <w:rsid w:val="00A56C44"/>
    <w:rsid w:val="00A6138A"/>
    <w:rsid w:val="00A623F4"/>
    <w:rsid w:val="00A62558"/>
    <w:rsid w:val="00A6330E"/>
    <w:rsid w:val="00A63376"/>
    <w:rsid w:val="00A6374B"/>
    <w:rsid w:val="00A63A87"/>
    <w:rsid w:val="00A64AFA"/>
    <w:rsid w:val="00A64C72"/>
    <w:rsid w:val="00A652A0"/>
    <w:rsid w:val="00A65555"/>
    <w:rsid w:val="00A6556F"/>
    <w:rsid w:val="00A66218"/>
    <w:rsid w:val="00A66F09"/>
    <w:rsid w:val="00A70255"/>
    <w:rsid w:val="00A704B9"/>
    <w:rsid w:val="00A7192A"/>
    <w:rsid w:val="00A7330F"/>
    <w:rsid w:val="00A7398F"/>
    <w:rsid w:val="00A742B2"/>
    <w:rsid w:val="00A74639"/>
    <w:rsid w:val="00A74783"/>
    <w:rsid w:val="00A74BD1"/>
    <w:rsid w:val="00A7550A"/>
    <w:rsid w:val="00A75970"/>
    <w:rsid w:val="00A8053D"/>
    <w:rsid w:val="00A80862"/>
    <w:rsid w:val="00A811FD"/>
    <w:rsid w:val="00A827B9"/>
    <w:rsid w:val="00A82A78"/>
    <w:rsid w:val="00A83C1F"/>
    <w:rsid w:val="00A8453E"/>
    <w:rsid w:val="00A853AE"/>
    <w:rsid w:val="00A8581A"/>
    <w:rsid w:val="00A865FD"/>
    <w:rsid w:val="00A86753"/>
    <w:rsid w:val="00A8691C"/>
    <w:rsid w:val="00A869A1"/>
    <w:rsid w:val="00A86BFF"/>
    <w:rsid w:val="00A8713C"/>
    <w:rsid w:val="00A876B8"/>
    <w:rsid w:val="00A87FB2"/>
    <w:rsid w:val="00A9035F"/>
    <w:rsid w:val="00A904A9"/>
    <w:rsid w:val="00A90656"/>
    <w:rsid w:val="00A92483"/>
    <w:rsid w:val="00A92B22"/>
    <w:rsid w:val="00A94413"/>
    <w:rsid w:val="00A95803"/>
    <w:rsid w:val="00A95DFE"/>
    <w:rsid w:val="00A9739A"/>
    <w:rsid w:val="00A9760E"/>
    <w:rsid w:val="00A97AE5"/>
    <w:rsid w:val="00A97BBC"/>
    <w:rsid w:val="00AA0468"/>
    <w:rsid w:val="00AA0B5E"/>
    <w:rsid w:val="00AA105A"/>
    <w:rsid w:val="00AA2400"/>
    <w:rsid w:val="00AA28D1"/>
    <w:rsid w:val="00AA2ED2"/>
    <w:rsid w:val="00AA312B"/>
    <w:rsid w:val="00AA3ACB"/>
    <w:rsid w:val="00AA4BB3"/>
    <w:rsid w:val="00AA519F"/>
    <w:rsid w:val="00AA549D"/>
    <w:rsid w:val="00AA597F"/>
    <w:rsid w:val="00AA6AF0"/>
    <w:rsid w:val="00AA73C7"/>
    <w:rsid w:val="00AA7A08"/>
    <w:rsid w:val="00AA7AC6"/>
    <w:rsid w:val="00AB08D5"/>
    <w:rsid w:val="00AB17B0"/>
    <w:rsid w:val="00AB19D9"/>
    <w:rsid w:val="00AB25AE"/>
    <w:rsid w:val="00AB2C87"/>
    <w:rsid w:val="00AB36FC"/>
    <w:rsid w:val="00AB3D51"/>
    <w:rsid w:val="00AB3F81"/>
    <w:rsid w:val="00AB414B"/>
    <w:rsid w:val="00AB4686"/>
    <w:rsid w:val="00AB4FE4"/>
    <w:rsid w:val="00AB5221"/>
    <w:rsid w:val="00AB5D65"/>
    <w:rsid w:val="00AB5F61"/>
    <w:rsid w:val="00AB618B"/>
    <w:rsid w:val="00AB67DE"/>
    <w:rsid w:val="00AB6803"/>
    <w:rsid w:val="00AB6BAF"/>
    <w:rsid w:val="00AB7488"/>
    <w:rsid w:val="00AC0004"/>
    <w:rsid w:val="00AC0FDB"/>
    <w:rsid w:val="00AC1C2F"/>
    <w:rsid w:val="00AC2559"/>
    <w:rsid w:val="00AC2F33"/>
    <w:rsid w:val="00AC340F"/>
    <w:rsid w:val="00AC584D"/>
    <w:rsid w:val="00AC5ABC"/>
    <w:rsid w:val="00AC5ADC"/>
    <w:rsid w:val="00AC5C6D"/>
    <w:rsid w:val="00AC66D5"/>
    <w:rsid w:val="00AC6896"/>
    <w:rsid w:val="00AC7D4F"/>
    <w:rsid w:val="00AD010B"/>
    <w:rsid w:val="00AD0856"/>
    <w:rsid w:val="00AD0954"/>
    <w:rsid w:val="00AD0978"/>
    <w:rsid w:val="00AD0B46"/>
    <w:rsid w:val="00AD1262"/>
    <w:rsid w:val="00AD168A"/>
    <w:rsid w:val="00AD181C"/>
    <w:rsid w:val="00AD1CF1"/>
    <w:rsid w:val="00AD218E"/>
    <w:rsid w:val="00AD2403"/>
    <w:rsid w:val="00AD26E9"/>
    <w:rsid w:val="00AD4487"/>
    <w:rsid w:val="00AD53AD"/>
    <w:rsid w:val="00AD5857"/>
    <w:rsid w:val="00AD5A3F"/>
    <w:rsid w:val="00AD5D52"/>
    <w:rsid w:val="00AD63DD"/>
    <w:rsid w:val="00AD72F4"/>
    <w:rsid w:val="00AD779B"/>
    <w:rsid w:val="00AD7909"/>
    <w:rsid w:val="00AE026F"/>
    <w:rsid w:val="00AE0FAC"/>
    <w:rsid w:val="00AE12B8"/>
    <w:rsid w:val="00AE167E"/>
    <w:rsid w:val="00AE184C"/>
    <w:rsid w:val="00AE1B2B"/>
    <w:rsid w:val="00AE1D9B"/>
    <w:rsid w:val="00AE28C7"/>
    <w:rsid w:val="00AE2AAE"/>
    <w:rsid w:val="00AE2C2D"/>
    <w:rsid w:val="00AE2DCA"/>
    <w:rsid w:val="00AE3069"/>
    <w:rsid w:val="00AE3337"/>
    <w:rsid w:val="00AE3A5A"/>
    <w:rsid w:val="00AE3D88"/>
    <w:rsid w:val="00AE413A"/>
    <w:rsid w:val="00AE455C"/>
    <w:rsid w:val="00AE4665"/>
    <w:rsid w:val="00AE4BBE"/>
    <w:rsid w:val="00AE5B65"/>
    <w:rsid w:val="00AE5FAA"/>
    <w:rsid w:val="00AE6032"/>
    <w:rsid w:val="00AE745A"/>
    <w:rsid w:val="00AE7B85"/>
    <w:rsid w:val="00AF122B"/>
    <w:rsid w:val="00AF1EE8"/>
    <w:rsid w:val="00AF2081"/>
    <w:rsid w:val="00AF2666"/>
    <w:rsid w:val="00AF292E"/>
    <w:rsid w:val="00AF3083"/>
    <w:rsid w:val="00AF3185"/>
    <w:rsid w:val="00AF3D01"/>
    <w:rsid w:val="00AF41DD"/>
    <w:rsid w:val="00AF4D83"/>
    <w:rsid w:val="00AF50B6"/>
    <w:rsid w:val="00AF61DA"/>
    <w:rsid w:val="00AF687D"/>
    <w:rsid w:val="00AF6C87"/>
    <w:rsid w:val="00AF7090"/>
    <w:rsid w:val="00AF7225"/>
    <w:rsid w:val="00AF747B"/>
    <w:rsid w:val="00B005AC"/>
    <w:rsid w:val="00B005C4"/>
    <w:rsid w:val="00B00C53"/>
    <w:rsid w:val="00B01A5A"/>
    <w:rsid w:val="00B01C5A"/>
    <w:rsid w:val="00B029C5"/>
    <w:rsid w:val="00B02DE5"/>
    <w:rsid w:val="00B0367E"/>
    <w:rsid w:val="00B040F0"/>
    <w:rsid w:val="00B047DC"/>
    <w:rsid w:val="00B04FDC"/>
    <w:rsid w:val="00B05128"/>
    <w:rsid w:val="00B05930"/>
    <w:rsid w:val="00B05FE8"/>
    <w:rsid w:val="00B061C2"/>
    <w:rsid w:val="00B07414"/>
    <w:rsid w:val="00B07607"/>
    <w:rsid w:val="00B07B33"/>
    <w:rsid w:val="00B07B86"/>
    <w:rsid w:val="00B10138"/>
    <w:rsid w:val="00B119FF"/>
    <w:rsid w:val="00B12443"/>
    <w:rsid w:val="00B12BF3"/>
    <w:rsid w:val="00B12EF0"/>
    <w:rsid w:val="00B13C5F"/>
    <w:rsid w:val="00B148D3"/>
    <w:rsid w:val="00B1493D"/>
    <w:rsid w:val="00B14D33"/>
    <w:rsid w:val="00B15336"/>
    <w:rsid w:val="00B17010"/>
    <w:rsid w:val="00B20659"/>
    <w:rsid w:val="00B23023"/>
    <w:rsid w:val="00B2417E"/>
    <w:rsid w:val="00B24518"/>
    <w:rsid w:val="00B24EF4"/>
    <w:rsid w:val="00B25224"/>
    <w:rsid w:val="00B255E7"/>
    <w:rsid w:val="00B257BB"/>
    <w:rsid w:val="00B259B0"/>
    <w:rsid w:val="00B2621E"/>
    <w:rsid w:val="00B26CBD"/>
    <w:rsid w:val="00B306B9"/>
    <w:rsid w:val="00B307B1"/>
    <w:rsid w:val="00B30A11"/>
    <w:rsid w:val="00B310D4"/>
    <w:rsid w:val="00B31658"/>
    <w:rsid w:val="00B322AE"/>
    <w:rsid w:val="00B33FA1"/>
    <w:rsid w:val="00B346C9"/>
    <w:rsid w:val="00B34EE7"/>
    <w:rsid w:val="00B35189"/>
    <w:rsid w:val="00B35596"/>
    <w:rsid w:val="00B35B34"/>
    <w:rsid w:val="00B35FFA"/>
    <w:rsid w:val="00B36A6E"/>
    <w:rsid w:val="00B401E2"/>
    <w:rsid w:val="00B41819"/>
    <w:rsid w:val="00B41A3F"/>
    <w:rsid w:val="00B41B67"/>
    <w:rsid w:val="00B41EE3"/>
    <w:rsid w:val="00B42A52"/>
    <w:rsid w:val="00B42A6C"/>
    <w:rsid w:val="00B42FC7"/>
    <w:rsid w:val="00B43137"/>
    <w:rsid w:val="00B43C17"/>
    <w:rsid w:val="00B4403C"/>
    <w:rsid w:val="00B44288"/>
    <w:rsid w:val="00B44386"/>
    <w:rsid w:val="00B452CD"/>
    <w:rsid w:val="00B4613F"/>
    <w:rsid w:val="00B46234"/>
    <w:rsid w:val="00B4655D"/>
    <w:rsid w:val="00B46EA6"/>
    <w:rsid w:val="00B470BA"/>
    <w:rsid w:val="00B47445"/>
    <w:rsid w:val="00B47E00"/>
    <w:rsid w:val="00B505FE"/>
    <w:rsid w:val="00B50D7A"/>
    <w:rsid w:val="00B512CC"/>
    <w:rsid w:val="00B519AC"/>
    <w:rsid w:val="00B53140"/>
    <w:rsid w:val="00B538F4"/>
    <w:rsid w:val="00B53AAC"/>
    <w:rsid w:val="00B53D65"/>
    <w:rsid w:val="00B54289"/>
    <w:rsid w:val="00B55787"/>
    <w:rsid w:val="00B56AB2"/>
    <w:rsid w:val="00B5748D"/>
    <w:rsid w:val="00B574C3"/>
    <w:rsid w:val="00B57931"/>
    <w:rsid w:val="00B57BEC"/>
    <w:rsid w:val="00B57BF3"/>
    <w:rsid w:val="00B57F97"/>
    <w:rsid w:val="00B60083"/>
    <w:rsid w:val="00B60833"/>
    <w:rsid w:val="00B60F18"/>
    <w:rsid w:val="00B61E40"/>
    <w:rsid w:val="00B61EDF"/>
    <w:rsid w:val="00B649A1"/>
    <w:rsid w:val="00B64F89"/>
    <w:rsid w:val="00B652F6"/>
    <w:rsid w:val="00B65F5F"/>
    <w:rsid w:val="00B66E21"/>
    <w:rsid w:val="00B67DCC"/>
    <w:rsid w:val="00B703F0"/>
    <w:rsid w:val="00B705B2"/>
    <w:rsid w:val="00B72135"/>
    <w:rsid w:val="00B721BC"/>
    <w:rsid w:val="00B725D7"/>
    <w:rsid w:val="00B72C35"/>
    <w:rsid w:val="00B73208"/>
    <w:rsid w:val="00B733FE"/>
    <w:rsid w:val="00B7363A"/>
    <w:rsid w:val="00B736D9"/>
    <w:rsid w:val="00B737BE"/>
    <w:rsid w:val="00B73A2B"/>
    <w:rsid w:val="00B73C34"/>
    <w:rsid w:val="00B744B3"/>
    <w:rsid w:val="00B7505E"/>
    <w:rsid w:val="00B75337"/>
    <w:rsid w:val="00B766FD"/>
    <w:rsid w:val="00B77133"/>
    <w:rsid w:val="00B775F7"/>
    <w:rsid w:val="00B77A55"/>
    <w:rsid w:val="00B77BB3"/>
    <w:rsid w:val="00B804A8"/>
    <w:rsid w:val="00B8093F"/>
    <w:rsid w:val="00B80EF6"/>
    <w:rsid w:val="00B8127B"/>
    <w:rsid w:val="00B815BA"/>
    <w:rsid w:val="00B81BF5"/>
    <w:rsid w:val="00B82061"/>
    <w:rsid w:val="00B82F11"/>
    <w:rsid w:val="00B82F9B"/>
    <w:rsid w:val="00B83244"/>
    <w:rsid w:val="00B84F1A"/>
    <w:rsid w:val="00B858B2"/>
    <w:rsid w:val="00B8684C"/>
    <w:rsid w:val="00B86A19"/>
    <w:rsid w:val="00B872D6"/>
    <w:rsid w:val="00B873C3"/>
    <w:rsid w:val="00B8764F"/>
    <w:rsid w:val="00B90003"/>
    <w:rsid w:val="00B9053A"/>
    <w:rsid w:val="00B92778"/>
    <w:rsid w:val="00B92FE4"/>
    <w:rsid w:val="00B9480F"/>
    <w:rsid w:val="00B94C4F"/>
    <w:rsid w:val="00B94CA5"/>
    <w:rsid w:val="00B95598"/>
    <w:rsid w:val="00B95CEE"/>
    <w:rsid w:val="00B964D2"/>
    <w:rsid w:val="00B965A5"/>
    <w:rsid w:val="00B9670C"/>
    <w:rsid w:val="00B967F5"/>
    <w:rsid w:val="00BA0C43"/>
    <w:rsid w:val="00BA0D93"/>
    <w:rsid w:val="00BA2A39"/>
    <w:rsid w:val="00BA2B06"/>
    <w:rsid w:val="00BA2C4D"/>
    <w:rsid w:val="00BA2CD1"/>
    <w:rsid w:val="00BA2CEA"/>
    <w:rsid w:val="00BA3028"/>
    <w:rsid w:val="00BA3304"/>
    <w:rsid w:val="00BA3532"/>
    <w:rsid w:val="00BA4374"/>
    <w:rsid w:val="00BA49AC"/>
    <w:rsid w:val="00BA5792"/>
    <w:rsid w:val="00BA63DF"/>
    <w:rsid w:val="00BA7BBE"/>
    <w:rsid w:val="00BB0E7F"/>
    <w:rsid w:val="00BB0F06"/>
    <w:rsid w:val="00BB14D3"/>
    <w:rsid w:val="00BB18DD"/>
    <w:rsid w:val="00BB23D9"/>
    <w:rsid w:val="00BB2CAD"/>
    <w:rsid w:val="00BB6ABD"/>
    <w:rsid w:val="00BB7124"/>
    <w:rsid w:val="00BB7911"/>
    <w:rsid w:val="00BC1FAD"/>
    <w:rsid w:val="00BC2373"/>
    <w:rsid w:val="00BC412A"/>
    <w:rsid w:val="00BC4BB2"/>
    <w:rsid w:val="00BC57A9"/>
    <w:rsid w:val="00BC5A1B"/>
    <w:rsid w:val="00BC5B1B"/>
    <w:rsid w:val="00BC5B97"/>
    <w:rsid w:val="00BC5F09"/>
    <w:rsid w:val="00BC6F4B"/>
    <w:rsid w:val="00BC74D8"/>
    <w:rsid w:val="00BC7903"/>
    <w:rsid w:val="00BD0EA1"/>
    <w:rsid w:val="00BD1CF7"/>
    <w:rsid w:val="00BD2A4E"/>
    <w:rsid w:val="00BD2F2A"/>
    <w:rsid w:val="00BD3596"/>
    <w:rsid w:val="00BD3818"/>
    <w:rsid w:val="00BD39A7"/>
    <w:rsid w:val="00BD39D7"/>
    <w:rsid w:val="00BD4113"/>
    <w:rsid w:val="00BD440B"/>
    <w:rsid w:val="00BD4645"/>
    <w:rsid w:val="00BD4F09"/>
    <w:rsid w:val="00BD4F93"/>
    <w:rsid w:val="00BD58A3"/>
    <w:rsid w:val="00BD65AA"/>
    <w:rsid w:val="00BD6F32"/>
    <w:rsid w:val="00BD7380"/>
    <w:rsid w:val="00BE0EC7"/>
    <w:rsid w:val="00BE1444"/>
    <w:rsid w:val="00BE2079"/>
    <w:rsid w:val="00BE2558"/>
    <w:rsid w:val="00BE2577"/>
    <w:rsid w:val="00BE2754"/>
    <w:rsid w:val="00BE34D9"/>
    <w:rsid w:val="00BE35EB"/>
    <w:rsid w:val="00BE3D18"/>
    <w:rsid w:val="00BE40C4"/>
    <w:rsid w:val="00BE4FF4"/>
    <w:rsid w:val="00BE5873"/>
    <w:rsid w:val="00BE5D39"/>
    <w:rsid w:val="00BE7115"/>
    <w:rsid w:val="00BF03BA"/>
    <w:rsid w:val="00BF12AB"/>
    <w:rsid w:val="00BF264A"/>
    <w:rsid w:val="00BF3721"/>
    <w:rsid w:val="00BF395F"/>
    <w:rsid w:val="00BF5CD9"/>
    <w:rsid w:val="00BF5F44"/>
    <w:rsid w:val="00BF7E6A"/>
    <w:rsid w:val="00C0239E"/>
    <w:rsid w:val="00C02948"/>
    <w:rsid w:val="00C0435B"/>
    <w:rsid w:val="00C047D5"/>
    <w:rsid w:val="00C04A80"/>
    <w:rsid w:val="00C05265"/>
    <w:rsid w:val="00C057BE"/>
    <w:rsid w:val="00C05BC1"/>
    <w:rsid w:val="00C05CE3"/>
    <w:rsid w:val="00C05FB0"/>
    <w:rsid w:val="00C0636E"/>
    <w:rsid w:val="00C064CE"/>
    <w:rsid w:val="00C066AC"/>
    <w:rsid w:val="00C067D5"/>
    <w:rsid w:val="00C0687A"/>
    <w:rsid w:val="00C07C69"/>
    <w:rsid w:val="00C10F34"/>
    <w:rsid w:val="00C1132D"/>
    <w:rsid w:val="00C11C68"/>
    <w:rsid w:val="00C13118"/>
    <w:rsid w:val="00C1367D"/>
    <w:rsid w:val="00C136EC"/>
    <w:rsid w:val="00C1384B"/>
    <w:rsid w:val="00C141E4"/>
    <w:rsid w:val="00C1482C"/>
    <w:rsid w:val="00C153EE"/>
    <w:rsid w:val="00C1547E"/>
    <w:rsid w:val="00C15A1D"/>
    <w:rsid w:val="00C164A5"/>
    <w:rsid w:val="00C169F5"/>
    <w:rsid w:val="00C17141"/>
    <w:rsid w:val="00C17D61"/>
    <w:rsid w:val="00C17EC5"/>
    <w:rsid w:val="00C17F1C"/>
    <w:rsid w:val="00C20006"/>
    <w:rsid w:val="00C200BC"/>
    <w:rsid w:val="00C202DB"/>
    <w:rsid w:val="00C202F9"/>
    <w:rsid w:val="00C20594"/>
    <w:rsid w:val="00C20F33"/>
    <w:rsid w:val="00C20FBB"/>
    <w:rsid w:val="00C21A88"/>
    <w:rsid w:val="00C226AE"/>
    <w:rsid w:val="00C2400F"/>
    <w:rsid w:val="00C244A6"/>
    <w:rsid w:val="00C2496E"/>
    <w:rsid w:val="00C24AA5"/>
    <w:rsid w:val="00C25182"/>
    <w:rsid w:val="00C255F3"/>
    <w:rsid w:val="00C256CA"/>
    <w:rsid w:val="00C25967"/>
    <w:rsid w:val="00C26B78"/>
    <w:rsid w:val="00C30339"/>
    <w:rsid w:val="00C304B4"/>
    <w:rsid w:val="00C305CD"/>
    <w:rsid w:val="00C30CD8"/>
    <w:rsid w:val="00C31125"/>
    <w:rsid w:val="00C311DB"/>
    <w:rsid w:val="00C317D7"/>
    <w:rsid w:val="00C31A99"/>
    <w:rsid w:val="00C3206B"/>
    <w:rsid w:val="00C32BC1"/>
    <w:rsid w:val="00C32E41"/>
    <w:rsid w:val="00C32ECB"/>
    <w:rsid w:val="00C33AC5"/>
    <w:rsid w:val="00C34A8D"/>
    <w:rsid w:val="00C34AE9"/>
    <w:rsid w:val="00C34DA6"/>
    <w:rsid w:val="00C34DD5"/>
    <w:rsid w:val="00C34FE6"/>
    <w:rsid w:val="00C35185"/>
    <w:rsid w:val="00C3608D"/>
    <w:rsid w:val="00C36A3B"/>
    <w:rsid w:val="00C3745A"/>
    <w:rsid w:val="00C37F65"/>
    <w:rsid w:val="00C403FE"/>
    <w:rsid w:val="00C405D8"/>
    <w:rsid w:val="00C406AA"/>
    <w:rsid w:val="00C41438"/>
    <w:rsid w:val="00C418D1"/>
    <w:rsid w:val="00C41DE6"/>
    <w:rsid w:val="00C41E14"/>
    <w:rsid w:val="00C4210F"/>
    <w:rsid w:val="00C42196"/>
    <w:rsid w:val="00C424C5"/>
    <w:rsid w:val="00C4313C"/>
    <w:rsid w:val="00C43A6E"/>
    <w:rsid w:val="00C44BC9"/>
    <w:rsid w:val="00C45B4D"/>
    <w:rsid w:val="00C46422"/>
    <w:rsid w:val="00C46511"/>
    <w:rsid w:val="00C46B12"/>
    <w:rsid w:val="00C479FE"/>
    <w:rsid w:val="00C47A87"/>
    <w:rsid w:val="00C50387"/>
    <w:rsid w:val="00C51CE3"/>
    <w:rsid w:val="00C522C2"/>
    <w:rsid w:val="00C522F5"/>
    <w:rsid w:val="00C52CBF"/>
    <w:rsid w:val="00C52DDC"/>
    <w:rsid w:val="00C53067"/>
    <w:rsid w:val="00C5365A"/>
    <w:rsid w:val="00C542FD"/>
    <w:rsid w:val="00C54334"/>
    <w:rsid w:val="00C549D4"/>
    <w:rsid w:val="00C55B89"/>
    <w:rsid w:val="00C55B92"/>
    <w:rsid w:val="00C56284"/>
    <w:rsid w:val="00C56553"/>
    <w:rsid w:val="00C56E61"/>
    <w:rsid w:val="00C5718F"/>
    <w:rsid w:val="00C573DE"/>
    <w:rsid w:val="00C5781A"/>
    <w:rsid w:val="00C603EF"/>
    <w:rsid w:val="00C60AF9"/>
    <w:rsid w:val="00C60B9B"/>
    <w:rsid w:val="00C60DD8"/>
    <w:rsid w:val="00C61A27"/>
    <w:rsid w:val="00C625FD"/>
    <w:rsid w:val="00C63051"/>
    <w:rsid w:val="00C64EC0"/>
    <w:rsid w:val="00C6500B"/>
    <w:rsid w:val="00C650D0"/>
    <w:rsid w:val="00C65C7E"/>
    <w:rsid w:val="00C66188"/>
    <w:rsid w:val="00C66E9F"/>
    <w:rsid w:val="00C67524"/>
    <w:rsid w:val="00C70878"/>
    <w:rsid w:val="00C70FCE"/>
    <w:rsid w:val="00C71899"/>
    <w:rsid w:val="00C71A5A"/>
    <w:rsid w:val="00C73AA3"/>
    <w:rsid w:val="00C740E3"/>
    <w:rsid w:val="00C743AD"/>
    <w:rsid w:val="00C74855"/>
    <w:rsid w:val="00C75893"/>
    <w:rsid w:val="00C761E0"/>
    <w:rsid w:val="00C7629D"/>
    <w:rsid w:val="00C766AB"/>
    <w:rsid w:val="00C7741C"/>
    <w:rsid w:val="00C77D64"/>
    <w:rsid w:val="00C77F3A"/>
    <w:rsid w:val="00C810F6"/>
    <w:rsid w:val="00C81561"/>
    <w:rsid w:val="00C820D9"/>
    <w:rsid w:val="00C82A26"/>
    <w:rsid w:val="00C82E74"/>
    <w:rsid w:val="00C8305B"/>
    <w:rsid w:val="00C84601"/>
    <w:rsid w:val="00C84929"/>
    <w:rsid w:val="00C84A52"/>
    <w:rsid w:val="00C84D0A"/>
    <w:rsid w:val="00C8663F"/>
    <w:rsid w:val="00C87498"/>
    <w:rsid w:val="00C87FE9"/>
    <w:rsid w:val="00C90078"/>
    <w:rsid w:val="00C9017D"/>
    <w:rsid w:val="00C92FD7"/>
    <w:rsid w:val="00C93A4D"/>
    <w:rsid w:val="00C93E7E"/>
    <w:rsid w:val="00C94BB2"/>
    <w:rsid w:val="00C94CF9"/>
    <w:rsid w:val="00C954BA"/>
    <w:rsid w:val="00C957A1"/>
    <w:rsid w:val="00C95D79"/>
    <w:rsid w:val="00C9628C"/>
    <w:rsid w:val="00C9635F"/>
    <w:rsid w:val="00C9718A"/>
    <w:rsid w:val="00C973E6"/>
    <w:rsid w:val="00CA2346"/>
    <w:rsid w:val="00CA23D0"/>
    <w:rsid w:val="00CA25B5"/>
    <w:rsid w:val="00CA2D2E"/>
    <w:rsid w:val="00CA2DD7"/>
    <w:rsid w:val="00CA32F2"/>
    <w:rsid w:val="00CA3CAC"/>
    <w:rsid w:val="00CA3F91"/>
    <w:rsid w:val="00CA4E02"/>
    <w:rsid w:val="00CA57BE"/>
    <w:rsid w:val="00CA583E"/>
    <w:rsid w:val="00CA5DBF"/>
    <w:rsid w:val="00CA60C8"/>
    <w:rsid w:val="00CA7C9C"/>
    <w:rsid w:val="00CB00E8"/>
    <w:rsid w:val="00CB0CDE"/>
    <w:rsid w:val="00CB1A43"/>
    <w:rsid w:val="00CB33C4"/>
    <w:rsid w:val="00CB3400"/>
    <w:rsid w:val="00CB3674"/>
    <w:rsid w:val="00CB39A8"/>
    <w:rsid w:val="00CB3C36"/>
    <w:rsid w:val="00CB51AD"/>
    <w:rsid w:val="00CB5561"/>
    <w:rsid w:val="00CB5634"/>
    <w:rsid w:val="00CB623B"/>
    <w:rsid w:val="00CB68C3"/>
    <w:rsid w:val="00CB74DA"/>
    <w:rsid w:val="00CB7868"/>
    <w:rsid w:val="00CB7F52"/>
    <w:rsid w:val="00CB7F5C"/>
    <w:rsid w:val="00CC0964"/>
    <w:rsid w:val="00CC0BCE"/>
    <w:rsid w:val="00CC0D47"/>
    <w:rsid w:val="00CC0F37"/>
    <w:rsid w:val="00CC132B"/>
    <w:rsid w:val="00CC2A2B"/>
    <w:rsid w:val="00CC325A"/>
    <w:rsid w:val="00CC3F72"/>
    <w:rsid w:val="00CC4260"/>
    <w:rsid w:val="00CC4309"/>
    <w:rsid w:val="00CC5412"/>
    <w:rsid w:val="00CC5646"/>
    <w:rsid w:val="00CC577E"/>
    <w:rsid w:val="00CC5E7B"/>
    <w:rsid w:val="00CC5FAA"/>
    <w:rsid w:val="00CC5FBA"/>
    <w:rsid w:val="00CC6281"/>
    <w:rsid w:val="00CC75BB"/>
    <w:rsid w:val="00CC7BA3"/>
    <w:rsid w:val="00CD09C1"/>
    <w:rsid w:val="00CD0F73"/>
    <w:rsid w:val="00CD10FE"/>
    <w:rsid w:val="00CD210A"/>
    <w:rsid w:val="00CD2882"/>
    <w:rsid w:val="00CD2898"/>
    <w:rsid w:val="00CD29E5"/>
    <w:rsid w:val="00CD29EB"/>
    <w:rsid w:val="00CD2F3C"/>
    <w:rsid w:val="00CD32B1"/>
    <w:rsid w:val="00CD38F3"/>
    <w:rsid w:val="00CD3E45"/>
    <w:rsid w:val="00CD44C2"/>
    <w:rsid w:val="00CD49AB"/>
    <w:rsid w:val="00CD6456"/>
    <w:rsid w:val="00CD6603"/>
    <w:rsid w:val="00CD6BA7"/>
    <w:rsid w:val="00CD6C8C"/>
    <w:rsid w:val="00CD7235"/>
    <w:rsid w:val="00CE099E"/>
    <w:rsid w:val="00CE221F"/>
    <w:rsid w:val="00CE3005"/>
    <w:rsid w:val="00CE3313"/>
    <w:rsid w:val="00CE40F3"/>
    <w:rsid w:val="00CE42C6"/>
    <w:rsid w:val="00CE4F49"/>
    <w:rsid w:val="00CE4F77"/>
    <w:rsid w:val="00CE5209"/>
    <w:rsid w:val="00CE541B"/>
    <w:rsid w:val="00CE5F91"/>
    <w:rsid w:val="00CE67A8"/>
    <w:rsid w:val="00CE7E27"/>
    <w:rsid w:val="00CE7E2D"/>
    <w:rsid w:val="00CF09DB"/>
    <w:rsid w:val="00CF0A41"/>
    <w:rsid w:val="00CF0C81"/>
    <w:rsid w:val="00CF1AC0"/>
    <w:rsid w:val="00CF23DB"/>
    <w:rsid w:val="00CF25A0"/>
    <w:rsid w:val="00CF26E0"/>
    <w:rsid w:val="00CF399E"/>
    <w:rsid w:val="00CF3A7D"/>
    <w:rsid w:val="00CF3B17"/>
    <w:rsid w:val="00CF4F2A"/>
    <w:rsid w:val="00CF5CDA"/>
    <w:rsid w:val="00CF5DA7"/>
    <w:rsid w:val="00CF6322"/>
    <w:rsid w:val="00CF651E"/>
    <w:rsid w:val="00CF6A13"/>
    <w:rsid w:val="00CF6A8C"/>
    <w:rsid w:val="00CF6C13"/>
    <w:rsid w:val="00CF6DB0"/>
    <w:rsid w:val="00CF73D1"/>
    <w:rsid w:val="00CF7566"/>
    <w:rsid w:val="00CF7983"/>
    <w:rsid w:val="00D003B8"/>
    <w:rsid w:val="00D00C7D"/>
    <w:rsid w:val="00D01BED"/>
    <w:rsid w:val="00D021EA"/>
    <w:rsid w:val="00D03507"/>
    <w:rsid w:val="00D03597"/>
    <w:rsid w:val="00D03651"/>
    <w:rsid w:val="00D04274"/>
    <w:rsid w:val="00D04A40"/>
    <w:rsid w:val="00D06B73"/>
    <w:rsid w:val="00D06D0B"/>
    <w:rsid w:val="00D11480"/>
    <w:rsid w:val="00D12142"/>
    <w:rsid w:val="00D12311"/>
    <w:rsid w:val="00D1265E"/>
    <w:rsid w:val="00D1270B"/>
    <w:rsid w:val="00D13366"/>
    <w:rsid w:val="00D13AC7"/>
    <w:rsid w:val="00D144EE"/>
    <w:rsid w:val="00D14B98"/>
    <w:rsid w:val="00D152FD"/>
    <w:rsid w:val="00D16352"/>
    <w:rsid w:val="00D16C23"/>
    <w:rsid w:val="00D1735D"/>
    <w:rsid w:val="00D17E3F"/>
    <w:rsid w:val="00D17F0B"/>
    <w:rsid w:val="00D20488"/>
    <w:rsid w:val="00D206BC"/>
    <w:rsid w:val="00D20ABC"/>
    <w:rsid w:val="00D20AC7"/>
    <w:rsid w:val="00D20E4E"/>
    <w:rsid w:val="00D21738"/>
    <w:rsid w:val="00D21F22"/>
    <w:rsid w:val="00D2231F"/>
    <w:rsid w:val="00D22873"/>
    <w:rsid w:val="00D22B95"/>
    <w:rsid w:val="00D22D76"/>
    <w:rsid w:val="00D232F9"/>
    <w:rsid w:val="00D23F7E"/>
    <w:rsid w:val="00D24277"/>
    <w:rsid w:val="00D245FC"/>
    <w:rsid w:val="00D24F5A"/>
    <w:rsid w:val="00D25DE3"/>
    <w:rsid w:val="00D2749A"/>
    <w:rsid w:val="00D27771"/>
    <w:rsid w:val="00D27A7E"/>
    <w:rsid w:val="00D30AFA"/>
    <w:rsid w:val="00D32D99"/>
    <w:rsid w:val="00D34606"/>
    <w:rsid w:val="00D352BF"/>
    <w:rsid w:val="00D356D7"/>
    <w:rsid w:val="00D362B7"/>
    <w:rsid w:val="00D371D1"/>
    <w:rsid w:val="00D37B39"/>
    <w:rsid w:val="00D40602"/>
    <w:rsid w:val="00D40775"/>
    <w:rsid w:val="00D40808"/>
    <w:rsid w:val="00D41475"/>
    <w:rsid w:val="00D420C3"/>
    <w:rsid w:val="00D4219E"/>
    <w:rsid w:val="00D42B95"/>
    <w:rsid w:val="00D43052"/>
    <w:rsid w:val="00D43D80"/>
    <w:rsid w:val="00D4572C"/>
    <w:rsid w:val="00D457DC"/>
    <w:rsid w:val="00D45FE6"/>
    <w:rsid w:val="00D46678"/>
    <w:rsid w:val="00D51113"/>
    <w:rsid w:val="00D51715"/>
    <w:rsid w:val="00D51AC3"/>
    <w:rsid w:val="00D52FE5"/>
    <w:rsid w:val="00D530F6"/>
    <w:rsid w:val="00D532D4"/>
    <w:rsid w:val="00D53486"/>
    <w:rsid w:val="00D53A33"/>
    <w:rsid w:val="00D53A54"/>
    <w:rsid w:val="00D540B6"/>
    <w:rsid w:val="00D54A08"/>
    <w:rsid w:val="00D556B1"/>
    <w:rsid w:val="00D5583A"/>
    <w:rsid w:val="00D56652"/>
    <w:rsid w:val="00D60098"/>
    <w:rsid w:val="00D6084C"/>
    <w:rsid w:val="00D6088A"/>
    <w:rsid w:val="00D618A1"/>
    <w:rsid w:val="00D62647"/>
    <w:rsid w:val="00D64282"/>
    <w:rsid w:val="00D65443"/>
    <w:rsid w:val="00D658B1"/>
    <w:rsid w:val="00D66A24"/>
    <w:rsid w:val="00D67A4F"/>
    <w:rsid w:val="00D67D2B"/>
    <w:rsid w:val="00D67F32"/>
    <w:rsid w:val="00D708BC"/>
    <w:rsid w:val="00D70941"/>
    <w:rsid w:val="00D71DD5"/>
    <w:rsid w:val="00D71ED7"/>
    <w:rsid w:val="00D72192"/>
    <w:rsid w:val="00D72363"/>
    <w:rsid w:val="00D72483"/>
    <w:rsid w:val="00D729E3"/>
    <w:rsid w:val="00D72A6D"/>
    <w:rsid w:val="00D72AFE"/>
    <w:rsid w:val="00D73190"/>
    <w:rsid w:val="00D731CB"/>
    <w:rsid w:val="00D73415"/>
    <w:rsid w:val="00D750D9"/>
    <w:rsid w:val="00D75A78"/>
    <w:rsid w:val="00D76251"/>
    <w:rsid w:val="00D76755"/>
    <w:rsid w:val="00D774CC"/>
    <w:rsid w:val="00D809A0"/>
    <w:rsid w:val="00D816D0"/>
    <w:rsid w:val="00D81792"/>
    <w:rsid w:val="00D81967"/>
    <w:rsid w:val="00D81B3F"/>
    <w:rsid w:val="00D8210F"/>
    <w:rsid w:val="00D8278C"/>
    <w:rsid w:val="00D841C2"/>
    <w:rsid w:val="00D8435D"/>
    <w:rsid w:val="00D84C71"/>
    <w:rsid w:val="00D8608A"/>
    <w:rsid w:val="00D86434"/>
    <w:rsid w:val="00D86B62"/>
    <w:rsid w:val="00D86D32"/>
    <w:rsid w:val="00D871F9"/>
    <w:rsid w:val="00D9016F"/>
    <w:rsid w:val="00D90787"/>
    <w:rsid w:val="00D907A7"/>
    <w:rsid w:val="00D920DA"/>
    <w:rsid w:val="00D931B6"/>
    <w:rsid w:val="00D93330"/>
    <w:rsid w:val="00D94C43"/>
    <w:rsid w:val="00D957A0"/>
    <w:rsid w:val="00D961B1"/>
    <w:rsid w:val="00D96E6A"/>
    <w:rsid w:val="00DA05B5"/>
    <w:rsid w:val="00DA0C49"/>
    <w:rsid w:val="00DA1C7D"/>
    <w:rsid w:val="00DA2D0A"/>
    <w:rsid w:val="00DA2DC6"/>
    <w:rsid w:val="00DA2DF1"/>
    <w:rsid w:val="00DA2E84"/>
    <w:rsid w:val="00DA2EC7"/>
    <w:rsid w:val="00DA3C58"/>
    <w:rsid w:val="00DA44E3"/>
    <w:rsid w:val="00DA4BBF"/>
    <w:rsid w:val="00DA5050"/>
    <w:rsid w:val="00DA50E2"/>
    <w:rsid w:val="00DA57D6"/>
    <w:rsid w:val="00DA606F"/>
    <w:rsid w:val="00DA6E23"/>
    <w:rsid w:val="00DA7B6B"/>
    <w:rsid w:val="00DB06CD"/>
    <w:rsid w:val="00DB1580"/>
    <w:rsid w:val="00DB1767"/>
    <w:rsid w:val="00DB29F3"/>
    <w:rsid w:val="00DB2A2E"/>
    <w:rsid w:val="00DB2DB9"/>
    <w:rsid w:val="00DB3499"/>
    <w:rsid w:val="00DB3659"/>
    <w:rsid w:val="00DB3A7A"/>
    <w:rsid w:val="00DB4596"/>
    <w:rsid w:val="00DB4833"/>
    <w:rsid w:val="00DB4DA9"/>
    <w:rsid w:val="00DB4EF1"/>
    <w:rsid w:val="00DB4FB7"/>
    <w:rsid w:val="00DB5051"/>
    <w:rsid w:val="00DB51EC"/>
    <w:rsid w:val="00DB7AB0"/>
    <w:rsid w:val="00DB7F79"/>
    <w:rsid w:val="00DC0169"/>
    <w:rsid w:val="00DC0412"/>
    <w:rsid w:val="00DC0A79"/>
    <w:rsid w:val="00DC0E95"/>
    <w:rsid w:val="00DC1795"/>
    <w:rsid w:val="00DC2477"/>
    <w:rsid w:val="00DC2EBD"/>
    <w:rsid w:val="00DC2F50"/>
    <w:rsid w:val="00DC2FC7"/>
    <w:rsid w:val="00DC3131"/>
    <w:rsid w:val="00DC38A4"/>
    <w:rsid w:val="00DC3B7A"/>
    <w:rsid w:val="00DC4511"/>
    <w:rsid w:val="00DC4533"/>
    <w:rsid w:val="00DC567D"/>
    <w:rsid w:val="00DC57AE"/>
    <w:rsid w:val="00DD0A77"/>
    <w:rsid w:val="00DD0AE0"/>
    <w:rsid w:val="00DD0EA6"/>
    <w:rsid w:val="00DD2565"/>
    <w:rsid w:val="00DD25C8"/>
    <w:rsid w:val="00DD2622"/>
    <w:rsid w:val="00DD2925"/>
    <w:rsid w:val="00DD341C"/>
    <w:rsid w:val="00DD3F7E"/>
    <w:rsid w:val="00DD419F"/>
    <w:rsid w:val="00DD4493"/>
    <w:rsid w:val="00DD5944"/>
    <w:rsid w:val="00DD5964"/>
    <w:rsid w:val="00DD5FCF"/>
    <w:rsid w:val="00DD5FF4"/>
    <w:rsid w:val="00DD600C"/>
    <w:rsid w:val="00DD65C4"/>
    <w:rsid w:val="00DD6C4D"/>
    <w:rsid w:val="00DD6D48"/>
    <w:rsid w:val="00DE1365"/>
    <w:rsid w:val="00DE141B"/>
    <w:rsid w:val="00DE2C2B"/>
    <w:rsid w:val="00DE3C7A"/>
    <w:rsid w:val="00DE56B0"/>
    <w:rsid w:val="00DE576B"/>
    <w:rsid w:val="00DE5915"/>
    <w:rsid w:val="00DE5CAC"/>
    <w:rsid w:val="00DE5CCC"/>
    <w:rsid w:val="00DE5F59"/>
    <w:rsid w:val="00DE6954"/>
    <w:rsid w:val="00DE6C1D"/>
    <w:rsid w:val="00DE72BD"/>
    <w:rsid w:val="00DF1854"/>
    <w:rsid w:val="00DF1A0F"/>
    <w:rsid w:val="00DF2DD5"/>
    <w:rsid w:val="00DF36AF"/>
    <w:rsid w:val="00DF58D6"/>
    <w:rsid w:val="00DF590F"/>
    <w:rsid w:val="00DF5A65"/>
    <w:rsid w:val="00DF5BD9"/>
    <w:rsid w:val="00DF5C25"/>
    <w:rsid w:val="00DF5DF0"/>
    <w:rsid w:val="00DF6C1E"/>
    <w:rsid w:val="00DF7889"/>
    <w:rsid w:val="00DF7EE5"/>
    <w:rsid w:val="00E00771"/>
    <w:rsid w:val="00E00C06"/>
    <w:rsid w:val="00E011C9"/>
    <w:rsid w:val="00E01649"/>
    <w:rsid w:val="00E019C1"/>
    <w:rsid w:val="00E01B34"/>
    <w:rsid w:val="00E01B45"/>
    <w:rsid w:val="00E021D9"/>
    <w:rsid w:val="00E023DE"/>
    <w:rsid w:val="00E03201"/>
    <w:rsid w:val="00E0387A"/>
    <w:rsid w:val="00E038AF"/>
    <w:rsid w:val="00E03DD0"/>
    <w:rsid w:val="00E04180"/>
    <w:rsid w:val="00E04272"/>
    <w:rsid w:val="00E0677D"/>
    <w:rsid w:val="00E06AD4"/>
    <w:rsid w:val="00E077E8"/>
    <w:rsid w:val="00E105FF"/>
    <w:rsid w:val="00E1069E"/>
    <w:rsid w:val="00E11A30"/>
    <w:rsid w:val="00E11C1B"/>
    <w:rsid w:val="00E125FA"/>
    <w:rsid w:val="00E12ACD"/>
    <w:rsid w:val="00E12EF7"/>
    <w:rsid w:val="00E12F76"/>
    <w:rsid w:val="00E130D1"/>
    <w:rsid w:val="00E1316B"/>
    <w:rsid w:val="00E138FB"/>
    <w:rsid w:val="00E139EF"/>
    <w:rsid w:val="00E13B9C"/>
    <w:rsid w:val="00E14EA5"/>
    <w:rsid w:val="00E15C5F"/>
    <w:rsid w:val="00E15F93"/>
    <w:rsid w:val="00E163A6"/>
    <w:rsid w:val="00E16761"/>
    <w:rsid w:val="00E16D7A"/>
    <w:rsid w:val="00E21246"/>
    <w:rsid w:val="00E218BE"/>
    <w:rsid w:val="00E218FF"/>
    <w:rsid w:val="00E22747"/>
    <w:rsid w:val="00E22A54"/>
    <w:rsid w:val="00E2343B"/>
    <w:rsid w:val="00E23A58"/>
    <w:rsid w:val="00E23B3A"/>
    <w:rsid w:val="00E245BB"/>
    <w:rsid w:val="00E24B2B"/>
    <w:rsid w:val="00E251F8"/>
    <w:rsid w:val="00E257E1"/>
    <w:rsid w:val="00E25AEB"/>
    <w:rsid w:val="00E25B07"/>
    <w:rsid w:val="00E25CD4"/>
    <w:rsid w:val="00E2606B"/>
    <w:rsid w:val="00E26A24"/>
    <w:rsid w:val="00E27A7B"/>
    <w:rsid w:val="00E27BA3"/>
    <w:rsid w:val="00E27D78"/>
    <w:rsid w:val="00E3024A"/>
    <w:rsid w:val="00E30B6D"/>
    <w:rsid w:val="00E30F3F"/>
    <w:rsid w:val="00E318B4"/>
    <w:rsid w:val="00E334DC"/>
    <w:rsid w:val="00E33C75"/>
    <w:rsid w:val="00E34423"/>
    <w:rsid w:val="00E34AE3"/>
    <w:rsid w:val="00E34C16"/>
    <w:rsid w:val="00E34E94"/>
    <w:rsid w:val="00E35498"/>
    <w:rsid w:val="00E35929"/>
    <w:rsid w:val="00E3592B"/>
    <w:rsid w:val="00E35C11"/>
    <w:rsid w:val="00E35E51"/>
    <w:rsid w:val="00E35FFE"/>
    <w:rsid w:val="00E3678B"/>
    <w:rsid w:val="00E36C8E"/>
    <w:rsid w:val="00E36E88"/>
    <w:rsid w:val="00E36EDA"/>
    <w:rsid w:val="00E377FC"/>
    <w:rsid w:val="00E401A5"/>
    <w:rsid w:val="00E402FA"/>
    <w:rsid w:val="00E403E4"/>
    <w:rsid w:val="00E40638"/>
    <w:rsid w:val="00E40E3E"/>
    <w:rsid w:val="00E41B9D"/>
    <w:rsid w:val="00E4297F"/>
    <w:rsid w:val="00E43610"/>
    <w:rsid w:val="00E43855"/>
    <w:rsid w:val="00E4389E"/>
    <w:rsid w:val="00E44D6E"/>
    <w:rsid w:val="00E44F0E"/>
    <w:rsid w:val="00E45157"/>
    <w:rsid w:val="00E454DF"/>
    <w:rsid w:val="00E45564"/>
    <w:rsid w:val="00E45667"/>
    <w:rsid w:val="00E46345"/>
    <w:rsid w:val="00E46AE3"/>
    <w:rsid w:val="00E46B52"/>
    <w:rsid w:val="00E47B0B"/>
    <w:rsid w:val="00E47F29"/>
    <w:rsid w:val="00E5047C"/>
    <w:rsid w:val="00E50ED6"/>
    <w:rsid w:val="00E51A60"/>
    <w:rsid w:val="00E51C00"/>
    <w:rsid w:val="00E52898"/>
    <w:rsid w:val="00E536CB"/>
    <w:rsid w:val="00E53F0A"/>
    <w:rsid w:val="00E545E6"/>
    <w:rsid w:val="00E54650"/>
    <w:rsid w:val="00E5510C"/>
    <w:rsid w:val="00E55B53"/>
    <w:rsid w:val="00E57790"/>
    <w:rsid w:val="00E577A5"/>
    <w:rsid w:val="00E57FF5"/>
    <w:rsid w:val="00E60908"/>
    <w:rsid w:val="00E6097D"/>
    <w:rsid w:val="00E60EF3"/>
    <w:rsid w:val="00E6122B"/>
    <w:rsid w:val="00E617AA"/>
    <w:rsid w:val="00E6185C"/>
    <w:rsid w:val="00E620EA"/>
    <w:rsid w:val="00E62512"/>
    <w:rsid w:val="00E63116"/>
    <w:rsid w:val="00E63AA3"/>
    <w:rsid w:val="00E63D40"/>
    <w:rsid w:val="00E640D2"/>
    <w:rsid w:val="00E64A37"/>
    <w:rsid w:val="00E64C2E"/>
    <w:rsid w:val="00E657FA"/>
    <w:rsid w:val="00E660D1"/>
    <w:rsid w:val="00E6624F"/>
    <w:rsid w:val="00E66446"/>
    <w:rsid w:val="00E66489"/>
    <w:rsid w:val="00E66893"/>
    <w:rsid w:val="00E66C40"/>
    <w:rsid w:val="00E67312"/>
    <w:rsid w:val="00E674AC"/>
    <w:rsid w:val="00E6781F"/>
    <w:rsid w:val="00E679C2"/>
    <w:rsid w:val="00E7057B"/>
    <w:rsid w:val="00E70BEF"/>
    <w:rsid w:val="00E70EBF"/>
    <w:rsid w:val="00E719C5"/>
    <w:rsid w:val="00E7217F"/>
    <w:rsid w:val="00E72662"/>
    <w:rsid w:val="00E72AE4"/>
    <w:rsid w:val="00E74F41"/>
    <w:rsid w:val="00E7560C"/>
    <w:rsid w:val="00E75AE7"/>
    <w:rsid w:val="00E75BDE"/>
    <w:rsid w:val="00E76927"/>
    <w:rsid w:val="00E7751F"/>
    <w:rsid w:val="00E775B5"/>
    <w:rsid w:val="00E77C59"/>
    <w:rsid w:val="00E80772"/>
    <w:rsid w:val="00E810EE"/>
    <w:rsid w:val="00E8178C"/>
    <w:rsid w:val="00E81AED"/>
    <w:rsid w:val="00E835C5"/>
    <w:rsid w:val="00E83A49"/>
    <w:rsid w:val="00E83F12"/>
    <w:rsid w:val="00E846B0"/>
    <w:rsid w:val="00E8686C"/>
    <w:rsid w:val="00E86ED0"/>
    <w:rsid w:val="00E87F08"/>
    <w:rsid w:val="00E90BC5"/>
    <w:rsid w:val="00E9180D"/>
    <w:rsid w:val="00E92157"/>
    <w:rsid w:val="00E92C63"/>
    <w:rsid w:val="00E92D60"/>
    <w:rsid w:val="00E92E3A"/>
    <w:rsid w:val="00E93EDF"/>
    <w:rsid w:val="00E9435B"/>
    <w:rsid w:val="00E94EFF"/>
    <w:rsid w:val="00E9503B"/>
    <w:rsid w:val="00E96178"/>
    <w:rsid w:val="00E9623F"/>
    <w:rsid w:val="00E9634F"/>
    <w:rsid w:val="00E96508"/>
    <w:rsid w:val="00E96571"/>
    <w:rsid w:val="00E965A4"/>
    <w:rsid w:val="00E966E9"/>
    <w:rsid w:val="00E97338"/>
    <w:rsid w:val="00E973CA"/>
    <w:rsid w:val="00E977EC"/>
    <w:rsid w:val="00E97E7D"/>
    <w:rsid w:val="00EA083E"/>
    <w:rsid w:val="00EA2215"/>
    <w:rsid w:val="00EA28A9"/>
    <w:rsid w:val="00EA2F9C"/>
    <w:rsid w:val="00EA352C"/>
    <w:rsid w:val="00EA4BCF"/>
    <w:rsid w:val="00EA4CAC"/>
    <w:rsid w:val="00EA4CCE"/>
    <w:rsid w:val="00EA5497"/>
    <w:rsid w:val="00EA55D5"/>
    <w:rsid w:val="00EA6934"/>
    <w:rsid w:val="00EA6B0D"/>
    <w:rsid w:val="00EA6C55"/>
    <w:rsid w:val="00EA703C"/>
    <w:rsid w:val="00EA710A"/>
    <w:rsid w:val="00EA7DC5"/>
    <w:rsid w:val="00EB05FB"/>
    <w:rsid w:val="00EB17AA"/>
    <w:rsid w:val="00EB1F56"/>
    <w:rsid w:val="00EB3575"/>
    <w:rsid w:val="00EB35D8"/>
    <w:rsid w:val="00EB3863"/>
    <w:rsid w:val="00EB3E64"/>
    <w:rsid w:val="00EB4105"/>
    <w:rsid w:val="00EB48D6"/>
    <w:rsid w:val="00EB48EE"/>
    <w:rsid w:val="00EB516E"/>
    <w:rsid w:val="00EB5B6A"/>
    <w:rsid w:val="00EB6B8B"/>
    <w:rsid w:val="00EB72A6"/>
    <w:rsid w:val="00EB72CD"/>
    <w:rsid w:val="00EB7BA6"/>
    <w:rsid w:val="00EC0736"/>
    <w:rsid w:val="00EC0CCD"/>
    <w:rsid w:val="00EC1882"/>
    <w:rsid w:val="00EC1D21"/>
    <w:rsid w:val="00EC21E0"/>
    <w:rsid w:val="00EC2BE7"/>
    <w:rsid w:val="00EC43A0"/>
    <w:rsid w:val="00EC622E"/>
    <w:rsid w:val="00EC638A"/>
    <w:rsid w:val="00EC6496"/>
    <w:rsid w:val="00EC7442"/>
    <w:rsid w:val="00EC754F"/>
    <w:rsid w:val="00EC7843"/>
    <w:rsid w:val="00EC7CE1"/>
    <w:rsid w:val="00EC7FBF"/>
    <w:rsid w:val="00ED22CD"/>
    <w:rsid w:val="00ED24CD"/>
    <w:rsid w:val="00ED3DDE"/>
    <w:rsid w:val="00ED465E"/>
    <w:rsid w:val="00ED4A8D"/>
    <w:rsid w:val="00ED52D9"/>
    <w:rsid w:val="00ED5FA3"/>
    <w:rsid w:val="00ED605F"/>
    <w:rsid w:val="00ED6650"/>
    <w:rsid w:val="00ED675E"/>
    <w:rsid w:val="00ED771B"/>
    <w:rsid w:val="00EE07EA"/>
    <w:rsid w:val="00EE1DF1"/>
    <w:rsid w:val="00EE23F0"/>
    <w:rsid w:val="00EE25AE"/>
    <w:rsid w:val="00EE282F"/>
    <w:rsid w:val="00EE2A08"/>
    <w:rsid w:val="00EE36F8"/>
    <w:rsid w:val="00EE4991"/>
    <w:rsid w:val="00EE4FAF"/>
    <w:rsid w:val="00EE57CE"/>
    <w:rsid w:val="00EE6200"/>
    <w:rsid w:val="00EE6557"/>
    <w:rsid w:val="00EE685F"/>
    <w:rsid w:val="00EE7782"/>
    <w:rsid w:val="00EF09CD"/>
    <w:rsid w:val="00EF0A62"/>
    <w:rsid w:val="00EF0CDC"/>
    <w:rsid w:val="00EF3477"/>
    <w:rsid w:val="00EF3A02"/>
    <w:rsid w:val="00EF3BB5"/>
    <w:rsid w:val="00EF3DE3"/>
    <w:rsid w:val="00EF4117"/>
    <w:rsid w:val="00EF45A5"/>
    <w:rsid w:val="00EF4F2E"/>
    <w:rsid w:val="00EF543B"/>
    <w:rsid w:val="00EF576F"/>
    <w:rsid w:val="00EF5975"/>
    <w:rsid w:val="00EF5F03"/>
    <w:rsid w:val="00EF6320"/>
    <w:rsid w:val="00EF784D"/>
    <w:rsid w:val="00F00907"/>
    <w:rsid w:val="00F00969"/>
    <w:rsid w:val="00F014AD"/>
    <w:rsid w:val="00F0240D"/>
    <w:rsid w:val="00F0283B"/>
    <w:rsid w:val="00F029AD"/>
    <w:rsid w:val="00F037AA"/>
    <w:rsid w:val="00F03818"/>
    <w:rsid w:val="00F039A0"/>
    <w:rsid w:val="00F03F1C"/>
    <w:rsid w:val="00F04C2F"/>
    <w:rsid w:val="00F061CD"/>
    <w:rsid w:val="00F06460"/>
    <w:rsid w:val="00F06865"/>
    <w:rsid w:val="00F079FE"/>
    <w:rsid w:val="00F1032A"/>
    <w:rsid w:val="00F111E8"/>
    <w:rsid w:val="00F1405E"/>
    <w:rsid w:val="00F14D0F"/>
    <w:rsid w:val="00F150C5"/>
    <w:rsid w:val="00F166C9"/>
    <w:rsid w:val="00F16DF2"/>
    <w:rsid w:val="00F17105"/>
    <w:rsid w:val="00F17FA5"/>
    <w:rsid w:val="00F20929"/>
    <w:rsid w:val="00F20ACD"/>
    <w:rsid w:val="00F20B98"/>
    <w:rsid w:val="00F20F70"/>
    <w:rsid w:val="00F22E47"/>
    <w:rsid w:val="00F23522"/>
    <w:rsid w:val="00F23C84"/>
    <w:rsid w:val="00F23F76"/>
    <w:rsid w:val="00F23F87"/>
    <w:rsid w:val="00F2422D"/>
    <w:rsid w:val="00F247DC"/>
    <w:rsid w:val="00F24BFE"/>
    <w:rsid w:val="00F25F7C"/>
    <w:rsid w:val="00F2605D"/>
    <w:rsid w:val="00F26134"/>
    <w:rsid w:val="00F26D59"/>
    <w:rsid w:val="00F27074"/>
    <w:rsid w:val="00F30524"/>
    <w:rsid w:val="00F30708"/>
    <w:rsid w:val="00F307CD"/>
    <w:rsid w:val="00F3085A"/>
    <w:rsid w:val="00F3133C"/>
    <w:rsid w:val="00F31444"/>
    <w:rsid w:val="00F3169B"/>
    <w:rsid w:val="00F3174D"/>
    <w:rsid w:val="00F31B4A"/>
    <w:rsid w:val="00F32070"/>
    <w:rsid w:val="00F328FC"/>
    <w:rsid w:val="00F32C85"/>
    <w:rsid w:val="00F32FB7"/>
    <w:rsid w:val="00F33068"/>
    <w:rsid w:val="00F330A4"/>
    <w:rsid w:val="00F3330A"/>
    <w:rsid w:val="00F33A22"/>
    <w:rsid w:val="00F33E68"/>
    <w:rsid w:val="00F34CCF"/>
    <w:rsid w:val="00F355DD"/>
    <w:rsid w:val="00F35AE2"/>
    <w:rsid w:val="00F35B2E"/>
    <w:rsid w:val="00F35FFA"/>
    <w:rsid w:val="00F369C2"/>
    <w:rsid w:val="00F36A76"/>
    <w:rsid w:val="00F40831"/>
    <w:rsid w:val="00F40BDB"/>
    <w:rsid w:val="00F41856"/>
    <w:rsid w:val="00F41A3E"/>
    <w:rsid w:val="00F41B4E"/>
    <w:rsid w:val="00F4224D"/>
    <w:rsid w:val="00F42C80"/>
    <w:rsid w:val="00F43C7B"/>
    <w:rsid w:val="00F44AA6"/>
    <w:rsid w:val="00F44DF6"/>
    <w:rsid w:val="00F45329"/>
    <w:rsid w:val="00F454B8"/>
    <w:rsid w:val="00F4579E"/>
    <w:rsid w:val="00F46700"/>
    <w:rsid w:val="00F46B10"/>
    <w:rsid w:val="00F4792E"/>
    <w:rsid w:val="00F47E0B"/>
    <w:rsid w:val="00F50EA1"/>
    <w:rsid w:val="00F51266"/>
    <w:rsid w:val="00F5186C"/>
    <w:rsid w:val="00F52B29"/>
    <w:rsid w:val="00F52B2C"/>
    <w:rsid w:val="00F52D5A"/>
    <w:rsid w:val="00F53C71"/>
    <w:rsid w:val="00F53DD3"/>
    <w:rsid w:val="00F53EB1"/>
    <w:rsid w:val="00F53F94"/>
    <w:rsid w:val="00F54228"/>
    <w:rsid w:val="00F546E9"/>
    <w:rsid w:val="00F54E15"/>
    <w:rsid w:val="00F54E1E"/>
    <w:rsid w:val="00F55831"/>
    <w:rsid w:val="00F60146"/>
    <w:rsid w:val="00F60322"/>
    <w:rsid w:val="00F608B0"/>
    <w:rsid w:val="00F61891"/>
    <w:rsid w:val="00F62986"/>
    <w:rsid w:val="00F62E1C"/>
    <w:rsid w:val="00F6396D"/>
    <w:rsid w:val="00F639A5"/>
    <w:rsid w:val="00F643B0"/>
    <w:rsid w:val="00F645C8"/>
    <w:rsid w:val="00F65786"/>
    <w:rsid w:val="00F66516"/>
    <w:rsid w:val="00F668D9"/>
    <w:rsid w:val="00F66948"/>
    <w:rsid w:val="00F678BE"/>
    <w:rsid w:val="00F700C6"/>
    <w:rsid w:val="00F70991"/>
    <w:rsid w:val="00F71799"/>
    <w:rsid w:val="00F718D6"/>
    <w:rsid w:val="00F71E48"/>
    <w:rsid w:val="00F71E7E"/>
    <w:rsid w:val="00F72428"/>
    <w:rsid w:val="00F733C4"/>
    <w:rsid w:val="00F741D2"/>
    <w:rsid w:val="00F74988"/>
    <w:rsid w:val="00F74B42"/>
    <w:rsid w:val="00F752B4"/>
    <w:rsid w:val="00F7575D"/>
    <w:rsid w:val="00F75F4D"/>
    <w:rsid w:val="00F76035"/>
    <w:rsid w:val="00F76371"/>
    <w:rsid w:val="00F76739"/>
    <w:rsid w:val="00F767F1"/>
    <w:rsid w:val="00F76FFD"/>
    <w:rsid w:val="00F80324"/>
    <w:rsid w:val="00F81E8C"/>
    <w:rsid w:val="00F8220E"/>
    <w:rsid w:val="00F823F5"/>
    <w:rsid w:val="00F838B9"/>
    <w:rsid w:val="00F843C1"/>
    <w:rsid w:val="00F84F9C"/>
    <w:rsid w:val="00F8545D"/>
    <w:rsid w:val="00F86699"/>
    <w:rsid w:val="00F8673B"/>
    <w:rsid w:val="00F868FB"/>
    <w:rsid w:val="00F876AA"/>
    <w:rsid w:val="00F877B6"/>
    <w:rsid w:val="00F87F49"/>
    <w:rsid w:val="00F9067D"/>
    <w:rsid w:val="00F90AEB"/>
    <w:rsid w:val="00F918EC"/>
    <w:rsid w:val="00F936E7"/>
    <w:rsid w:val="00F93BE5"/>
    <w:rsid w:val="00F94A93"/>
    <w:rsid w:val="00F95375"/>
    <w:rsid w:val="00F96114"/>
    <w:rsid w:val="00F9638C"/>
    <w:rsid w:val="00F9639B"/>
    <w:rsid w:val="00F9750A"/>
    <w:rsid w:val="00F97896"/>
    <w:rsid w:val="00FA007A"/>
    <w:rsid w:val="00FA0294"/>
    <w:rsid w:val="00FA0BA1"/>
    <w:rsid w:val="00FA1E55"/>
    <w:rsid w:val="00FA2111"/>
    <w:rsid w:val="00FA28E7"/>
    <w:rsid w:val="00FA3D5B"/>
    <w:rsid w:val="00FA3DCF"/>
    <w:rsid w:val="00FA424D"/>
    <w:rsid w:val="00FA44B2"/>
    <w:rsid w:val="00FA4AAF"/>
    <w:rsid w:val="00FA4D1B"/>
    <w:rsid w:val="00FA5252"/>
    <w:rsid w:val="00FA52A0"/>
    <w:rsid w:val="00FA561B"/>
    <w:rsid w:val="00FA592E"/>
    <w:rsid w:val="00FA6255"/>
    <w:rsid w:val="00FA72DA"/>
    <w:rsid w:val="00FB0008"/>
    <w:rsid w:val="00FB0D90"/>
    <w:rsid w:val="00FB1C94"/>
    <w:rsid w:val="00FB2726"/>
    <w:rsid w:val="00FB36C9"/>
    <w:rsid w:val="00FB41C0"/>
    <w:rsid w:val="00FB41DE"/>
    <w:rsid w:val="00FB4CE0"/>
    <w:rsid w:val="00FB5AB8"/>
    <w:rsid w:val="00FB5DAF"/>
    <w:rsid w:val="00FB634F"/>
    <w:rsid w:val="00FB6464"/>
    <w:rsid w:val="00FB702E"/>
    <w:rsid w:val="00FB7332"/>
    <w:rsid w:val="00FB7484"/>
    <w:rsid w:val="00FB7680"/>
    <w:rsid w:val="00FB7889"/>
    <w:rsid w:val="00FB78BB"/>
    <w:rsid w:val="00FC0E88"/>
    <w:rsid w:val="00FC135B"/>
    <w:rsid w:val="00FC1AB8"/>
    <w:rsid w:val="00FC2031"/>
    <w:rsid w:val="00FC238C"/>
    <w:rsid w:val="00FC2440"/>
    <w:rsid w:val="00FC318D"/>
    <w:rsid w:val="00FC3574"/>
    <w:rsid w:val="00FC3828"/>
    <w:rsid w:val="00FC4A52"/>
    <w:rsid w:val="00FC605C"/>
    <w:rsid w:val="00FC60F7"/>
    <w:rsid w:val="00FC696E"/>
    <w:rsid w:val="00FC7848"/>
    <w:rsid w:val="00FC7B2E"/>
    <w:rsid w:val="00FC7BF5"/>
    <w:rsid w:val="00FC7F50"/>
    <w:rsid w:val="00FD075D"/>
    <w:rsid w:val="00FD09AF"/>
    <w:rsid w:val="00FD141F"/>
    <w:rsid w:val="00FD18D9"/>
    <w:rsid w:val="00FD3623"/>
    <w:rsid w:val="00FD371A"/>
    <w:rsid w:val="00FD4EA8"/>
    <w:rsid w:val="00FD512E"/>
    <w:rsid w:val="00FD5371"/>
    <w:rsid w:val="00FD53A7"/>
    <w:rsid w:val="00FD6274"/>
    <w:rsid w:val="00FD62ED"/>
    <w:rsid w:val="00FD6B63"/>
    <w:rsid w:val="00FD6B64"/>
    <w:rsid w:val="00FD7286"/>
    <w:rsid w:val="00FD7494"/>
    <w:rsid w:val="00FE00CC"/>
    <w:rsid w:val="00FE0AF8"/>
    <w:rsid w:val="00FE1C36"/>
    <w:rsid w:val="00FE234A"/>
    <w:rsid w:val="00FE27F7"/>
    <w:rsid w:val="00FE29E9"/>
    <w:rsid w:val="00FE4035"/>
    <w:rsid w:val="00FE4E3A"/>
    <w:rsid w:val="00FE4E6C"/>
    <w:rsid w:val="00FE5A31"/>
    <w:rsid w:val="00FE5CDE"/>
    <w:rsid w:val="00FE5FA5"/>
    <w:rsid w:val="00FE6329"/>
    <w:rsid w:val="00FE6C3C"/>
    <w:rsid w:val="00FE76DD"/>
    <w:rsid w:val="00FE7BB8"/>
    <w:rsid w:val="00FE7BF3"/>
    <w:rsid w:val="00FF0093"/>
    <w:rsid w:val="00FF025A"/>
    <w:rsid w:val="00FF0526"/>
    <w:rsid w:val="00FF1478"/>
    <w:rsid w:val="00FF1782"/>
    <w:rsid w:val="00FF1EAF"/>
    <w:rsid w:val="00FF21C0"/>
    <w:rsid w:val="00FF4029"/>
    <w:rsid w:val="00FF4310"/>
    <w:rsid w:val="00FF4389"/>
    <w:rsid w:val="00FF4557"/>
    <w:rsid w:val="00FF4B9C"/>
    <w:rsid w:val="00FF4FF2"/>
    <w:rsid w:val="00FF5052"/>
    <w:rsid w:val="00FF52C5"/>
    <w:rsid w:val="00FF5B40"/>
    <w:rsid w:val="00FF5BF3"/>
    <w:rsid w:val="00FF6417"/>
    <w:rsid w:val="00FF6680"/>
    <w:rsid w:val="00FF6BCB"/>
    <w:rsid w:val="00FF6DBC"/>
    <w:rsid w:val="00FF7531"/>
    <w:rsid w:val="00FF7DDF"/>
    <w:rsid w:val="016C541B"/>
    <w:rsid w:val="04CD6EC1"/>
    <w:rsid w:val="04F26C90"/>
    <w:rsid w:val="08592E4D"/>
    <w:rsid w:val="08D97161"/>
    <w:rsid w:val="0985644F"/>
    <w:rsid w:val="09D36E40"/>
    <w:rsid w:val="0A517367"/>
    <w:rsid w:val="0B177899"/>
    <w:rsid w:val="0B496DCD"/>
    <w:rsid w:val="0B91305E"/>
    <w:rsid w:val="0CF95080"/>
    <w:rsid w:val="0DCA39AD"/>
    <w:rsid w:val="0DF72D9E"/>
    <w:rsid w:val="0E1301D3"/>
    <w:rsid w:val="0E586ECD"/>
    <w:rsid w:val="0F3D7504"/>
    <w:rsid w:val="0F7B2459"/>
    <w:rsid w:val="10014A14"/>
    <w:rsid w:val="10926E78"/>
    <w:rsid w:val="111A6DA6"/>
    <w:rsid w:val="1259062F"/>
    <w:rsid w:val="137A49E3"/>
    <w:rsid w:val="14835C45"/>
    <w:rsid w:val="14A13818"/>
    <w:rsid w:val="14CB4729"/>
    <w:rsid w:val="15160EFC"/>
    <w:rsid w:val="15AD5686"/>
    <w:rsid w:val="166D1BDF"/>
    <w:rsid w:val="17FE27A9"/>
    <w:rsid w:val="180F5E50"/>
    <w:rsid w:val="18ED5D0A"/>
    <w:rsid w:val="19CB692F"/>
    <w:rsid w:val="1B3F36EA"/>
    <w:rsid w:val="1C22385B"/>
    <w:rsid w:val="1C3434F5"/>
    <w:rsid w:val="1CCF54BE"/>
    <w:rsid w:val="1D1F6263"/>
    <w:rsid w:val="1D2E6387"/>
    <w:rsid w:val="1D4D4C93"/>
    <w:rsid w:val="1DDE5440"/>
    <w:rsid w:val="1DFD4321"/>
    <w:rsid w:val="20F0114E"/>
    <w:rsid w:val="211E67E9"/>
    <w:rsid w:val="21810CFE"/>
    <w:rsid w:val="226F60E0"/>
    <w:rsid w:val="230442E2"/>
    <w:rsid w:val="23B53EAE"/>
    <w:rsid w:val="23D167E2"/>
    <w:rsid w:val="24B10C3F"/>
    <w:rsid w:val="2572333F"/>
    <w:rsid w:val="25EE74A4"/>
    <w:rsid w:val="26967EA3"/>
    <w:rsid w:val="27AD18E0"/>
    <w:rsid w:val="282144A9"/>
    <w:rsid w:val="28876D66"/>
    <w:rsid w:val="2A224782"/>
    <w:rsid w:val="2B0E23D7"/>
    <w:rsid w:val="2B4D6166"/>
    <w:rsid w:val="2BCA2A7D"/>
    <w:rsid w:val="2DD4381C"/>
    <w:rsid w:val="2DE91D44"/>
    <w:rsid w:val="2E0E4292"/>
    <w:rsid w:val="2E1471CB"/>
    <w:rsid w:val="2E594618"/>
    <w:rsid w:val="2ED42EDD"/>
    <w:rsid w:val="306E3CD8"/>
    <w:rsid w:val="30916C1B"/>
    <w:rsid w:val="30E35F64"/>
    <w:rsid w:val="318D2B75"/>
    <w:rsid w:val="31D20508"/>
    <w:rsid w:val="323A6E27"/>
    <w:rsid w:val="327D390D"/>
    <w:rsid w:val="32D86271"/>
    <w:rsid w:val="33A74123"/>
    <w:rsid w:val="34765311"/>
    <w:rsid w:val="368760E8"/>
    <w:rsid w:val="378232D3"/>
    <w:rsid w:val="38505969"/>
    <w:rsid w:val="3931025D"/>
    <w:rsid w:val="39F13DDB"/>
    <w:rsid w:val="3A73119A"/>
    <w:rsid w:val="3BF72982"/>
    <w:rsid w:val="3C1B4BC7"/>
    <w:rsid w:val="3C1E5A93"/>
    <w:rsid w:val="3E2A4348"/>
    <w:rsid w:val="3E330094"/>
    <w:rsid w:val="40AE097A"/>
    <w:rsid w:val="411C04DA"/>
    <w:rsid w:val="416F24F3"/>
    <w:rsid w:val="41980BCB"/>
    <w:rsid w:val="42B46794"/>
    <w:rsid w:val="442F1260"/>
    <w:rsid w:val="4654497B"/>
    <w:rsid w:val="47795FE5"/>
    <w:rsid w:val="47A07CEE"/>
    <w:rsid w:val="48527649"/>
    <w:rsid w:val="48BE4CE6"/>
    <w:rsid w:val="48C84563"/>
    <w:rsid w:val="49060582"/>
    <w:rsid w:val="49291B86"/>
    <w:rsid w:val="4A317079"/>
    <w:rsid w:val="4ABA09E8"/>
    <w:rsid w:val="4AC664F1"/>
    <w:rsid w:val="4AE76CC1"/>
    <w:rsid w:val="4C5E4C49"/>
    <w:rsid w:val="4D607FE2"/>
    <w:rsid w:val="4DAD5B99"/>
    <w:rsid w:val="4E704B48"/>
    <w:rsid w:val="4F177DA4"/>
    <w:rsid w:val="4F8924BB"/>
    <w:rsid w:val="4FBA7B1C"/>
    <w:rsid w:val="4FFC6982"/>
    <w:rsid w:val="50126881"/>
    <w:rsid w:val="515B6499"/>
    <w:rsid w:val="51847EEC"/>
    <w:rsid w:val="51D906AB"/>
    <w:rsid w:val="52C7589F"/>
    <w:rsid w:val="531B09C9"/>
    <w:rsid w:val="53B9327B"/>
    <w:rsid w:val="53F552E3"/>
    <w:rsid w:val="54CE41D7"/>
    <w:rsid w:val="551C6A1E"/>
    <w:rsid w:val="562E55A4"/>
    <w:rsid w:val="56857C8E"/>
    <w:rsid w:val="56BE503F"/>
    <w:rsid w:val="57306444"/>
    <w:rsid w:val="58FE4C1F"/>
    <w:rsid w:val="59A7730E"/>
    <w:rsid w:val="5B2B09A9"/>
    <w:rsid w:val="5B8F1497"/>
    <w:rsid w:val="5BFE06BB"/>
    <w:rsid w:val="5C1376CB"/>
    <w:rsid w:val="5C7329F2"/>
    <w:rsid w:val="5CD63648"/>
    <w:rsid w:val="5DC207FB"/>
    <w:rsid w:val="5DE12758"/>
    <w:rsid w:val="5EEA1840"/>
    <w:rsid w:val="5F214BC9"/>
    <w:rsid w:val="5FD66373"/>
    <w:rsid w:val="5FE842D3"/>
    <w:rsid w:val="600A7590"/>
    <w:rsid w:val="603803BC"/>
    <w:rsid w:val="610E6961"/>
    <w:rsid w:val="631C683B"/>
    <w:rsid w:val="63203B02"/>
    <w:rsid w:val="63C1640F"/>
    <w:rsid w:val="641A01F7"/>
    <w:rsid w:val="64D41581"/>
    <w:rsid w:val="64E224B0"/>
    <w:rsid w:val="658B5F91"/>
    <w:rsid w:val="659E468D"/>
    <w:rsid w:val="65D5160B"/>
    <w:rsid w:val="66881992"/>
    <w:rsid w:val="668F6905"/>
    <w:rsid w:val="681732A4"/>
    <w:rsid w:val="6946556E"/>
    <w:rsid w:val="6A1E1116"/>
    <w:rsid w:val="6A2C142B"/>
    <w:rsid w:val="6B240E44"/>
    <w:rsid w:val="6B3261A0"/>
    <w:rsid w:val="6BBC3AB5"/>
    <w:rsid w:val="6BEC5E82"/>
    <w:rsid w:val="6C143C6D"/>
    <w:rsid w:val="6D593D29"/>
    <w:rsid w:val="6DFF0A3F"/>
    <w:rsid w:val="6E342EDC"/>
    <w:rsid w:val="6EDC7C16"/>
    <w:rsid w:val="6F0B1BB4"/>
    <w:rsid w:val="6F0B3C4B"/>
    <w:rsid w:val="6F4A7924"/>
    <w:rsid w:val="6F541C18"/>
    <w:rsid w:val="701155B8"/>
    <w:rsid w:val="7046406D"/>
    <w:rsid w:val="70B87D31"/>
    <w:rsid w:val="722E5CF4"/>
    <w:rsid w:val="72430D60"/>
    <w:rsid w:val="73730C50"/>
    <w:rsid w:val="749854DF"/>
    <w:rsid w:val="749C1E79"/>
    <w:rsid w:val="753F3217"/>
    <w:rsid w:val="7581428A"/>
    <w:rsid w:val="770014BE"/>
    <w:rsid w:val="77306803"/>
    <w:rsid w:val="77C1642B"/>
    <w:rsid w:val="7854605A"/>
    <w:rsid w:val="788B4A72"/>
    <w:rsid w:val="78BD3311"/>
    <w:rsid w:val="78E762BE"/>
    <w:rsid w:val="796960D4"/>
    <w:rsid w:val="7A103DCD"/>
    <w:rsid w:val="7A3857EF"/>
    <w:rsid w:val="7A48666D"/>
    <w:rsid w:val="7A915C62"/>
    <w:rsid w:val="7B030615"/>
    <w:rsid w:val="7B324F49"/>
    <w:rsid w:val="7D8217DC"/>
    <w:rsid w:val="7E5E4F33"/>
    <w:rsid w:val="7EFD5134"/>
    <w:rsid w:val="7F985540"/>
    <w:rsid w:val="7FFF0713"/>
    <w:rsid w:val="BC57CD3A"/>
    <w:rsid w:val="FBBC8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eastAsia="黑体"/>
      <w:b/>
      <w:bCs/>
      <w:kern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eastAsia="楷体_GB2312" w:asciiTheme="majorHAnsi" w:hAnsiTheme="majorHAnsi" w:cstheme="majorBidi"/>
      <w:b/>
      <w:bCs/>
      <w:szCs w:val="32"/>
    </w:rPr>
  </w:style>
  <w:style w:type="paragraph" w:styleId="5">
    <w:name w:val="heading 3"/>
    <w:basedOn w:val="1"/>
    <w:next w:val="1"/>
    <w:link w:val="27"/>
    <w:unhideWhenUsed/>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autoSpaceDE w:val="0"/>
      <w:autoSpaceDN w:val="0"/>
      <w:jc w:val="left"/>
    </w:pPr>
    <w:rPr>
      <w:rFonts w:ascii="Noto Sans CJK JP Regular" w:hAnsi="Noto Sans CJK JP Regular" w:eastAsia="Noto Sans CJK JP Regular" w:cs="Noto Sans CJK JP Regular"/>
      <w:kern w:val="0"/>
      <w:szCs w:val="32"/>
      <w:lang w:val="zh-CN" w:bidi="zh-CN"/>
    </w:rPr>
  </w:style>
  <w:style w:type="paragraph" w:styleId="6">
    <w:name w:val="caption"/>
    <w:basedOn w:val="1"/>
    <w:next w:val="1"/>
    <w:qFormat/>
    <w:uiPriority w:val="35"/>
    <w:pPr>
      <w:adjustRightInd w:val="0"/>
      <w:snapToGrid w:val="0"/>
      <w:jc w:val="center"/>
    </w:pPr>
    <w:rPr>
      <w:rFonts w:ascii="Cambria" w:hAnsi="Cambria" w:eastAsia="黑体" w:cs="Times New Roman"/>
      <w:sz w:val="24"/>
      <w:szCs w:val="20"/>
    </w:rPr>
  </w:style>
  <w:style w:type="paragraph" w:styleId="7">
    <w:name w:val="annotation text"/>
    <w:basedOn w:val="1"/>
    <w:link w:val="37"/>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5">
    <w:name w:val="annotation subject"/>
    <w:basedOn w:val="7"/>
    <w:next w:val="7"/>
    <w:link w:val="38"/>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styleId="21">
    <w:name w:val="Hyperlink"/>
    <w:basedOn w:val="18"/>
    <w:unhideWhenUsed/>
    <w:qFormat/>
    <w:uiPriority w:val="99"/>
    <w:rPr>
      <w:color w:val="0563C1" w:themeColor="hyperlink"/>
      <w:u w:val="singl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qFormat/>
    <w:uiPriority w:val="99"/>
    <w:rPr>
      <w:sz w:val="18"/>
      <w:szCs w:val="18"/>
    </w:rPr>
  </w:style>
  <w:style w:type="character" w:customStyle="1" w:styleId="25">
    <w:name w:val="标题 1 字符"/>
    <w:basedOn w:val="18"/>
    <w:link w:val="3"/>
    <w:qFormat/>
    <w:uiPriority w:val="9"/>
    <w:rPr>
      <w:rFonts w:eastAsia="黑体"/>
      <w:b/>
      <w:bCs/>
      <w:kern w:val="44"/>
      <w:sz w:val="32"/>
      <w:szCs w:val="44"/>
    </w:rPr>
  </w:style>
  <w:style w:type="character" w:customStyle="1" w:styleId="26">
    <w:name w:val="标题 2 字符"/>
    <w:basedOn w:val="18"/>
    <w:link w:val="4"/>
    <w:qFormat/>
    <w:uiPriority w:val="9"/>
    <w:rPr>
      <w:rFonts w:eastAsia="楷体_GB2312" w:asciiTheme="majorHAnsi" w:hAnsiTheme="majorHAnsi" w:cstheme="majorBidi"/>
      <w:b/>
      <w:bCs/>
      <w:sz w:val="32"/>
      <w:szCs w:val="32"/>
    </w:rPr>
  </w:style>
  <w:style w:type="character" w:customStyle="1" w:styleId="27">
    <w:name w:val="标题 3 字符"/>
    <w:basedOn w:val="18"/>
    <w:link w:val="5"/>
    <w:qFormat/>
    <w:uiPriority w:val="9"/>
    <w:rPr>
      <w:rFonts w:eastAsia="仿宋_GB2312"/>
      <w:b/>
      <w:bCs/>
      <w:sz w:val="32"/>
      <w:szCs w:val="32"/>
    </w:rPr>
  </w:style>
  <w:style w:type="character" w:customStyle="1" w:styleId="28">
    <w:name w:val="批注框文本 字符"/>
    <w:basedOn w:val="18"/>
    <w:link w:val="9"/>
    <w:semiHidden/>
    <w:qFormat/>
    <w:uiPriority w:val="99"/>
    <w:rPr>
      <w:rFonts w:eastAsia="仿宋_GB2312"/>
      <w:sz w:val="18"/>
      <w:szCs w:val="18"/>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Cs w:val="32"/>
    </w:rPr>
  </w:style>
  <w:style w:type="table" w:customStyle="1" w:styleId="31">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未处理的提及1"/>
    <w:basedOn w:val="18"/>
    <w:semiHidden/>
    <w:unhideWhenUsed/>
    <w:qFormat/>
    <w:uiPriority w:val="99"/>
    <w:rPr>
      <w:color w:val="605E5C"/>
      <w:shd w:val="clear" w:color="auto" w:fill="E1DFDD"/>
    </w:rPr>
  </w:style>
  <w:style w:type="character" w:customStyle="1" w:styleId="34">
    <w:name w:val="未处理的提及2"/>
    <w:basedOn w:val="18"/>
    <w:semiHidden/>
    <w:unhideWhenUsed/>
    <w:qFormat/>
    <w:uiPriority w:val="99"/>
    <w:rPr>
      <w:color w:val="605E5C"/>
      <w:shd w:val="clear" w:color="auto" w:fill="E1DFDD"/>
    </w:rPr>
  </w:style>
  <w:style w:type="character" w:customStyle="1" w:styleId="35">
    <w:name w:val="未处理的提及3"/>
    <w:basedOn w:val="18"/>
    <w:semiHidden/>
    <w:unhideWhenUsed/>
    <w:qFormat/>
    <w:uiPriority w:val="99"/>
    <w:rPr>
      <w:color w:val="605E5C"/>
      <w:shd w:val="clear" w:color="auto" w:fill="E1DFDD"/>
    </w:rPr>
  </w:style>
  <w:style w:type="character" w:customStyle="1" w:styleId="36">
    <w:name w:val="未处理的提及4"/>
    <w:basedOn w:val="18"/>
    <w:semiHidden/>
    <w:unhideWhenUsed/>
    <w:qFormat/>
    <w:uiPriority w:val="99"/>
    <w:rPr>
      <w:color w:val="605E5C"/>
      <w:shd w:val="clear" w:color="auto" w:fill="E1DFDD"/>
    </w:rPr>
  </w:style>
  <w:style w:type="character" w:customStyle="1" w:styleId="37">
    <w:name w:val="批注文字 字符"/>
    <w:basedOn w:val="18"/>
    <w:link w:val="7"/>
    <w:semiHidden/>
    <w:qFormat/>
    <w:uiPriority w:val="99"/>
    <w:rPr>
      <w:rFonts w:eastAsia="仿宋_GB2312" w:asciiTheme="minorHAnsi" w:hAnsiTheme="minorHAnsi" w:cstheme="minorBidi"/>
      <w:kern w:val="2"/>
      <w:sz w:val="32"/>
      <w:szCs w:val="22"/>
    </w:rPr>
  </w:style>
  <w:style w:type="character" w:customStyle="1" w:styleId="38">
    <w:name w:val="批注主题 字符"/>
    <w:basedOn w:val="37"/>
    <w:link w:val="15"/>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4174</Words>
  <Characters>23797</Characters>
  <Lines>198</Lines>
  <Paragraphs>55</Paragraphs>
  <TotalTime>3329</TotalTime>
  <ScaleCrop>false</ScaleCrop>
  <LinksUpToDate>false</LinksUpToDate>
  <CharactersWithSpaces>27916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2020-06-30T07:56:00Z</dcterms:created>
  <dc:creator>Admin</dc:creator>
  <cp:lastModifiedBy>kylin</cp:lastModifiedBy>
  <cp:lastPrinted>2021-04-17T07:26:00Z</cp:lastPrinted>
  <dcterms:modified xsi:type="dcterms:W3CDTF">2021-09-01T17:39:06Z</dcterms:modified>
  <cp:revision>4762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