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临空经济区营商环境建设暨“</w:t>
      </w:r>
      <w:r>
        <w:rPr>
          <w:rFonts w:hint="eastAsia" w:ascii="黑体" w:hAnsi="黑体" w:eastAsia="黑体" w:cs="黑体"/>
          <w:sz w:val="44"/>
          <w:szCs w:val="44"/>
        </w:rPr>
        <w:t>双万双服促发展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”活动</w:t>
      </w:r>
      <w:r>
        <w:rPr>
          <w:rFonts w:hint="eastAsia" w:ascii="黑体" w:hAnsi="黑体" w:eastAsia="黑体" w:cs="黑体"/>
          <w:sz w:val="44"/>
          <w:szCs w:val="44"/>
        </w:rPr>
        <w:t>工作要求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一、实地走访。各包联领导干部原则上需实地走访包联企业一次，与企业建立包联关系，并告知企业有问题可随时与包联领导联系，后续可根据实际情况以电话形式对企业回访。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二、问题收集。各包联领导干部要进一步加强问题收集力度，尤其是重难点问题筛选和跟踪解决力度，增强主动服务意识，实施重点服务、精准定位、精准施策。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三、建立台账。临空经济区处级领导及相关负责人包联的65家企业需由相应的联系人对领导包联情况进行记录并形成包联台账（附件4），每季度由服务组办公室汇总上报区活动办。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平台登录。服务组办公室负责平台统一管理，包联负责人对接企业帮助企业按照流程登录政企互通平台（附件2中有组织机构代码和初始密码的企业为需上平台企业），并与企业积极对接确保问题上平台前做好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五、信息报送。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各部门每月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25号前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篇营商环境信息，各走访包联企业责任干部每季度最后一月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25号前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篇信息，报服务组办公室（企服中心）。服务组办公室择优选取各部门营商创建信息，每季度编制营商环境工作简报，报区活动办、临空经济区“双万双服促发展”活动服务组各成员。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59" w:bottom="1701" w:left="1559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F65A1"/>
    <w:rsid w:val="155F1BAA"/>
    <w:rsid w:val="1C75061E"/>
    <w:rsid w:val="20CA6C3B"/>
    <w:rsid w:val="39A45222"/>
    <w:rsid w:val="411526E6"/>
    <w:rsid w:val="41EC4EE9"/>
    <w:rsid w:val="548C29A0"/>
    <w:rsid w:val="5A6E1314"/>
    <w:rsid w:val="5E090765"/>
    <w:rsid w:val="60D37BD6"/>
    <w:rsid w:val="66AC1F48"/>
    <w:rsid w:val="6719155B"/>
    <w:rsid w:val="67E80537"/>
    <w:rsid w:val="6A805899"/>
    <w:rsid w:val="6A9845B2"/>
    <w:rsid w:val="6D7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巳奇</dc:creator>
  <cp:lastModifiedBy>Administrator</cp:lastModifiedBy>
  <cp:lastPrinted>2020-05-27T09:01:00Z</cp:lastPrinted>
  <dcterms:modified xsi:type="dcterms:W3CDTF">2021-04-20T01:28:49Z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4CAF066ED6824ACEAA30A3A7E92183D2</vt:lpwstr>
  </property>
</Properties>
</file>