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color w:val="000000"/>
          <w:w w:val="100"/>
          <w:kern w:val="0"/>
          <w:sz w:val="44"/>
          <w:szCs w:val="44"/>
        </w:rPr>
      </w:pPr>
      <w:r>
        <w:rPr>
          <w:rFonts w:hint="eastAsia" w:ascii="方正小标宋简体" w:hAnsi="仿宋" w:eastAsia="方正小标宋简体" w:cs="宋体"/>
          <w:color w:val="000000"/>
          <w:w w:val="100"/>
          <w:kern w:val="0"/>
          <w:sz w:val="44"/>
          <w:szCs w:val="44"/>
        </w:rPr>
        <w:t>东丽区农业农村委 东丽区财政局关于印发</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宋体"/>
          <w:color w:val="000000"/>
          <w:w w:val="100"/>
          <w:kern w:val="0"/>
          <w:sz w:val="44"/>
          <w:szCs w:val="44"/>
        </w:rPr>
      </w:pPr>
      <w:r>
        <w:rPr>
          <w:rFonts w:hint="eastAsia" w:ascii="方正小标宋简体" w:hAnsi="仿宋" w:eastAsia="方正小标宋简体" w:cs="宋体"/>
          <w:color w:val="000000"/>
          <w:w w:val="100"/>
          <w:kern w:val="0"/>
          <w:sz w:val="44"/>
          <w:szCs w:val="44"/>
        </w:rPr>
        <w:t>《</w:t>
      </w:r>
      <w:r>
        <w:rPr>
          <w:rFonts w:hint="eastAsia" w:ascii="Times New Roman" w:hAnsi="Times New Roman" w:eastAsia="方正小标宋简体" w:cs="宋体"/>
          <w:color w:val="000000"/>
          <w:w w:val="100"/>
          <w:kern w:val="0"/>
          <w:sz w:val="44"/>
          <w:szCs w:val="44"/>
        </w:rPr>
        <w:t>东丽区2024年耕地地力保护补贴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 w:eastAsia="仿宋_GB2312" w:cs="宋体"/>
          <w:color w:val="000000"/>
          <w:w w:val="100"/>
          <w:kern w:val="0"/>
          <w:sz w:val="44"/>
          <w:szCs w:val="44"/>
        </w:rPr>
      </w:pPr>
      <w:r>
        <w:rPr>
          <w:rFonts w:hint="eastAsia" w:ascii="Times New Roman" w:hAnsi="Times New Roman" w:eastAsia="方正小标宋简体" w:cs="宋体"/>
          <w:color w:val="000000"/>
          <w:w w:val="100"/>
          <w:kern w:val="0"/>
          <w:sz w:val="44"/>
          <w:szCs w:val="44"/>
        </w:rPr>
        <w:t>实施方案</w:t>
      </w:r>
      <w:r>
        <w:rPr>
          <w:rFonts w:hint="eastAsia" w:ascii="方正小标宋简体" w:hAnsi="仿宋" w:eastAsia="方正小标宋简体" w:cs="宋体"/>
          <w:color w:val="000000"/>
          <w:w w:val="100"/>
          <w:kern w:val="0"/>
          <w:sz w:val="44"/>
          <w:szCs w:val="44"/>
        </w:rPr>
        <w:t>》的通知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eastAsia="仿宋_GB2312" w:cs="宋体"/>
          <w:kern w:val="0"/>
          <w:sz w:val="32"/>
          <w:szCs w:val="32"/>
        </w:rPr>
      </w:pPr>
      <w:r>
        <w:rPr>
          <w:rFonts w:hint="eastAsia" w:eastAsia="仿宋_GB2312" w:cs="宋体"/>
          <w:kern w:val="0"/>
          <w:sz w:val="32"/>
          <w:szCs w:val="32"/>
        </w:rPr>
        <w:t>各涉农街道办事处及东丽湖街道办事处：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为保障粮食生产安全，调动农民种粮积极性，引导农民自觉提升耕地地力，提高粮食综合生产能力，按照中央和天津市委市政府的统一部署，实施耕地地力保护补贴政策。为确保东丽区2024年度耕地地力保护补贴工作的顺利开展，结合我区实际，区农业农村委和区财政局起草了《东丽区2024年耕地地力保护补贴实施方案》（以下简称《方案》），现印发给你们，请按照《方案》要求做好执行落实。</w:t>
      </w:r>
    </w:p>
    <w:p>
      <w:pPr>
        <w:keepNext w:val="0"/>
        <w:keepLines w:val="0"/>
        <w:pageBreakBefore w:val="0"/>
        <w:widowControl w:val="0"/>
        <w:tabs>
          <w:tab w:val="left" w:pos="4253"/>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Times New Roman" w:hAnsi="Times New Roman" w:eastAsia="仿宋_GB2312" w:cs="仿宋_GB2312"/>
          <w:b w:val="0"/>
          <w:bCs w:val="0"/>
          <w:kern w:val="0"/>
          <w:sz w:val="32"/>
          <w:szCs w:val="32"/>
          <w:lang w:eastAsia="zh-CN"/>
        </w:rPr>
      </w:pPr>
      <w:r>
        <w:rPr>
          <w:rFonts w:hint="eastAsia" w:ascii="Times New Roman" w:hAnsi="Times New Roman" w:eastAsia="仿宋_GB2312" w:cs="仿宋_GB2312"/>
          <w:b w:val="0"/>
          <w:bCs w:val="0"/>
          <w:sz w:val="32"/>
          <w:szCs w:val="32"/>
          <w:lang w:eastAsia="zh-CN"/>
        </w:rPr>
        <w:t>附件：东丽区2024年耕地地力保护补贴实施方案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center"/>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天津市东丽区农业农村委</w:t>
      </w:r>
      <w:r>
        <w:rPr>
          <w:rFonts w:hint="eastAsia" w:ascii="Times New Roman" w:hAnsi="Times New Roman" w:eastAsia="仿宋_GB2312" w:cs="宋体"/>
          <w:kern w:val="0"/>
          <w:sz w:val="32"/>
          <w:szCs w:val="32"/>
          <w:lang w:eastAsia="zh-CN"/>
        </w:rPr>
        <w:t>员会</w:t>
      </w:r>
      <w:r>
        <w:rPr>
          <w:rFonts w:hint="eastAsia" w:ascii="Times New Roman" w:hAnsi="Times New Roman" w:eastAsia="仿宋_GB2312" w:cs="宋体"/>
          <w:kern w:val="0"/>
          <w:sz w:val="32"/>
          <w:szCs w:val="32"/>
        </w:rPr>
        <w:t xml:space="preserve">      天津市东丽区财政局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202</w:t>
      </w:r>
      <w:r>
        <w:rPr>
          <w:rFonts w:hint="eastAsia" w:eastAsia="仿宋_GB2312" w:cs="宋体"/>
          <w:kern w:val="0"/>
          <w:sz w:val="32"/>
          <w:szCs w:val="32"/>
          <w:lang w:val="en-US" w:eastAsia="zh-CN"/>
        </w:rPr>
        <w:t>4</w:t>
      </w:r>
      <w:r>
        <w:rPr>
          <w:rFonts w:hint="eastAsia" w:ascii="Times New Roman" w:hAnsi="Times New Roman" w:eastAsia="仿宋_GB2312" w:cs="宋体"/>
          <w:kern w:val="0"/>
          <w:sz w:val="32"/>
          <w:szCs w:val="32"/>
        </w:rPr>
        <w:t>年</w:t>
      </w:r>
      <w:r>
        <w:rPr>
          <w:rFonts w:hint="eastAsia" w:eastAsia="仿宋_GB2312" w:cs="宋体"/>
          <w:kern w:val="0"/>
          <w:sz w:val="32"/>
          <w:szCs w:val="32"/>
          <w:lang w:val="en-US" w:eastAsia="zh-CN"/>
        </w:rPr>
        <w:t>3</w:t>
      </w:r>
      <w:r>
        <w:rPr>
          <w:rFonts w:hint="eastAsia" w:ascii="Times New Roman" w:hAnsi="Times New Roman" w:eastAsia="仿宋_GB2312" w:cs="宋体"/>
          <w:kern w:val="0"/>
          <w:sz w:val="32"/>
          <w:szCs w:val="32"/>
        </w:rPr>
        <w:t>月</w:t>
      </w:r>
      <w:r>
        <w:rPr>
          <w:rFonts w:hint="eastAsia" w:eastAsia="仿宋_GB2312" w:cs="宋体"/>
          <w:kern w:val="0"/>
          <w:sz w:val="32"/>
          <w:szCs w:val="32"/>
          <w:lang w:val="en-US" w:eastAsia="zh-CN"/>
        </w:rPr>
        <w:t>6</w:t>
      </w:r>
      <w:r>
        <w:rPr>
          <w:rFonts w:hint="eastAsia" w:ascii="Times New Roman" w:hAnsi="Times New Roman" w:eastAsia="仿宋_GB2312" w:cs="宋体"/>
          <w:kern w:val="0"/>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附件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宋体"/>
          <w:color w:val="000000"/>
          <w:kern w:val="0"/>
          <w:sz w:val="44"/>
          <w:szCs w:val="44"/>
        </w:rPr>
      </w:pPr>
      <w:r>
        <w:rPr>
          <w:rFonts w:hint="eastAsia" w:ascii="Times New Roman" w:hAnsi="Times New Roman" w:eastAsia="方正小标宋简体" w:cs="宋体"/>
          <w:color w:val="000000"/>
          <w:kern w:val="0"/>
          <w:sz w:val="44"/>
          <w:szCs w:val="44"/>
        </w:rPr>
        <w:t>东丽区2024年耕地地力保护补贴实施方案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p>
    <w:p>
      <w:pPr>
        <w:widowControl/>
        <w:spacing w:line="560" w:lineRule="exact"/>
        <w:ind w:firstLine="640" w:firstLineChars="200"/>
        <w:rPr>
          <w:rFonts w:hint="eastAsia" w:eastAsia="仿宋_GB2312" w:cs="宋体"/>
          <w:color w:val="000000"/>
          <w:kern w:val="0"/>
          <w:sz w:val="32"/>
          <w:szCs w:val="32"/>
        </w:rPr>
      </w:pPr>
      <w:r>
        <w:rPr>
          <w:rFonts w:hint="eastAsia" w:eastAsia="仿宋_GB2312"/>
          <w:sz w:val="32"/>
          <w:szCs w:val="32"/>
        </w:rPr>
        <w:t>按照《市农业农村委 市财政局关于印发</w:t>
      </w:r>
      <w:r>
        <w:rPr>
          <w:rFonts w:hint="eastAsia" w:eastAsia="仿宋_GB2312"/>
          <w:sz w:val="32"/>
          <w:szCs w:val="32"/>
          <w:lang w:val="en-US" w:eastAsia="zh-CN"/>
        </w:rPr>
        <w:t>〈</w:t>
      </w:r>
      <w:r>
        <w:rPr>
          <w:rFonts w:hint="eastAsia" w:eastAsia="仿宋_GB2312"/>
          <w:sz w:val="32"/>
          <w:szCs w:val="32"/>
        </w:rPr>
        <w:t>天津市耕地地力保护补贴实施方案</w:t>
      </w:r>
      <w:r>
        <w:rPr>
          <w:rFonts w:hint="eastAsia" w:eastAsia="仿宋_GB2312"/>
          <w:sz w:val="32"/>
          <w:szCs w:val="32"/>
          <w:lang w:val="en-US" w:eastAsia="zh-CN"/>
        </w:rPr>
        <w:t>〉</w:t>
      </w:r>
      <w:r>
        <w:rPr>
          <w:rFonts w:hint="eastAsia" w:eastAsia="仿宋_GB2312"/>
          <w:sz w:val="32"/>
          <w:szCs w:val="32"/>
        </w:rPr>
        <w:t>的通知》（津农委计财〔2021〕31号）和《天津市财政局 天津市农业农村委员会关于印发天津市耕地建设利用资金管理办法的通知》（津财规〔2023〕12号）要求，为保障粮食安全，</w:t>
      </w:r>
      <w:r>
        <w:rPr>
          <w:rFonts w:hint="eastAsia" w:eastAsia="仿宋_GB2312" w:cs="宋体"/>
          <w:kern w:val="0"/>
          <w:sz w:val="32"/>
          <w:szCs w:val="32"/>
        </w:rPr>
        <w:t>调动农民种粮积极性，引导农民自觉提升耕地地力，提高粮食综合生产能力，实施耕地地力保护补贴。为确保</w:t>
      </w:r>
      <w:r>
        <w:rPr>
          <w:rFonts w:hint="eastAsia" w:eastAsia="仿宋_GB2312" w:cs="宋体"/>
          <w:color w:val="000000"/>
          <w:kern w:val="0"/>
          <w:sz w:val="32"/>
          <w:szCs w:val="32"/>
        </w:rPr>
        <w:t>我区2024年度耕地地力保护补贴工作的顺利开展</w:t>
      </w:r>
      <w:r>
        <w:rPr>
          <w:rFonts w:hint="eastAsia" w:eastAsia="仿宋_GB2312" w:cs="宋体"/>
          <w:kern w:val="0"/>
          <w:sz w:val="32"/>
          <w:szCs w:val="32"/>
        </w:rPr>
        <w:t>，</w:t>
      </w:r>
      <w:r>
        <w:rPr>
          <w:rFonts w:hint="eastAsia" w:eastAsia="仿宋_GB2312" w:cs="宋体"/>
          <w:color w:val="000000"/>
          <w:kern w:val="0"/>
          <w:sz w:val="32"/>
          <w:szCs w:val="32"/>
        </w:rPr>
        <w:t>根据相关要求，特制定本实施方案。</w:t>
      </w:r>
    </w:p>
    <w:p>
      <w:pPr>
        <w:widowControl/>
        <w:tabs>
          <w:tab w:val="left" w:pos="1320"/>
        </w:tabs>
        <w:spacing w:line="560" w:lineRule="exact"/>
        <w:ind w:firstLine="640" w:firstLineChars="200"/>
        <w:rPr>
          <w:rFonts w:hint="eastAsia" w:ascii="黑体" w:hAnsi="仿宋" w:eastAsia="黑体" w:cs="宋体"/>
          <w:color w:val="000000"/>
          <w:kern w:val="0"/>
          <w:sz w:val="32"/>
          <w:szCs w:val="32"/>
        </w:rPr>
      </w:pPr>
      <w:r>
        <w:rPr>
          <w:rFonts w:hint="eastAsia" w:ascii="黑体" w:hAnsi="仿宋" w:eastAsia="黑体" w:cs="宋体"/>
          <w:color w:val="000000"/>
          <w:kern w:val="0"/>
          <w:sz w:val="32"/>
          <w:szCs w:val="32"/>
        </w:rPr>
        <w:t>一、补贴品种及补贴对象</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（一）补贴范围</w:t>
      </w:r>
    </w:p>
    <w:p>
      <w:pPr>
        <w:widowControl/>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对本区种植粮食作物给予补贴。粮食作物包括谷物（小麦、玉米、水稻和其他谷物）、豆类和薯类（甘薯、马铃薯）。</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（二）补贴对象</w:t>
      </w:r>
    </w:p>
    <w:p>
      <w:pPr>
        <w:widowControl/>
        <w:spacing w:line="560" w:lineRule="exact"/>
        <w:ind w:firstLine="640" w:firstLineChars="200"/>
        <w:rPr>
          <w:rFonts w:hint="eastAsia" w:eastAsia="仿宋_GB2312"/>
          <w:sz w:val="32"/>
          <w:szCs w:val="32"/>
        </w:rPr>
      </w:pPr>
      <w:r>
        <w:rPr>
          <w:rFonts w:hint="eastAsia" w:eastAsia="仿宋_GB2312"/>
          <w:sz w:val="32"/>
          <w:szCs w:val="32"/>
        </w:rPr>
        <w:t>本辖区内种粮生产者（包含农户、村集体耕地承包户、国有农场职工、国有农场耕地承包户以及</w:t>
      </w:r>
      <w:r>
        <w:rPr>
          <w:rFonts w:eastAsia="仿宋_GB2312"/>
          <w:sz w:val="32"/>
          <w:szCs w:val="32"/>
        </w:rPr>
        <w:fldChar w:fldCharType="begin"/>
      </w:r>
      <w:r>
        <w:rPr>
          <w:rFonts w:eastAsia="仿宋_GB2312"/>
          <w:sz w:val="32"/>
          <w:szCs w:val="32"/>
        </w:rPr>
        <w:instrText xml:space="preserve"> HYPERLINK "https://www.tuliu.com/tags/97.html" \t "_blank" </w:instrText>
      </w:r>
      <w:r>
        <w:rPr>
          <w:rFonts w:eastAsia="仿宋_GB2312"/>
          <w:sz w:val="32"/>
          <w:szCs w:val="32"/>
        </w:rPr>
        <w:fldChar w:fldCharType="separate"/>
      </w:r>
      <w:r>
        <w:rPr>
          <w:rFonts w:hint="eastAsia" w:eastAsia="仿宋_GB2312"/>
          <w:sz w:val="32"/>
          <w:szCs w:val="32"/>
        </w:rPr>
        <w:t>家庭农场</w:t>
      </w:r>
      <w:r>
        <w:rPr>
          <w:rFonts w:eastAsia="仿宋_GB2312"/>
          <w:sz w:val="32"/>
          <w:szCs w:val="32"/>
        </w:rPr>
        <w:fldChar w:fldCharType="end"/>
      </w:r>
      <w:r>
        <w:rPr>
          <w:rFonts w:hint="eastAsia" w:eastAsia="仿宋_GB2312"/>
          <w:sz w:val="32"/>
          <w:szCs w:val="32"/>
        </w:rPr>
        <w:t>、农民专业合作社、农业企业等新型经营主体）。</w:t>
      </w:r>
    </w:p>
    <w:p>
      <w:pPr>
        <w:widowControl/>
        <w:spacing w:line="56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合法有效的土地延包手续持有者或具有村集体经济组织出具的相关证明材料的种粮农户；</w:t>
      </w:r>
    </w:p>
    <w:p>
      <w:pPr>
        <w:widowControl/>
        <w:spacing w:line="560" w:lineRule="exact"/>
        <w:ind w:firstLine="640" w:firstLineChars="200"/>
        <w:rPr>
          <w:rFonts w:hint="eastAsia" w:eastAsia="仿宋_GB2312"/>
          <w:sz w:val="32"/>
          <w:szCs w:val="32"/>
        </w:rPr>
      </w:pPr>
      <w:r>
        <w:rPr>
          <w:rFonts w:hint="eastAsia" w:eastAsia="仿宋_GB2312"/>
          <w:sz w:val="32"/>
          <w:szCs w:val="32"/>
        </w:rPr>
        <w:t>2.已整合耕地，经街、村集体经济组织授权耕作的种粮农户（有完善的承包手续、委托管理协议或村队出具的相关证明材料）；</w:t>
      </w:r>
    </w:p>
    <w:p>
      <w:pPr>
        <w:widowControl/>
        <w:spacing w:line="560" w:lineRule="exact"/>
        <w:ind w:firstLine="640" w:firstLineChars="200"/>
        <w:rPr>
          <w:rFonts w:hint="eastAsia" w:eastAsia="仿宋_GB2312"/>
          <w:sz w:val="32"/>
          <w:szCs w:val="32"/>
        </w:rPr>
      </w:pPr>
      <w:r>
        <w:rPr>
          <w:rFonts w:hint="eastAsia" w:eastAsia="仿宋_GB2312"/>
          <w:sz w:val="32"/>
          <w:szCs w:val="32"/>
        </w:rPr>
        <w:t>3.国有农场、国有土地职工（土地所有权清晰，个人种植的应有完善的承包手续、委托管理协议或相关证明材料）；</w:t>
      </w:r>
    </w:p>
    <w:p>
      <w:pPr>
        <w:widowControl/>
        <w:spacing w:line="560" w:lineRule="exact"/>
        <w:ind w:firstLine="640" w:firstLineChars="200"/>
        <w:rPr>
          <w:rFonts w:hint="eastAsia" w:eastAsia="仿宋_GB2312"/>
          <w:sz w:val="32"/>
          <w:szCs w:val="32"/>
        </w:rPr>
      </w:pPr>
      <w:r>
        <w:rPr>
          <w:rFonts w:hint="eastAsia" w:eastAsia="仿宋_GB2312"/>
          <w:sz w:val="32"/>
          <w:szCs w:val="32"/>
        </w:rPr>
        <w:t>4.</w:t>
      </w:r>
      <w:r>
        <w:rPr>
          <w:rFonts w:eastAsia="仿宋_GB2312"/>
          <w:sz w:val="32"/>
          <w:szCs w:val="32"/>
        </w:rPr>
        <w:fldChar w:fldCharType="begin"/>
      </w:r>
      <w:r>
        <w:rPr>
          <w:rFonts w:eastAsia="仿宋_GB2312"/>
          <w:sz w:val="32"/>
          <w:szCs w:val="32"/>
        </w:rPr>
        <w:instrText xml:space="preserve"> HYPERLINK "https://www.tuliu.com/tags/97.html" \t "_blank" </w:instrText>
      </w:r>
      <w:r>
        <w:rPr>
          <w:rFonts w:eastAsia="仿宋_GB2312"/>
          <w:sz w:val="32"/>
          <w:szCs w:val="32"/>
        </w:rPr>
        <w:fldChar w:fldCharType="separate"/>
      </w:r>
      <w:r>
        <w:rPr>
          <w:rFonts w:hint="eastAsia" w:eastAsia="仿宋_GB2312"/>
          <w:sz w:val="32"/>
          <w:szCs w:val="32"/>
        </w:rPr>
        <w:t>家庭农场</w:t>
      </w:r>
      <w:r>
        <w:rPr>
          <w:rFonts w:eastAsia="仿宋_GB2312"/>
          <w:sz w:val="32"/>
          <w:szCs w:val="32"/>
        </w:rPr>
        <w:fldChar w:fldCharType="end"/>
      </w:r>
      <w:r>
        <w:rPr>
          <w:rFonts w:hint="eastAsia" w:eastAsia="仿宋_GB2312"/>
          <w:sz w:val="32"/>
          <w:szCs w:val="32"/>
        </w:rPr>
        <w:t>、农民合作社、农业企业等新型经营主体（有完善的承包手续、委托管理协议或村队出具的相关证明材料）；</w:t>
      </w:r>
    </w:p>
    <w:p>
      <w:pPr>
        <w:widowControl/>
        <w:spacing w:line="560" w:lineRule="exact"/>
        <w:ind w:firstLine="640" w:firstLineChars="200"/>
        <w:rPr>
          <w:rFonts w:hint="eastAsia" w:eastAsia="仿宋_GB2312"/>
          <w:sz w:val="32"/>
          <w:szCs w:val="32"/>
        </w:rPr>
      </w:pPr>
      <w:r>
        <w:rPr>
          <w:rFonts w:hint="eastAsia" w:eastAsia="仿宋_GB2312"/>
          <w:sz w:val="32"/>
          <w:szCs w:val="32"/>
          <w:lang w:val="en-US" w:eastAsia="zh-CN"/>
        </w:rPr>
        <w:t>5.</w:t>
      </w:r>
      <w:r>
        <w:rPr>
          <w:rFonts w:hint="eastAsia" w:eastAsia="仿宋_GB2312"/>
          <w:sz w:val="32"/>
          <w:szCs w:val="32"/>
        </w:rPr>
        <w:t>享受耕地地力保护补贴对象所耕种土地无土地纠纷。</w:t>
      </w:r>
    </w:p>
    <w:p>
      <w:pPr>
        <w:widowControl/>
        <w:spacing w:line="560" w:lineRule="exact"/>
        <w:ind w:firstLine="640" w:firstLineChars="200"/>
        <w:rPr>
          <w:rFonts w:hint="eastAsia" w:ascii="黑体" w:hAnsi="仿宋" w:eastAsia="黑体" w:cs="宋体"/>
          <w:color w:val="000000"/>
          <w:kern w:val="0"/>
          <w:sz w:val="32"/>
          <w:szCs w:val="32"/>
        </w:rPr>
      </w:pPr>
      <w:r>
        <w:rPr>
          <w:rFonts w:hint="eastAsia" w:ascii="黑体" w:hAnsi="仿宋" w:eastAsia="黑体" w:cs="宋体"/>
          <w:color w:val="000000"/>
          <w:kern w:val="0"/>
          <w:sz w:val="32"/>
          <w:szCs w:val="32"/>
        </w:rPr>
        <w:t>二、补贴标准及资金匹配</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（一）补贴标准</w:t>
      </w:r>
    </w:p>
    <w:p>
      <w:pPr>
        <w:widowControl/>
        <w:spacing w:line="560" w:lineRule="exact"/>
        <w:ind w:firstLine="640" w:firstLineChars="200"/>
        <w:rPr>
          <w:rFonts w:hint="eastAsia" w:eastAsia="仿宋_GB2312"/>
          <w:sz w:val="32"/>
          <w:szCs w:val="32"/>
        </w:rPr>
      </w:pPr>
      <w:r>
        <w:rPr>
          <w:rFonts w:hint="eastAsia" w:eastAsia="仿宋_GB2312"/>
          <w:sz w:val="32"/>
          <w:szCs w:val="32"/>
        </w:rPr>
        <w:t>按照粮食作物实际种植面积，每亩补贴95元。其中复种、套种粮食的，按照实际种植面积进行测算。</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（二）资金匹配</w:t>
      </w:r>
    </w:p>
    <w:p>
      <w:pPr>
        <w:widowControl/>
        <w:spacing w:line="560" w:lineRule="exact"/>
        <w:ind w:firstLine="640" w:firstLineChars="200"/>
        <w:rPr>
          <w:rFonts w:hint="eastAsia" w:eastAsia="仿宋_GB2312"/>
          <w:sz w:val="32"/>
          <w:szCs w:val="32"/>
        </w:rPr>
      </w:pPr>
      <w:r>
        <w:rPr>
          <w:rFonts w:hint="eastAsia" w:eastAsia="仿宋_GB2312"/>
          <w:sz w:val="32"/>
          <w:szCs w:val="32"/>
        </w:rPr>
        <w:t>耕地地力保护补贴资金按现行财政制度匹配，其中：中央和市财政承担83元/亩；区、街按照我区财政制度负担12元/亩。</w:t>
      </w:r>
    </w:p>
    <w:p>
      <w:pPr>
        <w:widowControl/>
        <w:tabs>
          <w:tab w:val="left" w:pos="1320"/>
        </w:tabs>
        <w:spacing w:line="560" w:lineRule="exact"/>
        <w:ind w:firstLine="640" w:firstLineChars="200"/>
        <w:rPr>
          <w:rFonts w:hint="eastAsia" w:ascii="黑体" w:hAnsi="仿宋" w:eastAsia="黑体" w:cs="宋体"/>
          <w:color w:val="000000"/>
          <w:kern w:val="0"/>
          <w:sz w:val="32"/>
          <w:szCs w:val="32"/>
        </w:rPr>
      </w:pPr>
      <w:r>
        <w:rPr>
          <w:rFonts w:hint="eastAsia" w:ascii="黑体" w:hAnsi="仿宋" w:eastAsia="黑体" w:cs="宋体"/>
          <w:color w:val="000000"/>
          <w:kern w:val="0"/>
          <w:sz w:val="32"/>
          <w:szCs w:val="32"/>
        </w:rPr>
        <w:t>三、工作程序</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（一）统计补贴面积</w:t>
      </w:r>
    </w:p>
    <w:p>
      <w:pPr>
        <w:widowControl/>
        <w:spacing w:line="560" w:lineRule="exact"/>
        <w:ind w:firstLine="640" w:firstLineChars="200"/>
        <w:rPr>
          <w:rFonts w:hint="eastAsia" w:eastAsia="仿宋_GB2312"/>
          <w:sz w:val="32"/>
          <w:szCs w:val="32"/>
        </w:rPr>
      </w:pPr>
      <w:r>
        <w:rPr>
          <w:rFonts w:hint="eastAsia" w:eastAsia="仿宋_GB2312"/>
          <w:sz w:val="32"/>
          <w:szCs w:val="32"/>
        </w:rPr>
        <w:t>以村为单位对种粮生产者实际种植粮食作物补贴数据进行登记造册，登记造册中要明确补贴对象、补贴面积和种植作物等信息。对非村属地块（含市、区、街属国有农场耕地，街、村托管耕地等）可由种粮生产者直接报街道办事处，由街道办事处进行登记核实。各村将补贴数据上报至街</w:t>
      </w:r>
      <w:r>
        <w:rPr>
          <w:rFonts w:hint="eastAsia" w:eastAsia="仿宋_GB2312"/>
          <w:sz w:val="32"/>
          <w:szCs w:val="32"/>
          <w:lang w:val="en-US" w:eastAsia="zh-CN"/>
        </w:rPr>
        <w:t>道</w:t>
      </w:r>
      <w:r>
        <w:rPr>
          <w:rFonts w:hint="eastAsia" w:eastAsia="仿宋_GB2312"/>
          <w:sz w:val="32"/>
          <w:szCs w:val="32"/>
        </w:rPr>
        <w:t>办事处，由各街组织人员录入惠民惠农“一卡通”服务平台，并对补贴农户信息、补贴面积数据进行初审。</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（二）公示补贴事项</w:t>
      </w:r>
    </w:p>
    <w:p>
      <w:pPr>
        <w:widowControl/>
        <w:spacing w:line="560" w:lineRule="exact"/>
        <w:ind w:firstLine="640" w:firstLineChars="200"/>
        <w:rPr>
          <w:rFonts w:hint="eastAsia" w:eastAsia="仿宋_GB2312"/>
          <w:sz w:val="32"/>
          <w:szCs w:val="32"/>
        </w:rPr>
      </w:pPr>
      <w:r>
        <w:rPr>
          <w:rFonts w:hint="eastAsia" w:eastAsia="仿宋_GB2312"/>
          <w:sz w:val="32"/>
          <w:szCs w:val="32"/>
        </w:rPr>
        <w:t>各街打印补贴公示表至所在村进行张榜公示，并拍照留存，公示期7天。公示无异议后，街道办事处通过天津市惠民惠农“一卡通”服务平台进行上报，同时将初审意见、2024年东丽区耕地地力保护补贴金额统计表、补贴明细纸质版上报区农农业农村委审核汇总。后由区农业农村委报送区财政。</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（三）核查补贴面积</w:t>
      </w:r>
    </w:p>
    <w:p>
      <w:pPr>
        <w:widowControl/>
        <w:spacing w:line="560" w:lineRule="exact"/>
        <w:ind w:firstLine="640" w:firstLineChars="200"/>
        <w:rPr>
          <w:rFonts w:hint="eastAsia" w:eastAsia="仿宋_GB2312"/>
          <w:sz w:val="32"/>
          <w:szCs w:val="32"/>
        </w:rPr>
      </w:pPr>
      <w:r>
        <w:rPr>
          <w:rFonts w:hint="eastAsia" w:eastAsia="仿宋_GB2312"/>
          <w:sz w:val="32"/>
          <w:szCs w:val="32"/>
        </w:rPr>
        <w:t>区农业农村委组织核查人员或委托有资质的第三方机构随机抽取2</w:t>
      </w:r>
      <w:r>
        <w:rPr>
          <w:rFonts w:hint="eastAsia" w:eastAsia="仿宋_GB2312"/>
          <w:sz w:val="32"/>
          <w:szCs w:val="32"/>
          <w:lang w:eastAsia="zh-CN"/>
        </w:rPr>
        <w:t>—</w:t>
      </w:r>
      <w:r>
        <w:rPr>
          <w:rFonts w:hint="eastAsia" w:eastAsia="仿宋_GB2312"/>
          <w:sz w:val="32"/>
          <w:szCs w:val="32"/>
        </w:rPr>
        <w:t>3个涉及种粮补贴的街道进行核查，每个街道随机抽取2</w:t>
      </w:r>
      <w:r>
        <w:rPr>
          <w:rFonts w:hint="eastAsia" w:eastAsia="仿宋_GB2312"/>
          <w:sz w:val="32"/>
          <w:szCs w:val="32"/>
          <w:lang w:eastAsia="zh-CN"/>
        </w:rPr>
        <w:t>—</w:t>
      </w:r>
      <w:r>
        <w:rPr>
          <w:rFonts w:hint="eastAsia" w:eastAsia="仿宋_GB2312"/>
          <w:sz w:val="32"/>
          <w:szCs w:val="32"/>
        </w:rPr>
        <w:t>3个村队，按照种粮农户数的3</w:t>
      </w:r>
      <w:r>
        <w:rPr>
          <w:rFonts w:hint="eastAsia" w:eastAsia="仿宋_GB2312"/>
          <w:sz w:val="32"/>
          <w:szCs w:val="32"/>
          <w:lang w:val="en-US" w:eastAsia="zh-CN"/>
        </w:rPr>
        <w:t>%</w:t>
      </w:r>
      <w:r>
        <w:rPr>
          <w:rFonts w:hint="eastAsia" w:eastAsia="仿宋_GB2312"/>
          <w:sz w:val="32"/>
          <w:szCs w:val="32"/>
          <w:lang w:eastAsia="zh-CN"/>
        </w:rPr>
        <w:t>—</w:t>
      </w:r>
      <w:r>
        <w:rPr>
          <w:rFonts w:hint="eastAsia" w:eastAsia="仿宋_GB2312"/>
          <w:sz w:val="32"/>
          <w:szCs w:val="32"/>
        </w:rPr>
        <w:t>10%比例对种植面积和品种进行核查。对存在问题的村队，责成街道监督整改。</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（四）资金发放</w:t>
      </w:r>
    </w:p>
    <w:p>
      <w:pPr>
        <w:widowControl/>
        <w:spacing w:line="560" w:lineRule="exact"/>
        <w:ind w:firstLine="640" w:firstLineChars="200"/>
        <w:rPr>
          <w:rFonts w:hint="eastAsia" w:eastAsia="仿宋_GB2312"/>
          <w:sz w:val="32"/>
          <w:szCs w:val="32"/>
        </w:rPr>
      </w:pPr>
      <w:r>
        <w:rPr>
          <w:rFonts w:hint="eastAsia" w:eastAsia="仿宋_GB2312"/>
          <w:sz w:val="32"/>
          <w:szCs w:val="32"/>
        </w:rPr>
        <w:t>区财政部门会同农业部门应按照便民高效、资金安全的原则，及时通过天津市惠民惠农“一卡通”服务平台将补贴资金直接发放给农民和新型经营主体等种粮生产者，完成资金发放。耕地地力保护补贴原则上分夏粮、秋粮两次进行。夏粮每年5月底前完成公示程序，7月底前兑付完毕；秋粮每年9月底前完成公示程序，11月底前兑付完毕。</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（五）资金发放核查</w:t>
      </w:r>
    </w:p>
    <w:p>
      <w:pPr>
        <w:widowControl/>
        <w:spacing w:line="560" w:lineRule="exact"/>
        <w:ind w:firstLine="640" w:firstLineChars="200"/>
        <w:rPr>
          <w:rFonts w:hint="eastAsia" w:eastAsia="仿宋_GB2312"/>
          <w:sz w:val="32"/>
          <w:szCs w:val="32"/>
        </w:rPr>
      </w:pPr>
      <w:r>
        <w:rPr>
          <w:rFonts w:hint="eastAsia" w:eastAsia="仿宋_GB2312"/>
          <w:sz w:val="32"/>
          <w:szCs w:val="32"/>
        </w:rPr>
        <w:t>耕地地力保护资金通过天津市惠民惠农“一卡通”服务平台发放至专户后，按照随机抽查的方式对耕地地力资金发放情况进行核查。</w:t>
      </w:r>
    </w:p>
    <w:p>
      <w:pPr>
        <w:widowControl/>
        <w:spacing w:line="560" w:lineRule="exact"/>
        <w:ind w:firstLine="640" w:firstLineChars="200"/>
        <w:rPr>
          <w:rFonts w:hint="eastAsia" w:ascii="黑体" w:hAnsi="仿宋" w:eastAsia="黑体" w:cs="宋体"/>
          <w:color w:val="000000"/>
          <w:kern w:val="0"/>
          <w:sz w:val="32"/>
          <w:szCs w:val="32"/>
        </w:rPr>
      </w:pPr>
      <w:r>
        <w:rPr>
          <w:rFonts w:hint="eastAsia" w:ascii="黑体" w:hAnsi="仿宋" w:eastAsia="黑体" w:cs="宋体"/>
          <w:color w:val="000000"/>
          <w:kern w:val="0"/>
          <w:sz w:val="32"/>
          <w:szCs w:val="32"/>
          <w:lang w:val="en-US" w:eastAsia="zh-CN"/>
        </w:rPr>
        <w:t>四</w:t>
      </w:r>
      <w:r>
        <w:rPr>
          <w:rFonts w:hint="eastAsia" w:ascii="黑体" w:hAnsi="仿宋" w:eastAsia="黑体" w:cs="宋体"/>
          <w:color w:val="000000"/>
          <w:kern w:val="0"/>
          <w:sz w:val="32"/>
          <w:szCs w:val="32"/>
        </w:rPr>
        <w:t>、保障措施</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（一）强化部门协调配合</w:t>
      </w:r>
    </w:p>
    <w:p>
      <w:pPr>
        <w:widowControl/>
        <w:spacing w:line="560" w:lineRule="exact"/>
        <w:ind w:firstLine="640" w:firstLineChars="200"/>
        <w:rPr>
          <w:rFonts w:hint="eastAsia" w:eastAsia="仿宋_GB2312"/>
          <w:sz w:val="32"/>
          <w:szCs w:val="32"/>
        </w:rPr>
      </w:pPr>
      <w:r>
        <w:rPr>
          <w:rFonts w:hint="eastAsia" w:eastAsia="仿宋_GB2312"/>
          <w:sz w:val="32"/>
          <w:szCs w:val="32"/>
        </w:rPr>
        <w:t>主管部门要高度重视农业支持保护补贴工作，加强领导，明确分工，落实责任，密切配合，形成强大合力，推动补贴工作顺利实施。财政部门负责落实补贴资金的筹集，并会同农业部门对补贴资金的使用情况进行检查监督；农业部门负责补贴工作的组织实施、技术服务、检查监督以及补贴资金的发放等工作。各街道负责补贴面积的统计核实、系统录入、张榜公示、数据汇总、初审及上报等工作。</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（二）严格补贴公示制度</w:t>
      </w:r>
    </w:p>
    <w:p>
      <w:pPr>
        <w:widowControl/>
        <w:spacing w:line="560" w:lineRule="exact"/>
        <w:ind w:firstLine="640" w:firstLineChars="200"/>
        <w:rPr>
          <w:rFonts w:hint="eastAsia" w:eastAsia="仿宋_GB2312"/>
          <w:sz w:val="32"/>
          <w:szCs w:val="32"/>
        </w:rPr>
      </w:pPr>
      <w:r>
        <w:rPr>
          <w:rFonts w:hint="eastAsia" w:eastAsia="仿宋_GB2312"/>
          <w:sz w:val="32"/>
          <w:szCs w:val="32"/>
        </w:rPr>
        <w:t>补贴资金的兑付，要做到公开、公平、公正。实行补贴村级公示制，每个农户的补贴面积、补贴作物、补贴品种补贴标准、补贴金额都要张榜公示，公示时间不少于7天。财政、农业部门设立补贴监督电话，并在媒体予以公布，接受群众监督。补贴资金原则上直接发放给种粮生产者，对于种粮生产者之间转包（租）耕地的，国有农场或村集体耕地分包给种粮生产者的，按照合同约定的补贴对象发放补贴资金。</w:t>
      </w:r>
    </w:p>
    <w:p>
      <w:pPr>
        <w:widowControl/>
        <w:spacing w:line="560" w:lineRule="exact"/>
        <w:ind w:firstLine="640" w:firstLineChars="200"/>
        <w:rPr>
          <w:rFonts w:hint="eastAsia" w:ascii="楷体_GB2312" w:hAnsi="仿宋" w:eastAsia="楷体_GB2312" w:cs="宋体"/>
          <w:b/>
          <w:color w:val="000000"/>
          <w:kern w:val="0"/>
          <w:sz w:val="32"/>
          <w:szCs w:val="32"/>
        </w:rPr>
      </w:pPr>
      <w:r>
        <w:rPr>
          <w:rFonts w:hint="eastAsia" w:ascii="楷体_GB2312" w:hAnsi="仿宋" w:eastAsia="楷体_GB2312" w:cs="宋体"/>
          <w:color w:val="000000"/>
          <w:kern w:val="0"/>
          <w:sz w:val="32"/>
          <w:szCs w:val="32"/>
        </w:rPr>
        <w:t>（三）加强补贴资金管理</w:t>
      </w:r>
    </w:p>
    <w:p>
      <w:pPr>
        <w:widowControl/>
        <w:spacing w:line="560" w:lineRule="exact"/>
        <w:ind w:firstLine="640" w:firstLineChars="200"/>
        <w:rPr>
          <w:rFonts w:hint="eastAsia" w:eastAsia="仿宋_GB2312"/>
          <w:sz w:val="32"/>
          <w:szCs w:val="32"/>
        </w:rPr>
      </w:pPr>
      <w:r>
        <w:rPr>
          <w:rFonts w:hint="eastAsia" w:eastAsia="仿宋_GB2312"/>
          <w:sz w:val="32"/>
          <w:szCs w:val="32"/>
        </w:rPr>
        <w:t>补贴资金要专款专用，切实按照国家规定严格使用。任何单位和个人都不得虚报补贴面积，不得套取、挤占、挪用补贴资金。各级财政部门应安排所需配套推广工作经费，补贴面积核实、补贴资金发放、补贴档案建立和项目实施监督检查等管理支出。凡是有纠纷的土地，暂时不列入补贴范围，待明确解决土地种植纠纷后再予以追补。</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（四）严格监督检查工作</w:t>
      </w:r>
    </w:p>
    <w:p>
      <w:pPr>
        <w:widowControl/>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区农业农村委、</w:t>
      </w:r>
      <w:r>
        <w:rPr>
          <w:rFonts w:hint="eastAsia" w:ascii="仿宋_GB2312" w:hAnsi="仿宋" w:eastAsia="仿宋_GB2312" w:cs="宋体"/>
          <w:color w:val="000000"/>
          <w:kern w:val="0"/>
          <w:sz w:val="32"/>
          <w:szCs w:val="32"/>
          <w:lang w:val="en-US" w:eastAsia="zh-CN"/>
        </w:rPr>
        <w:t>区</w:t>
      </w:r>
      <w:r>
        <w:rPr>
          <w:rFonts w:hint="eastAsia" w:ascii="仿宋_GB2312" w:hAnsi="仿宋" w:eastAsia="仿宋_GB2312" w:cs="宋体"/>
          <w:color w:val="000000"/>
          <w:kern w:val="0"/>
          <w:sz w:val="32"/>
          <w:szCs w:val="32"/>
        </w:rPr>
        <w:t>财政局和各街道办事处要认真落实补贴面积核查制度及补贴资金发放核查制度，通过实地走访，认真了解补贴面积登记、补贴资金发放等有关情况，及时纠正补贴过程中出现的各种问题，防止虚报、漏报等问题发生。</w:t>
      </w:r>
    </w:p>
    <w:p>
      <w:pPr>
        <w:widowControl/>
        <w:spacing w:line="560" w:lineRule="exact"/>
        <w:ind w:firstLine="640" w:firstLineChars="200"/>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（五）加大政策宣传力度</w:t>
      </w:r>
    </w:p>
    <w:p>
      <w:pPr>
        <w:widowControl/>
        <w:spacing w:line="560" w:lineRule="exact"/>
        <w:ind w:firstLine="640" w:firstLineChars="200"/>
        <w:rPr>
          <w:rFonts w:hint="eastAsia" w:ascii="方正小标宋简体" w:hAnsi="仿宋" w:eastAsia="方正小标宋简体" w:cs="宋体"/>
          <w:color w:val="000000"/>
          <w:kern w:val="0"/>
          <w:sz w:val="44"/>
          <w:szCs w:val="44"/>
          <w:lang w:val="en-US" w:eastAsia="zh-CN"/>
        </w:rPr>
      </w:pPr>
      <w:r>
        <w:rPr>
          <w:rFonts w:hint="eastAsia" w:ascii="仿宋_GB2312" w:hAnsi="仿宋" w:eastAsia="仿宋_GB2312"/>
          <w:color w:val="000000"/>
          <w:sz w:val="32"/>
          <w:szCs w:val="32"/>
        </w:rPr>
        <w:t>要广泛宣传耕地地力保护补贴政策的意义和具体实施办法，加强耕地地力保护补贴政策解读，引导街道和村级干部准确</w:t>
      </w:r>
      <w:r>
        <w:rPr>
          <w:rFonts w:hint="eastAsia" w:ascii="仿宋_GB2312" w:hAnsi="仿宋" w:eastAsia="仿宋_GB2312"/>
          <w:color w:val="000000"/>
          <w:sz w:val="32"/>
          <w:szCs w:val="32"/>
          <w:lang w:val="en-US" w:eastAsia="zh-CN"/>
        </w:rPr>
        <w:t>掌握</w:t>
      </w:r>
      <w:r>
        <w:rPr>
          <w:rFonts w:hint="eastAsia" w:ascii="仿宋_GB2312" w:hAnsi="仿宋" w:eastAsia="仿宋_GB2312"/>
          <w:color w:val="000000"/>
          <w:sz w:val="32"/>
          <w:szCs w:val="32"/>
        </w:rPr>
        <w:t>耕地地力保护补贴的政策目标和管理要求，做到家喻户晓，人人皆知。同时，通过多种方式加强对广大种粮农户的政策宣传，充分调动农民种粮及自觉保护耕地提升地力的积极性和主动性，营造良好的社会氛围。</w:t>
      </w:r>
      <w:bookmarkStart w:id="0" w:name="_GoBack"/>
      <w:bookmarkEnd w:id="0"/>
    </w:p>
    <w:sectPr>
      <w:headerReference r:id="rId3" w:type="default"/>
      <w:footerReference r:id="rId4" w:type="default"/>
      <w:pgSz w:w="11906" w:h="16838"/>
      <w:pgMar w:top="2098" w:right="1474" w:bottom="1985" w:left="1588" w:header="680" w:footer="1134" w:gutter="0"/>
      <w:pgNumType w:fmt="decimal"/>
      <w:cols w:space="425" w:num="1"/>
      <w:docGrid w:type="line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rPr>
                              <w:rFonts w:ascii="Times New Roman" w:hAnsi="Times New Roman"/>
                              <w:sz w:val="28"/>
                              <w:szCs w:val="28"/>
                            </w:rPr>
                          </w:pPr>
                          <w:r>
                            <w:rPr>
                              <w:rFonts w:hint="eastAsia" w:ascii="Times New Roman" w:hAnsi="Times New Roman" w:eastAsiaTheme="majorEastAsia" w:cstheme="majorEastAsia"/>
                              <w:sz w:val="30"/>
                              <w:szCs w:val="30"/>
                            </w:rPr>
                            <w:t xml:space="preserve">— </w:t>
                          </w:r>
                          <w:r>
                            <w:rPr>
                              <w:rFonts w:hint="eastAsia" w:ascii="Times New Roman" w:hAnsi="Times New Roman" w:eastAsiaTheme="majorEastAsia" w:cstheme="majorEastAsia"/>
                              <w:sz w:val="30"/>
                              <w:szCs w:val="30"/>
                            </w:rPr>
                            <w:fldChar w:fldCharType="begin"/>
                          </w:r>
                          <w:r>
                            <w:rPr>
                              <w:rFonts w:hint="eastAsia" w:ascii="Times New Roman" w:hAnsi="Times New Roman" w:eastAsiaTheme="majorEastAsia" w:cstheme="majorEastAsia"/>
                              <w:sz w:val="30"/>
                              <w:szCs w:val="30"/>
                            </w:rPr>
                            <w:instrText xml:space="preserve"> PAGE  \* MERGEFORMAT </w:instrText>
                          </w:r>
                          <w:r>
                            <w:rPr>
                              <w:rFonts w:hint="eastAsia" w:ascii="Times New Roman" w:hAnsi="Times New Roman" w:eastAsiaTheme="majorEastAsia" w:cstheme="majorEastAsia"/>
                              <w:sz w:val="30"/>
                              <w:szCs w:val="30"/>
                            </w:rPr>
                            <w:fldChar w:fldCharType="separate"/>
                          </w:r>
                          <w:r>
                            <w:rPr>
                              <w:rFonts w:hint="eastAsia" w:ascii="Times New Roman" w:hAnsi="Times New Roman" w:eastAsiaTheme="majorEastAsia" w:cstheme="majorEastAsia"/>
                              <w:sz w:val="30"/>
                              <w:szCs w:val="30"/>
                            </w:rPr>
                            <w:t>18</w:t>
                          </w:r>
                          <w:r>
                            <w:rPr>
                              <w:rFonts w:hint="eastAsia" w:ascii="Times New Roman" w:hAnsi="Times New Roman" w:eastAsiaTheme="majorEastAsia" w:cstheme="majorEastAsia"/>
                              <w:sz w:val="30"/>
                              <w:szCs w:val="30"/>
                            </w:rPr>
                            <w:fldChar w:fldCharType="end"/>
                          </w:r>
                          <w:r>
                            <w:rPr>
                              <w:rFonts w:hint="eastAsia" w:ascii="Times New Roman" w:hAnsi="Times New Roman" w:eastAsiaTheme="majorEastAsia" w:cstheme="major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9264;mso-width-relative:page;mso-height-relative:page;" filled="f" stroked="f" coordsize="21600,21600" o:gfxdata="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81PY1AAAAAcBAAAPAAAAAAAAAAEAIAAA&#10;ACIAAABkcnMvZG93bnJldi54bWxQSwECFAAUAAAACACHTuJAmykmBtcBAACwAwAADgAAAAAAAAAB&#10;ACAAAAAjAQAAZHJzL2Uyb0RvYy54bWxQSwUGAAAAAAYABgBZAQAAbAUAAAAA&#10;">
              <v:fill on="f" focussize="0,0"/>
              <v:stroke on="f"/>
              <v:imagedata o:title=""/>
              <o:lock v:ext="edit" aspectratio="f"/>
              <v:textbox inset="0mm,0mm,0mm,0mm" style="mso-fit-shape-to-text:t;">
                <w:txbxContent>
                  <w:p>
                    <w:pPr>
                      <w:pStyle w:val="10"/>
                      <w:rPr>
                        <w:rFonts w:ascii="Times New Roman" w:hAnsi="Times New Roman"/>
                        <w:sz w:val="28"/>
                        <w:szCs w:val="28"/>
                      </w:rPr>
                    </w:pPr>
                    <w:r>
                      <w:rPr>
                        <w:rFonts w:hint="eastAsia" w:ascii="Times New Roman" w:hAnsi="Times New Roman" w:eastAsiaTheme="majorEastAsia" w:cstheme="majorEastAsia"/>
                        <w:sz w:val="30"/>
                        <w:szCs w:val="30"/>
                      </w:rPr>
                      <w:t xml:space="preserve">— </w:t>
                    </w:r>
                    <w:r>
                      <w:rPr>
                        <w:rFonts w:hint="eastAsia" w:ascii="Times New Roman" w:hAnsi="Times New Roman" w:eastAsiaTheme="majorEastAsia" w:cstheme="majorEastAsia"/>
                        <w:sz w:val="30"/>
                        <w:szCs w:val="30"/>
                      </w:rPr>
                      <w:fldChar w:fldCharType="begin"/>
                    </w:r>
                    <w:r>
                      <w:rPr>
                        <w:rFonts w:hint="eastAsia" w:ascii="Times New Roman" w:hAnsi="Times New Roman" w:eastAsiaTheme="majorEastAsia" w:cstheme="majorEastAsia"/>
                        <w:sz w:val="30"/>
                        <w:szCs w:val="30"/>
                      </w:rPr>
                      <w:instrText xml:space="preserve"> PAGE  \* MERGEFORMAT </w:instrText>
                    </w:r>
                    <w:r>
                      <w:rPr>
                        <w:rFonts w:hint="eastAsia" w:ascii="Times New Roman" w:hAnsi="Times New Roman" w:eastAsiaTheme="majorEastAsia" w:cstheme="majorEastAsia"/>
                        <w:sz w:val="30"/>
                        <w:szCs w:val="30"/>
                      </w:rPr>
                      <w:fldChar w:fldCharType="separate"/>
                    </w:r>
                    <w:r>
                      <w:rPr>
                        <w:rFonts w:hint="eastAsia" w:ascii="Times New Roman" w:hAnsi="Times New Roman" w:eastAsiaTheme="majorEastAsia" w:cstheme="majorEastAsia"/>
                        <w:sz w:val="30"/>
                        <w:szCs w:val="30"/>
                      </w:rPr>
                      <w:t>18</w:t>
                    </w:r>
                    <w:r>
                      <w:rPr>
                        <w:rFonts w:hint="eastAsia" w:ascii="Times New Roman" w:hAnsi="Times New Roman" w:eastAsiaTheme="majorEastAsia" w:cstheme="majorEastAsia"/>
                        <w:sz w:val="30"/>
                        <w:szCs w:val="30"/>
                      </w:rPr>
                      <w:fldChar w:fldCharType="end"/>
                    </w:r>
                    <w:r>
                      <w:rPr>
                        <w:rFonts w:hint="eastAsia" w:ascii="Times New Roman" w:hAnsi="Times New Roman" w:eastAsiaTheme="majorEastAsia" w:cstheme="majorEastAsia"/>
                        <w:sz w:val="30"/>
                        <w:szCs w:val="30"/>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TQ2NzM1ZTgyMmZkMjdkZDU2NmI1NjI2NjAxNGQifQ=="/>
  </w:docVars>
  <w:rsids>
    <w:rsidRoot w:val="009B25BE"/>
    <w:rsid w:val="0000376C"/>
    <w:rsid w:val="00005AFF"/>
    <w:rsid w:val="000139D8"/>
    <w:rsid w:val="00035FF6"/>
    <w:rsid w:val="00036727"/>
    <w:rsid w:val="00036FFD"/>
    <w:rsid w:val="0004493C"/>
    <w:rsid w:val="0005787E"/>
    <w:rsid w:val="00064E43"/>
    <w:rsid w:val="00065E21"/>
    <w:rsid w:val="000670A4"/>
    <w:rsid w:val="000A1E46"/>
    <w:rsid w:val="000A4CB9"/>
    <w:rsid w:val="000C287F"/>
    <w:rsid w:val="000C6D7B"/>
    <w:rsid w:val="000F2093"/>
    <w:rsid w:val="000F6B37"/>
    <w:rsid w:val="00104CC5"/>
    <w:rsid w:val="00106142"/>
    <w:rsid w:val="00111A5C"/>
    <w:rsid w:val="00127863"/>
    <w:rsid w:val="00130398"/>
    <w:rsid w:val="00134DE3"/>
    <w:rsid w:val="001421A2"/>
    <w:rsid w:val="00146FAE"/>
    <w:rsid w:val="00157EEF"/>
    <w:rsid w:val="0016687D"/>
    <w:rsid w:val="00173C7D"/>
    <w:rsid w:val="00184221"/>
    <w:rsid w:val="001A12D5"/>
    <w:rsid w:val="001C7A21"/>
    <w:rsid w:val="002039C2"/>
    <w:rsid w:val="00210B43"/>
    <w:rsid w:val="002139D4"/>
    <w:rsid w:val="00213C88"/>
    <w:rsid w:val="00214876"/>
    <w:rsid w:val="00267289"/>
    <w:rsid w:val="002812E1"/>
    <w:rsid w:val="00282E0F"/>
    <w:rsid w:val="00290C5E"/>
    <w:rsid w:val="002C1BC9"/>
    <w:rsid w:val="002C2D5C"/>
    <w:rsid w:val="002D0AE3"/>
    <w:rsid w:val="002D687B"/>
    <w:rsid w:val="002F2DFF"/>
    <w:rsid w:val="002F4A50"/>
    <w:rsid w:val="002F5E13"/>
    <w:rsid w:val="002F5EBA"/>
    <w:rsid w:val="00304CB7"/>
    <w:rsid w:val="0032099B"/>
    <w:rsid w:val="00336D31"/>
    <w:rsid w:val="00342BC0"/>
    <w:rsid w:val="00365C75"/>
    <w:rsid w:val="00384771"/>
    <w:rsid w:val="0039369E"/>
    <w:rsid w:val="003A1CDE"/>
    <w:rsid w:val="003B373A"/>
    <w:rsid w:val="003C1B4F"/>
    <w:rsid w:val="003C70F9"/>
    <w:rsid w:val="003D09C9"/>
    <w:rsid w:val="003E7A0C"/>
    <w:rsid w:val="0040132B"/>
    <w:rsid w:val="00403F5B"/>
    <w:rsid w:val="00417DD5"/>
    <w:rsid w:val="0042018F"/>
    <w:rsid w:val="00427372"/>
    <w:rsid w:val="00431967"/>
    <w:rsid w:val="004324FB"/>
    <w:rsid w:val="004351D6"/>
    <w:rsid w:val="004502E0"/>
    <w:rsid w:val="0045557C"/>
    <w:rsid w:val="00464E28"/>
    <w:rsid w:val="004A0A8D"/>
    <w:rsid w:val="004B393F"/>
    <w:rsid w:val="004C1DA4"/>
    <w:rsid w:val="004C49E5"/>
    <w:rsid w:val="004D4CED"/>
    <w:rsid w:val="004E1C19"/>
    <w:rsid w:val="004F03F6"/>
    <w:rsid w:val="00500C19"/>
    <w:rsid w:val="00510674"/>
    <w:rsid w:val="0051736F"/>
    <w:rsid w:val="0052157D"/>
    <w:rsid w:val="00523591"/>
    <w:rsid w:val="0054694C"/>
    <w:rsid w:val="0055375D"/>
    <w:rsid w:val="00567D65"/>
    <w:rsid w:val="00576630"/>
    <w:rsid w:val="0059149D"/>
    <w:rsid w:val="005922BC"/>
    <w:rsid w:val="005969C0"/>
    <w:rsid w:val="005B4449"/>
    <w:rsid w:val="005C2B8C"/>
    <w:rsid w:val="005C7DB2"/>
    <w:rsid w:val="005E325E"/>
    <w:rsid w:val="005E3D3B"/>
    <w:rsid w:val="005F466C"/>
    <w:rsid w:val="005F7CF9"/>
    <w:rsid w:val="00605989"/>
    <w:rsid w:val="00611B62"/>
    <w:rsid w:val="006231E1"/>
    <w:rsid w:val="0062528F"/>
    <w:rsid w:val="00630C1C"/>
    <w:rsid w:val="00633C66"/>
    <w:rsid w:val="0063554C"/>
    <w:rsid w:val="00644C78"/>
    <w:rsid w:val="0064561E"/>
    <w:rsid w:val="0067257F"/>
    <w:rsid w:val="00681698"/>
    <w:rsid w:val="00695D0C"/>
    <w:rsid w:val="006969C7"/>
    <w:rsid w:val="006A2F42"/>
    <w:rsid w:val="006C6580"/>
    <w:rsid w:val="00703730"/>
    <w:rsid w:val="00711649"/>
    <w:rsid w:val="00714C1D"/>
    <w:rsid w:val="00720906"/>
    <w:rsid w:val="007218B3"/>
    <w:rsid w:val="00723AFA"/>
    <w:rsid w:val="0073035A"/>
    <w:rsid w:val="00737945"/>
    <w:rsid w:val="00791276"/>
    <w:rsid w:val="00791691"/>
    <w:rsid w:val="00791FE2"/>
    <w:rsid w:val="00796A00"/>
    <w:rsid w:val="00797E85"/>
    <w:rsid w:val="007A33C8"/>
    <w:rsid w:val="007C4D17"/>
    <w:rsid w:val="007D03B3"/>
    <w:rsid w:val="007F0B61"/>
    <w:rsid w:val="008266BB"/>
    <w:rsid w:val="008274DD"/>
    <w:rsid w:val="00830CFE"/>
    <w:rsid w:val="00832ADF"/>
    <w:rsid w:val="00852786"/>
    <w:rsid w:val="00883320"/>
    <w:rsid w:val="008912CA"/>
    <w:rsid w:val="008B52E6"/>
    <w:rsid w:val="008B55BE"/>
    <w:rsid w:val="008B5C3E"/>
    <w:rsid w:val="008C7A27"/>
    <w:rsid w:val="0092731E"/>
    <w:rsid w:val="00930A49"/>
    <w:rsid w:val="009548DD"/>
    <w:rsid w:val="0096179A"/>
    <w:rsid w:val="00961852"/>
    <w:rsid w:val="009844EC"/>
    <w:rsid w:val="009902BB"/>
    <w:rsid w:val="00990B5C"/>
    <w:rsid w:val="009B25BE"/>
    <w:rsid w:val="009B4A44"/>
    <w:rsid w:val="009C785B"/>
    <w:rsid w:val="009D1CDE"/>
    <w:rsid w:val="009E3549"/>
    <w:rsid w:val="009E6FF9"/>
    <w:rsid w:val="009F5F1F"/>
    <w:rsid w:val="00A05525"/>
    <w:rsid w:val="00A059F5"/>
    <w:rsid w:val="00A11F52"/>
    <w:rsid w:val="00A14462"/>
    <w:rsid w:val="00A24520"/>
    <w:rsid w:val="00A25500"/>
    <w:rsid w:val="00A30BC7"/>
    <w:rsid w:val="00A40CA5"/>
    <w:rsid w:val="00A42524"/>
    <w:rsid w:val="00A521F0"/>
    <w:rsid w:val="00A65FCD"/>
    <w:rsid w:val="00A74498"/>
    <w:rsid w:val="00A74BA7"/>
    <w:rsid w:val="00A74E5C"/>
    <w:rsid w:val="00A76AE7"/>
    <w:rsid w:val="00A82BB3"/>
    <w:rsid w:val="00A83C35"/>
    <w:rsid w:val="00A93BD6"/>
    <w:rsid w:val="00AA6A89"/>
    <w:rsid w:val="00AB3FAC"/>
    <w:rsid w:val="00AB671C"/>
    <w:rsid w:val="00AD2DE4"/>
    <w:rsid w:val="00AD77F4"/>
    <w:rsid w:val="00AE365D"/>
    <w:rsid w:val="00B3170A"/>
    <w:rsid w:val="00B477C2"/>
    <w:rsid w:val="00B62B99"/>
    <w:rsid w:val="00B72E8B"/>
    <w:rsid w:val="00B75BF4"/>
    <w:rsid w:val="00B805B7"/>
    <w:rsid w:val="00B9582C"/>
    <w:rsid w:val="00BA126F"/>
    <w:rsid w:val="00BA6B30"/>
    <w:rsid w:val="00BB1C84"/>
    <w:rsid w:val="00BB53D3"/>
    <w:rsid w:val="00BD2488"/>
    <w:rsid w:val="00BD62C6"/>
    <w:rsid w:val="00BD636C"/>
    <w:rsid w:val="00BD789D"/>
    <w:rsid w:val="00BE54A9"/>
    <w:rsid w:val="00C116D9"/>
    <w:rsid w:val="00C2439C"/>
    <w:rsid w:val="00C35003"/>
    <w:rsid w:val="00C4593B"/>
    <w:rsid w:val="00C56D26"/>
    <w:rsid w:val="00C668F4"/>
    <w:rsid w:val="00C71596"/>
    <w:rsid w:val="00C719FE"/>
    <w:rsid w:val="00C71AC3"/>
    <w:rsid w:val="00C81172"/>
    <w:rsid w:val="00C949DD"/>
    <w:rsid w:val="00CA6D20"/>
    <w:rsid w:val="00CA7392"/>
    <w:rsid w:val="00CC36D7"/>
    <w:rsid w:val="00CD5E6C"/>
    <w:rsid w:val="00CD664E"/>
    <w:rsid w:val="00CF0D86"/>
    <w:rsid w:val="00D2129C"/>
    <w:rsid w:val="00D4114C"/>
    <w:rsid w:val="00D41895"/>
    <w:rsid w:val="00D43449"/>
    <w:rsid w:val="00D44ADE"/>
    <w:rsid w:val="00D4568C"/>
    <w:rsid w:val="00D526E4"/>
    <w:rsid w:val="00D63873"/>
    <w:rsid w:val="00D65274"/>
    <w:rsid w:val="00D66F73"/>
    <w:rsid w:val="00D70030"/>
    <w:rsid w:val="00D7450D"/>
    <w:rsid w:val="00D76A42"/>
    <w:rsid w:val="00DA6D82"/>
    <w:rsid w:val="00DB0688"/>
    <w:rsid w:val="00DB18EF"/>
    <w:rsid w:val="00DB1E99"/>
    <w:rsid w:val="00DB311F"/>
    <w:rsid w:val="00DB5655"/>
    <w:rsid w:val="00DD1102"/>
    <w:rsid w:val="00DD1A06"/>
    <w:rsid w:val="00DD3C92"/>
    <w:rsid w:val="00DE3CFE"/>
    <w:rsid w:val="00DF06A9"/>
    <w:rsid w:val="00E04480"/>
    <w:rsid w:val="00E212F3"/>
    <w:rsid w:val="00E410A0"/>
    <w:rsid w:val="00E47B93"/>
    <w:rsid w:val="00E5002E"/>
    <w:rsid w:val="00E55EC0"/>
    <w:rsid w:val="00E65C93"/>
    <w:rsid w:val="00E7021E"/>
    <w:rsid w:val="00E70FD8"/>
    <w:rsid w:val="00E717F5"/>
    <w:rsid w:val="00EB718F"/>
    <w:rsid w:val="00EC1BFF"/>
    <w:rsid w:val="00EF09B9"/>
    <w:rsid w:val="00F02892"/>
    <w:rsid w:val="00F05D14"/>
    <w:rsid w:val="00F13CA9"/>
    <w:rsid w:val="00F45226"/>
    <w:rsid w:val="00F5033E"/>
    <w:rsid w:val="00F5089C"/>
    <w:rsid w:val="00F56BD7"/>
    <w:rsid w:val="00F7334E"/>
    <w:rsid w:val="00F76BF8"/>
    <w:rsid w:val="00F93768"/>
    <w:rsid w:val="00F95D73"/>
    <w:rsid w:val="00FA7C14"/>
    <w:rsid w:val="00FB079F"/>
    <w:rsid w:val="00FB28EF"/>
    <w:rsid w:val="01A3073B"/>
    <w:rsid w:val="026D3223"/>
    <w:rsid w:val="02DA0289"/>
    <w:rsid w:val="03FB660C"/>
    <w:rsid w:val="0477551E"/>
    <w:rsid w:val="072A4052"/>
    <w:rsid w:val="0A555FE3"/>
    <w:rsid w:val="0D9D2C92"/>
    <w:rsid w:val="0DD51C7C"/>
    <w:rsid w:val="0EFF823F"/>
    <w:rsid w:val="0FCD5301"/>
    <w:rsid w:val="10ED3781"/>
    <w:rsid w:val="12A83E03"/>
    <w:rsid w:val="1323348A"/>
    <w:rsid w:val="136C4E31"/>
    <w:rsid w:val="13726462"/>
    <w:rsid w:val="13A46671"/>
    <w:rsid w:val="14F450DE"/>
    <w:rsid w:val="171C091C"/>
    <w:rsid w:val="179D7CAF"/>
    <w:rsid w:val="199B021E"/>
    <w:rsid w:val="1ADF05DE"/>
    <w:rsid w:val="1B0D6EF9"/>
    <w:rsid w:val="1B4A3CA9"/>
    <w:rsid w:val="1C4A7CD9"/>
    <w:rsid w:val="1C640D9B"/>
    <w:rsid w:val="1E2307E2"/>
    <w:rsid w:val="1E62755C"/>
    <w:rsid w:val="1E7A2AF8"/>
    <w:rsid w:val="1EB678A8"/>
    <w:rsid w:val="208F6602"/>
    <w:rsid w:val="21BF6A73"/>
    <w:rsid w:val="22513B6F"/>
    <w:rsid w:val="2399267E"/>
    <w:rsid w:val="23D04F68"/>
    <w:rsid w:val="253B114D"/>
    <w:rsid w:val="26CD578F"/>
    <w:rsid w:val="28F36285"/>
    <w:rsid w:val="29354434"/>
    <w:rsid w:val="2B10162A"/>
    <w:rsid w:val="2E724B09"/>
    <w:rsid w:val="31723B02"/>
    <w:rsid w:val="331A1D5C"/>
    <w:rsid w:val="33B0446E"/>
    <w:rsid w:val="34930017"/>
    <w:rsid w:val="375F2433"/>
    <w:rsid w:val="37CC7B85"/>
    <w:rsid w:val="38521F98"/>
    <w:rsid w:val="3B7B02C5"/>
    <w:rsid w:val="3CBF517C"/>
    <w:rsid w:val="3DC6320C"/>
    <w:rsid w:val="3FBF4738"/>
    <w:rsid w:val="403008DB"/>
    <w:rsid w:val="4061546E"/>
    <w:rsid w:val="40A11D0E"/>
    <w:rsid w:val="411B561D"/>
    <w:rsid w:val="41BF069E"/>
    <w:rsid w:val="42750D5C"/>
    <w:rsid w:val="43B9111D"/>
    <w:rsid w:val="4469669F"/>
    <w:rsid w:val="447B4624"/>
    <w:rsid w:val="44DE708D"/>
    <w:rsid w:val="45C75D73"/>
    <w:rsid w:val="47032AF7"/>
    <w:rsid w:val="47D429C9"/>
    <w:rsid w:val="48C22822"/>
    <w:rsid w:val="48E22EC4"/>
    <w:rsid w:val="4B3D0885"/>
    <w:rsid w:val="4DBC0187"/>
    <w:rsid w:val="4E067654"/>
    <w:rsid w:val="4EC72940"/>
    <w:rsid w:val="4FB44459"/>
    <w:rsid w:val="4FC76B69"/>
    <w:rsid w:val="4FD74E04"/>
    <w:rsid w:val="4FED5D52"/>
    <w:rsid w:val="51254295"/>
    <w:rsid w:val="52A44840"/>
    <w:rsid w:val="53D31D87"/>
    <w:rsid w:val="550C37A2"/>
    <w:rsid w:val="56297490"/>
    <w:rsid w:val="59351BA2"/>
    <w:rsid w:val="5A470DD9"/>
    <w:rsid w:val="5AE26D53"/>
    <w:rsid w:val="5BF925A6"/>
    <w:rsid w:val="5C4952DC"/>
    <w:rsid w:val="5DED7EE9"/>
    <w:rsid w:val="5E0E058B"/>
    <w:rsid w:val="5F012D85"/>
    <w:rsid w:val="5F121AE0"/>
    <w:rsid w:val="5F155949"/>
    <w:rsid w:val="619117A1"/>
    <w:rsid w:val="62261C1B"/>
    <w:rsid w:val="628E7949"/>
    <w:rsid w:val="63950E07"/>
    <w:rsid w:val="64EA5182"/>
    <w:rsid w:val="64EF03E1"/>
    <w:rsid w:val="661664D8"/>
    <w:rsid w:val="690C3919"/>
    <w:rsid w:val="69164798"/>
    <w:rsid w:val="6A0D5B9B"/>
    <w:rsid w:val="6BB42F66"/>
    <w:rsid w:val="6BF7099F"/>
    <w:rsid w:val="6C136D6D"/>
    <w:rsid w:val="6DF80F7B"/>
    <w:rsid w:val="6F827987"/>
    <w:rsid w:val="6F8306AD"/>
    <w:rsid w:val="701E3F32"/>
    <w:rsid w:val="70B37DC7"/>
    <w:rsid w:val="7218332F"/>
    <w:rsid w:val="723F487C"/>
    <w:rsid w:val="727D5888"/>
    <w:rsid w:val="72895FDA"/>
    <w:rsid w:val="72897D89"/>
    <w:rsid w:val="72BA43E6"/>
    <w:rsid w:val="73267CCD"/>
    <w:rsid w:val="77BC01FA"/>
    <w:rsid w:val="783B7D77"/>
    <w:rsid w:val="78C31B1A"/>
    <w:rsid w:val="790068CB"/>
    <w:rsid w:val="795779B9"/>
    <w:rsid w:val="7C89C1AF"/>
    <w:rsid w:val="7DEF9D04"/>
    <w:rsid w:val="7DF06F0E"/>
    <w:rsid w:val="7E5356EF"/>
    <w:rsid w:val="7E865AC4"/>
    <w:rsid w:val="7FB0104A"/>
    <w:rsid w:val="F37D03FD"/>
    <w:rsid w:val="FBFF57E0"/>
    <w:rsid w:val="FFFD8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Body Text"/>
    <w:basedOn w:val="1"/>
    <w:qFormat/>
    <w:uiPriority w:val="0"/>
    <w:pPr>
      <w:spacing w:after="120"/>
    </w:pPr>
    <w:rPr>
      <w:rFonts w:eastAsia="宋体" w:cs="Times New Roman"/>
      <w:sz w:val="21"/>
      <w:szCs w:val="24"/>
    </w:rPr>
  </w:style>
  <w:style w:type="paragraph" w:styleId="5">
    <w:name w:val="Body Text Indent"/>
    <w:basedOn w:val="1"/>
    <w:qFormat/>
    <w:uiPriority w:val="0"/>
    <w:pPr>
      <w:spacing w:line="500" w:lineRule="exact"/>
      <w:ind w:firstLine="640" w:firstLineChars="200"/>
    </w:pPr>
    <w:rPr>
      <w:kern w:val="0"/>
      <w:sz w:val="32"/>
      <w:szCs w:val="20"/>
    </w:rPr>
  </w:style>
  <w:style w:type="paragraph" w:styleId="6">
    <w:name w:val="Plain Text"/>
    <w:basedOn w:val="1"/>
    <w:qFormat/>
    <w:uiPriority w:val="0"/>
    <w:pPr>
      <w:ind w:firstLine="1080" w:firstLineChars="300"/>
    </w:pPr>
    <w:rPr>
      <w:rFonts w:ascii="宋体" w:hAnsi="Courier New" w:cs="Courier New"/>
      <w:szCs w:val="21"/>
    </w:rPr>
  </w:style>
  <w:style w:type="paragraph" w:styleId="7">
    <w:name w:val="Date"/>
    <w:basedOn w:val="1"/>
    <w:next w:val="1"/>
    <w:autoRedefine/>
    <w:qFormat/>
    <w:uiPriority w:val="0"/>
    <w:pPr>
      <w:ind w:left="100" w:leftChars="2500"/>
    </w:pPr>
  </w:style>
  <w:style w:type="paragraph" w:styleId="8">
    <w:name w:val="Body Text Indent 2"/>
    <w:basedOn w:val="1"/>
    <w:autoRedefine/>
    <w:qFormat/>
    <w:uiPriority w:val="0"/>
    <w:pPr>
      <w:ind w:firstLine="300" w:firstLineChars="100"/>
    </w:pPr>
    <w:rPr>
      <w:rFonts w:ascii="宋体" w:hAnsi="宋体"/>
      <w:sz w:val="30"/>
      <w:szCs w:val="20"/>
    </w:r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Hyperlink"/>
    <w:basedOn w:val="14"/>
    <w:autoRedefine/>
    <w:qFormat/>
    <w:uiPriority w:val="0"/>
    <w:rPr>
      <w:color w:val="0000FF" w:themeColor="hyperlink"/>
      <w:u w:val="single"/>
      <w14:textFill>
        <w14:solidFill>
          <w14:schemeClr w14:val="hlink"/>
        </w14:solidFill>
      </w14:textFill>
    </w:rPr>
  </w:style>
  <w:style w:type="paragraph" w:styleId="18">
    <w:name w:val="List Paragraph"/>
    <w:basedOn w:val="1"/>
    <w:autoRedefine/>
    <w:qFormat/>
    <w:uiPriority w:val="34"/>
    <w:pPr>
      <w:ind w:firstLine="420" w:firstLineChars="200"/>
    </w:pPr>
  </w:style>
  <w:style w:type="character" w:customStyle="1" w:styleId="19">
    <w:name w:val="标题 1 Char"/>
    <w:basedOn w:val="14"/>
    <w:link w:val="2"/>
    <w:autoRedefine/>
    <w:qFormat/>
    <w:uiPriority w:val="9"/>
    <w:rPr>
      <w:rFonts w:ascii="宋体" w:hAnsi="宋体"/>
      <w:b/>
      <w:bCs/>
      <w:kern w:val="36"/>
      <w:sz w:val="48"/>
      <w:szCs w:val="48"/>
    </w:rPr>
  </w:style>
  <w:style w:type="character" w:customStyle="1" w:styleId="20">
    <w:name w:val="NormalCharacter"/>
    <w:autoRedefine/>
    <w:qFormat/>
    <w:uiPriority w:val="0"/>
  </w:style>
  <w:style w:type="paragraph" w:customStyle="1" w:styleId="21">
    <w:name w:val="列表接续 21"/>
    <w:basedOn w:val="1"/>
    <w:autoRedefine/>
    <w:qFormat/>
    <w:uiPriority w:val="0"/>
    <w:pPr>
      <w:spacing w:after="120"/>
      <w:ind w:left="840" w:leftChars="400"/>
    </w:pPr>
    <w:rPr>
      <w:rFonts w:eastAsia="宋体" w:cs="Times New Roman"/>
      <w:sz w:val="21"/>
      <w:szCs w:val="24"/>
    </w:rPr>
  </w:style>
  <w:style w:type="paragraph" w:customStyle="1" w:styleId="22">
    <w:name w:val="_Style 2"/>
    <w:basedOn w:val="1"/>
    <w:autoRedefine/>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WWW.TYGHOST.COM</Company>
  <Pages>6</Pages>
  <Words>2534</Words>
  <Characters>2584</Characters>
  <Lines>17</Lines>
  <Paragraphs>4</Paragraphs>
  <TotalTime>0</TotalTime>
  <ScaleCrop>false</ScaleCrop>
  <LinksUpToDate>false</LinksUpToDate>
  <CharactersWithSpaces>2651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2019-05-15T17:22:00Z</dcterms:created>
  <dc:creator>User</dc:creator>
  <cp:lastModifiedBy>Kylin</cp:lastModifiedBy>
  <cp:lastPrinted>2024-03-05T02:23:00Z</cp:lastPrinted>
  <dcterms:modified xsi:type="dcterms:W3CDTF">2024-05-13T09:27:42Z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B8D1C81BB08441EDB3A988D4E2244ECF_13</vt:lpwstr>
  </property>
</Properties>
</file>