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宋体" w:eastAsia="方正小标宋简体" w:cs="黑体"/>
          <w:position w:val="-6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区爱卫办关于开展病媒生物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专项整治的通知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各街道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（</w:t>
      </w:r>
      <w:r>
        <w:rPr>
          <w:rFonts w:ascii="Times New Roman" w:hAnsi="Times New Roman" w:eastAsia="仿宋_GB2312" w:cs="Times New Roman"/>
          <w:sz w:val="32"/>
          <w:szCs w:val="40"/>
        </w:rPr>
        <w:t>园区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）</w:t>
      </w:r>
      <w:r>
        <w:rPr>
          <w:rFonts w:ascii="Times New Roman" w:hAnsi="Times New Roman" w:eastAsia="仿宋_GB2312" w:cs="Times New Roman"/>
          <w:sz w:val="32"/>
          <w:szCs w:val="40"/>
        </w:rPr>
        <w:t>、区爱卫会各成员单位：</w:t>
      </w:r>
    </w:p>
    <w:p>
      <w:pPr>
        <w:pStyle w:val="5"/>
        <w:widowControl w:val="0"/>
        <w:adjustRightIn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本月中旬，</w:t>
      </w:r>
      <w:r>
        <w:rPr>
          <w:rFonts w:ascii="Times New Roman" w:hAnsi="Times New Roman" w:eastAsia="仿宋_GB2312"/>
          <w:sz w:val="32"/>
          <w:szCs w:val="32"/>
        </w:rPr>
        <w:t>市爱卫办将</w:t>
      </w:r>
      <w:r>
        <w:rPr>
          <w:rFonts w:hint="eastAsia" w:ascii="Times New Roman" w:hAnsi="Times New Roman" w:eastAsia="仿宋_GB2312"/>
          <w:sz w:val="32"/>
          <w:szCs w:val="32"/>
        </w:rPr>
        <w:t>对我区</w:t>
      </w:r>
      <w:r>
        <w:rPr>
          <w:rFonts w:ascii="Times New Roman" w:hAnsi="Times New Roman" w:eastAsia="仿宋_GB2312"/>
          <w:sz w:val="32"/>
          <w:szCs w:val="32"/>
        </w:rPr>
        <w:t>开展年度病媒生物防制效果</w:t>
      </w:r>
      <w:r>
        <w:rPr>
          <w:rFonts w:hint="eastAsia" w:ascii="Times New Roman" w:hAnsi="Times New Roman" w:eastAsia="仿宋_GB2312"/>
          <w:sz w:val="32"/>
          <w:szCs w:val="32"/>
        </w:rPr>
        <w:t>暨</w:t>
      </w:r>
      <w:r>
        <w:rPr>
          <w:rFonts w:ascii="Times New Roman" w:hAnsi="Times New Roman" w:eastAsia="仿宋_GB2312"/>
          <w:sz w:val="32"/>
          <w:szCs w:val="32"/>
        </w:rPr>
        <w:t>密度控制水平评估，</w:t>
      </w:r>
      <w:r>
        <w:rPr>
          <w:rFonts w:hint="eastAsia" w:ascii="Times New Roman" w:hAnsi="Times New Roman" w:eastAsia="仿宋_GB2312"/>
          <w:sz w:val="32"/>
          <w:szCs w:val="32"/>
        </w:rPr>
        <w:t>评估</w:t>
      </w:r>
      <w:r>
        <w:rPr>
          <w:rFonts w:ascii="Times New Roman" w:hAnsi="Times New Roman" w:eastAsia="仿宋_GB2312"/>
          <w:sz w:val="32"/>
          <w:szCs w:val="32"/>
        </w:rPr>
        <w:t>结果</w:t>
      </w:r>
      <w:r>
        <w:rPr>
          <w:rFonts w:hint="eastAsia" w:ascii="Times New Roman" w:hAnsi="Times New Roman" w:eastAsia="仿宋_GB2312"/>
          <w:sz w:val="32"/>
          <w:szCs w:val="32"/>
        </w:rPr>
        <w:t>将作为</w:t>
      </w:r>
      <w:r>
        <w:rPr>
          <w:rFonts w:ascii="Times New Roman" w:hAnsi="Times New Roman" w:eastAsia="仿宋_GB2312"/>
          <w:sz w:val="32"/>
          <w:szCs w:val="32"/>
        </w:rPr>
        <w:t>国家卫生</w:t>
      </w:r>
      <w:r>
        <w:rPr>
          <w:rFonts w:hint="eastAsia" w:ascii="Times New Roman" w:hAnsi="Times New Roman" w:eastAsia="仿宋_GB2312"/>
          <w:sz w:val="32"/>
          <w:szCs w:val="32"/>
        </w:rPr>
        <w:t>区</w:t>
      </w:r>
      <w:r>
        <w:rPr>
          <w:rFonts w:ascii="Times New Roman" w:hAnsi="Times New Roman" w:eastAsia="仿宋_GB2312"/>
          <w:sz w:val="32"/>
          <w:szCs w:val="32"/>
        </w:rPr>
        <w:t>创建和复审支撑</w:t>
      </w:r>
      <w:r>
        <w:rPr>
          <w:rFonts w:hint="eastAsia" w:ascii="Times New Roman" w:hAnsi="Times New Roman" w:eastAsia="仿宋_GB2312"/>
          <w:sz w:val="32"/>
          <w:szCs w:val="32"/>
        </w:rPr>
        <w:t>依据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为全力做好</w:t>
      </w:r>
      <w:r>
        <w:rPr>
          <w:rFonts w:ascii="Times New Roman" w:hAnsi="Times New Roman" w:eastAsia="仿宋_GB2312"/>
          <w:sz w:val="32"/>
          <w:szCs w:val="32"/>
        </w:rPr>
        <w:t>我</w:t>
      </w:r>
      <w:r>
        <w:rPr>
          <w:rFonts w:hint="eastAsia" w:ascii="Times New Roman" w:hAnsi="Times New Roman" w:eastAsia="仿宋_GB2312"/>
          <w:sz w:val="32"/>
          <w:szCs w:val="32"/>
        </w:rPr>
        <w:t>区</w:t>
      </w:r>
      <w:r>
        <w:rPr>
          <w:rFonts w:ascii="Times New Roman" w:hAnsi="Times New Roman" w:eastAsia="仿宋_GB2312"/>
          <w:sz w:val="32"/>
          <w:szCs w:val="32"/>
        </w:rPr>
        <w:t>病媒生物防制工作，保护人民群众的身体健康，营造清洁、宜居的生活环境，助力常态化疫情防控工作，</w:t>
      </w:r>
      <w:r>
        <w:rPr>
          <w:rFonts w:hint="eastAsia" w:ascii="Times New Roman" w:hAnsi="Times New Roman" w:eastAsia="仿宋_GB2312"/>
          <w:sz w:val="32"/>
          <w:szCs w:val="32"/>
        </w:rPr>
        <w:t>为我区创卫复审顺利通过打下坚实基础，区</w:t>
      </w:r>
      <w:r>
        <w:rPr>
          <w:rFonts w:ascii="Times New Roman" w:hAnsi="Times New Roman" w:eastAsia="仿宋_GB2312"/>
          <w:sz w:val="32"/>
          <w:szCs w:val="32"/>
        </w:rPr>
        <w:t>爱卫办决定</w:t>
      </w:r>
      <w:r>
        <w:rPr>
          <w:rFonts w:hint="eastAsia" w:ascii="Times New Roman" w:hAnsi="Times New Roman" w:eastAsia="仿宋_GB2312"/>
          <w:sz w:val="32"/>
          <w:szCs w:val="32"/>
        </w:rPr>
        <w:t>，即日起针对</w:t>
      </w:r>
      <w:r>
        <w:rPr>
          <w:rFonts w:ascii="Times New Roman" w:hAnsi="Times New Roman" w:eastAsia="仿宋_GB2312"/>
          <w:sz w:val="32"/>
          <w:szCs w:val="32"/>
        </w:rPr>
        <w:t>蚊蝇鼠蟑等病媒生物的繁殖高峰期和活动频繁</w:t>
      </w:r>
      <w:r>
        <w:rPr>
          <w:rFonts w:hint="eastAsia" w:ascii="Times New Roman" w:hAnsi="Times New Roman" w:eastAsia="仿宋_GB2312"/>
          <w:sz w:val="32"/>
          <w:szCs w:val="32"/>
        </w:rPr>
        <w:t>形势，全力</w:t>
      </w:r>
      <w:r>
        <w:rPr>
          <w:rFonts w:ascii="Times New Roman" w:hAnsi="Times New Roman" w:eastAsia="仿宋_GB2312"/>
          <w:sz w:val="32"/>
          <w:szCs w:val="32"/>
        </w:rPr>
        <w:t>开展全</w:t>
      </w:r>
      <w:r>
        <w:rPr>
          <w:rFonts w:hint="eastAsia" w:ascii="Times New Roman" w:hAnsi="Times New Roman" w:eastAsia="仿宋_GB2312"/>
          <w:sz w:val="32"/>
          <w:szCs w:val="32"/>
        </w:rPr>
        <w:t>区</w:t>
      </w:r>
      <w:r>
        <w:rPr>
          <w:rFonts w:ascii="Times New Roman" w:hAnsi="Times New Roman" w:eastAsia="仿宋_GB2312"/>
          <w:sz w:val="32"/>
          <w:szCs w:val="32"/>
        </w:rPr>
        <w:t>重点场所病媒生物专项整治工作，现将有关事项通知如下：</w:t>
      </w:r>
    </w:p>
    <w:p>
      <w:pPr>
        <w:pStyle w:val="5"/>
        <w:widowControl w:val="0"/>
        <w:adjustRightIn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一、时间</w:t>
      </w:r>
    </w:p>
    <w:p>
      <w:pPr>
        <w:pStyle w:val="5"/>
        <w:widowControl w:val="0"/>
        <w:adjustRightIn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2022年7月至9月底。</w:t>
      </w:r>
    </w:p>
    <w:p>
      <w:pPr>
        <w:pStyle w:val="5"/>
        <w:widowControl w:val="0"/>
        <w:adjustRightIn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二、专项整治范围</w:t>
      </w:r>
    </w:p>
    <w:p>
      <w:pPr>
        <w:pStyle w:val="5"/>
        <w:widowControl w:val="0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全区</w:t>
      </w:r>
      <w:r>
        <w:rPr>
          <w:rFonts w:ascii="Times New Roman" w:hAnsi="Times New Roman" w:eastAsia="仿宋_GB2312" w:cs="Times New Roman"/>
          <w:sz w:val="32"/>
          <w:szCs w:val="32"/>
        </w:rPr>
        <w:t>城乡结合部、农集贸市场及其周边、生活垃圾暂存（转运）场所、餐饮场所、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商场超市、宾馆饭店、医院、学校、建筑拆迁工地、</w:t>
      </w:r>
      <w:r>
        <w:rPr>
          <w:rFonts w:ascii="Times New Roman" w:hAnsi="Times New Roman" w:eastAsia="仿宋_GB2312" w:cs="Times New Roman"/>
          <w:sz w:val="32"/>
          <w:szCs w:val="32"/>
        </w:rPr>
        <w:t>居民小区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、机关企事业单位、机场车站、公园绿地、湖泊水体等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5"/>
        <w:widowControl w:val="0"/>
        <w:adjustRightIn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三、标准依据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依据《病媒生物综合管理技术规范 城镇》（GB/T 27775-2011）《病媒生物密度控制水平 鼠类》（GB/T 27770-2011）《病媒生物密度控制水平 蚊虫》（GB/T 27771-2011）《病媒生物密度控制水平 蝇类》（GB/T 27772-2011）《病媒生物密度控制水平 蜚蠊》（GB/T 27773-2011）等标准开展相关工作。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四、工作内容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（一）居民小区</w:t>
      </w:r>
      <w:r>
        <w:rPr>
          <w:rFonts w:ascii="Times New Roman" w:hAnsi="Times New Roman" w:eastAsia="仿宋_GB2312"/>
          <w:kern w:val="0"/>
          <w:sz w:val="32"/>
          <w:szCs w:val="32"/>
        </w:rPr>
        <w:t>。各居民小区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>尤其是老旧小区、城中村要落实街道社区环境卫生保洁制度，清理楼道、院内垃圾堆物，保持公共环境卫生清洁，清理积水，清除宠物粪便，消除卫生死角。规范设置毒饵站，捕蝇笼等防制设施。创新形式，广泛开展病媒生物防制知识宣</w:t>
      </w:r>
      <w:r>
        <w:rPr>
          <w:rFonts w:ascii="Times New Roman" w:hAnsi="Times New Roman" w:eastAsia="仿宋_GB2312"/>
          <w:sz w:val="32"/>
          <w:szCs w:val="32"/>
        </w:rPr>
        <w:t>传。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（二）农集贸市场及其周边。</w:t>
      </w:r>
      <w:r>
        <w:rPr>
          <w:rFonts w:ascii="Times New Roman" w:hAnsi="Times New Roman" w:eastAsia="仿宋_GB2312"/>
          <w:kern w:val="0"/>
          <w:sz w:val="32"/>
          <w:szCs w:val="32"/>
        </w:rPr>
        <w:t>发动商户对所有摊位进行全面彻底环境卫生清理，对市场内公厕、水池、垃圾桶等基础设施进行清扫保洁，确保摊位下水道畅通，特别是肉类、水产品加工和售卖区要加强清扫保洁。市场管理者要完善市场内外病媒生物防制设施，加强外环境整治，规范垃圾转运，合理增加消杀频次。</w:t>
      </w:r>
    </w:p>
    <w:p>
      <w:pPr>
        <w:pStyle w:val="5"/>
        <w:widowControl w:val="0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（三）生活垃圾转运场所。</w:t>
      </w:r>
      <w:r>
        <w:rPr>
          <w:rFonts w:ascii="Times New Roman" w:hAnsi="Times New Roman" w:eastAsia="仿宋_GB2312" w:cs="Times New Roman"/>
          <w:sz w:val="32"/>
          <w:szCs w:val="32"/>
        </w:rPr>
        <w:t>垃圾转运站内外规范设置毒饵站，加强地面冲洗保洁、除臭和污水清理，防止孳生蚊蝇，适当增加药物喷洒频次，控制病媒生物密度。垃圾暂存点要加强保洁清理，做好苫盖，合理增加药物消杀频次。</w:t>
      </w:r>
    </w:p>
    <w:p>
      <w:pPr>
        <w:pStyle w:val="5"/>
        <w:widowControl w:val="0"/>
        <w:tabs>
          <w:tab w:val="left" w:pos="1134"/>
        </w:tabs>
        <w:adjustRightIn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（四）餐饮场所</w:t>
      </w:r>
      <w:r>
        <w:rPr>
          <w:rFonts w:ascii="Times New Roman" w:hAnsi="Times New Roman" w:eastAsia="仿宋_GB2312" w:cs="Times New Roman"/>
          <w:sz w:val="32"/>
          <w:szCs w:val="32"/>
        </w:rPr>
        <w:t>。加强餐饮场所尤其是小餐饮卫生管理，完善防制设施，清理卫生死角。为保证防制效果，鼓励场所经营者聘请病媒生物防制专业机构上门开展防制工作。</w:t>
      </w:r>
    </w:p>
    <w:p>
      <w:pPr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（五）低洼易涝地区。</w:t>
      </w:r>
      <w:r>
        <w:rPr>
          <w:rFonts w:hint="eastAsia" w:ascii="Times New Roman" w:hAnsi="Times New Roman" w:eastAsia="仿宋_GB2312"/>
          <w:sz w:val="32"/>
          <w:szCs w:val="32"/>
        </w:rPr>
        <w:t>各街道园区、</w:t>
      </w:r>
      <w:r>
        <w:rPr>
          <w:rFonts w:ascii="Times New Roman" w:hAnsi="Times New Roman" w:eastAsia="仿宋_GB2312"/>
          <w:sz w:val="32"/>
          <w:szCs w:val="32"/>
        </w:rPr>
        <w:t>各单位要在低洼易涝地区积水退去后及时清理垃圾杂物、宠物粪便、淤泥沉积物，有效清除蚊蝇孳生地。对于暂时无法清除的各类积水，可每周1次投放灭蚊幼剂杀灭蚊幼虫。一旦监测发现病媒生物密度较高时，应采取化学防制手段，迅速降低密度，以防止传染病的发生。</w:t>
      </w:r>
    </w:p>
    <w:p>
      <w:pPr>
        <w:adjustRightInd w:val="0"/>
        <w:spacing w:line="560" w:lineRule="exact"/>
        <w:ind w:firstLine="640" w:firstLineChars="200"/>
        <w:jc w:val="left"/>
        <w:rPr>
          <w:rFonts w:eastAsia="仿宋_GB2312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</w:rPr>
        <w:t>六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宾馆饭店、机关企事业单位、学校及其他类型场所</w:t>
      </w:r>
      <w:r>
        <w:rPr>
          <w:rFonts w:ascii="Times New Roman" w:hAnsi="Times New Roman" w:eastAsia="楷体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要检查完善室内防蝇防鼠设施，及时清理厨余垃圾和生活垃圾，避免蝇类孳生，填堵与外界相通的空洞缝隙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院落中规范设置毒饵站，设置点位规范合理，有警示标识，及时清除院内堆放的杂物和积水容器，防止鼠类栖息和蚊虫孳生。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四、工作要求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各单位</w:t>
      </w:r>
      <w:r>
        <w:rPr>
          <w:rFonts w:ascii="Times New Roman" w:hAnsi="Times New Roman" w:eastAsia="仿宋_GB2312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部门要</w:t>
      </w:r>
      <w:r>
        <w:rPr>
          <w:rFonts w:ascii="Times New Roman" w:hAnsi="Times New Roman" w:eastAsia="仿宋_GB2312"/>
          <w:kern w:val="0"/>
          <w:sz w:val="32"/>
          <w:szCs w:val="32"/>
        </w:rPr>
        <w:t>遵循以孳生地治理为主，以药物防制为辅的综合性防制策略，</w:t>
      </w:r>
      <w:r>
        <w:rPr>
          <w:rFonts w:ascii="Times New Roman" w:hAnsi="Times New Roman" w:eastAsia="仿宋_GB2312"/>
          <w:sz w:val="32"/>
          <w:szCs w:val="32"/>
        </w:rPr>
        <w:t>同时要遵循科学合理用药和安全环保施药的原则</w:t>
      </w:r>
      <w:r>
        <w:rPr>
          <w:rFonts w:hint="eastAsia" w:ascii="Times New Roman" w:hAnsi="Times New Roman" w:eastAsia="仿宋_GB2312"/>
          <w:sz w:val="32"/>
          <w:szCs w:val="32"/>
        </w:rPr>
        <w:t>，抓好</w:t>
      </w:r>
      <w:r>
        <w:rPr>
          <w:rFonts w:ascii="Times New Roman" w:hAnsi="Times New Roman" w:eastAsia="仿宋_GB2312"/>
          <w:sz w:val="32"/>
          <w:szCs w:val="32"/>
        </w:rPr>
        <w:t>落实。</w:t>
      </w:r>
      <w:r>
        <w:rPr>
          <w:rFonts w:hint="eastAsia" w:ascii="Times New Roman" w:hAnsi="Times New Roman" w:eastAsia="仿宋_GB2312"/>
          <w:sz w:val="32"/>
          <w:szCs w:val="32"/>
        </w:rPr>
        <w:t>各街道园区</w:t>
      </w:r>
      <w:r>
        <w:rPr>
          <w:rFonts w:ascii="Times New Roman" w:hAnsi="Times New Roman" w:eastAsia="仿宋_GB2312"/>
          <w:sz w:val="32"/>
          <w:szCs w:val="32"/>
        </w:rPr>
        <w:t>爱卫会要加强组织协调和培训指导，适时开展辖区内检查指导。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</w:t>
      </w:r>
      <w:r>
        <w:rPr>
          <w:rFonts w:ascii="Times New Roman" w:hAnsi="Times New Roman" w:eastAsia="仿宋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各单位各部门要总结前期国家卫生区创建工作经验，成立专班，立即行动，按照《病媒生物专项整治范围及数量》，落实自查整改，区爱卫办及创卫办病媒生物防治专业组将开展检查督导。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3.各单位要指定专人负责此项工作的协调联络和技术指导，并于7月7日前将</w:t>
      </w:r>
      <w:r>
        <w:rPr>
          <w:rFonts w:ascii="Times New Roman" w:hAnsi="Times New Roman" w:eastAsia="仿宋_GB2312"/>
          <w:sz w:val="32"/>
          <w:szCs w:val="32"/>
        </w:rPr>
        <w:t>病媒生物防制</w:t>
      </w:r>
      <w:r>
        <w:rPr>
          <w:rFonts w:hint="eastAsia" w:ascii="Times New Roman" w:hAnsi="Times New Roman" w:eastAsia="仿宋_GB2312"/>
          <w:sz w:val="32"/>
          <w:szCs w:val="32"/>
        </w:rPr>
        <w:t>联络人情况反馈区爱卫办，近期将组织相关培训工作。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附件1：病媒生物专项整治范围及数量表</w:t>
      </w:r>
    </w:p>
    <w:p>
      <w:pPr>
        <w:pStyle w:val="2"/>
        <w:adjustRightInd w:val="0"/>
        <w:spacing w:after="0"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附件2：宣传要点</w:t>
      </w:r>
    </w:p>
    <w:p>
      <w:pPr>
        <w:pStyle w:val="2"/>
        <w:adjustRightInd w:val="0"/>
        <w:spacing w:after="0"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附件3：各单位协调联络员情况表</w:t>
      </w:r>
    </w:p>
    <w:p>
      <w:pPr>
        <w:tabs>
          <w:tab w:val="left" w:pos="5760"/>
        </w:tabs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5760"/>
        </w:tabs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联系人： </w:t>
      </w:r>
      <w:r>
        <w:rPr>
          <w:rFonts w:hint="eastAsia" w:ascii="Times New Roman" w:hAnsi="Times New Roman" w:eastAsia="仿宋_GB2312"/>
          <w:sz w:val="32"/>
          <w:szCs w:val="32"/>
        </w:rPr>
        <w:t xml:space="preserve">马宁宁              </w:t>
      </w: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hint="eastAsia" w:ascii="Times New Roman" w:hAnsi="Times New Roman" w:eastAsia="仿宋_GB2312"/>
          <w:sz w:val="32"/>
          <w:szCs w:val="32"/>
        </w:rPr>
        <w:t>84458336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tabs>
          <w:tab w:val="left" w:pos="5760"/>
        </w:tabs>
        <w:spacing w:line="560" w:lineRule="exact"/>
        <w:ind w:firstLine="4313" w:firstLineChars="1348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tabs>
          <w:tab w:val="left" w:pos="5760"/>
        </w:tabs>
        <w:spacing w:line="560" w:lineRule="exact"/>
        <w:ind w:firstLine="4313" w:firstLineChars="1348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天津市东丽区爱国卫生运动委员会办公室</w:t>
      </w:r>
    </w:p>
    <w:p>
      <w:pPr>
        <w:spacing w:line="560" w:lineRule="exact"/>
        <w:ind w:firstLine="5280" w:firstLineChars="165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2022年7月5日</w:t>
      </w:r>
    </w:p>
    <w:p>
      <w:pPr>
        <w:tabs>
          <w:tab w:val="left" w:pos="5760"/>
        </w:tabs>
        <w:spacing w:line="560" w:lineRule="exact"/>
        <w:ind w:firstLine="4313" w:firstLineChars="1348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附件1             国家卫生区病媒生物防制效果评估抽样范围及数量</w:t>
      </w:r>
    </w:p>
    <w:tbl>
      <w:tblPr>
        <w:tblStyle w:val="8"/>
        <w:tblW w:w="15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744"/>
        <w:gridCol w:w="674"/>
        <w:gridCol w:w="992"/>
        <w:gridCol w:w="744"/>
        <w:gridCol w:w="957"/>
        <w:gridCol w:w="1134"/>
        <w:gridCol w:w="992"/>
        <w:gridCol w:w="744"/>
        <w:gridCol w:w="957"/>
        <w:gridCol w:w="744"/>
        <w:gridCol w:w="674"/>
        <w:gridCol w:w="744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检查点位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蚊虫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蝇</w:t>
            </w:r>
          </w:p>
        </w:tc>
        <w:tc>
          <w:tcPr>
            <w:tcW w:w="343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鼠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蟑螂</w:t>
            </w:r>
          </w:p>
        </w:tc>
        <w:tc>
          <w:tcPr>
            <w:tcW w:w="280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单位数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延长米数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室内单位数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房间数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室外单位数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容器数或延长米数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室内单位数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房间数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外环境单位数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延长米数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单位数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房间数</w:t>
            </w:r>
          </w:p>
        </w:tc>
        <w:tc>
          <w:tcPr>
            <w:tcW w:w="2800" w:type="dxa"/>
            <w:vMerge w:val="continue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居委会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800" w:type="dxa"/>
          </w:tcPr>
          <w:p>
            <w:pPr>
              <w:jc w:val="center"/>
            </w:pPr>
            <w:r>
              <w:rPr>
                <w:rFonts w:hint="eastAsia"/>
              </w:rPr>
              <w:t>街道(园区)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单位（有独立院落）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</w:tcPr>
          <w:p>
            <w:pPr>
              <w:jc w:val="center"/>
            </w:pPr>
            <w:r>
              <w:rPr>
                <w:rFonts w:hint="eastAsia"/>
              </w:rPr>
              <w:t>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建筑工地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住建委、街道(园区)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道路（雨水井口）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城管委、街道(园区)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大中型水体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街道(园区)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特殊场所诱蚊/人次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</w:tcPr>
          <w:p>
            <w:pPr>
              <w:jc w:val="center"/>
            </w:pPr>
            <w:r>
              <w:rPr>
                <w:rFonts w:hint="eastAsia"/>
              </w:rPr>
              <w:t>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餐饮店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市场监管局、街道(园区)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商场、超市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市场监管局、商务局、街道(园区)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机关、企业单位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2800" w:type="dxa"/>
          </w:tcPr>
          <w:p>
            <w:pPr>
              <w:jc w:val="center"/>
            </w:pPr>
            <w:r>
              <w:rPr>
                <w:rFonts w:hint="eastAsia"/>
              </w:rPr>
              <w:t>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饭店宾馆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文旅体局、街道(园区)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农贸市场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商务局、市场监管局、街道(园区)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医院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800" w:type="dxa"/>
          </w:tcPr>
          <w:p>
            <w:pPr>
              <w:jc w:val="center"/>
            </w:pPr>
            <w:r>
              <w:rPr>
                <w:rFonts w:hint="eastAsia"/>
              </w:rPr>
              <w:t>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机场或车站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1~2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1~2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交通运输委、街道(园区)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室外垃圾容器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城管委、街道(园区)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垃圾中转站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城管委、街道(园区)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外环境散在孳生地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</w:tcPr>
          <w:p>
            <w:pPr>
              <w:jc w:val="center"/>
            </w:pPr>
            <w:r>
              <w:rPr>
                <w:rFonts w:hint="eastAsia"/>
              </w:rPr>
              <w:t>城管委、街道(园区)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公共厕所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</w:tcPr>
          <w:p>
            <w:pPr>
              <w:jc w:val="center"/>
            </w:pPr>
            <w:r>
              <w:rPr>
                <w:rFonts w:hint="eastAsia"/>
              </w:rPr>
              <w:t>城管委、农委、街道(园区)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2800" w:type="dxa"/>
          </w:tcPr>
          <w:p>
            <w:pPr>
              <w:jc w:val="center"/>
            </w:pPr>
            <w:r>
              <w:rPr>
                <w:rFonts w:hint="eastAsia"/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公共绿地、公园或道路两侧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城管委、街道(园区)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单位或居民区院内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</w:tcPr>
          <w:p>
            <w:pPr>
              <w:jc w:val="center"/>
            </w:pPr>
            <w:r>
              <w:rPr>
                <w:rFonts w:hint="eastAsia"/>
              </w:rPr>
              <w:t>相关单位、街道(园区)</w:t>
            </w:r>
          </w:p>
        </w:tc>
      </w:tr>
    </w:tbl>
    <w:p>
      <w:p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760"/>
        </w:tabs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5760"/>
        </w:tabs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tabs>
          <w:tab w:val="left" w:pos="5760"/>
        </w:tabs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开展病媒生物</w:t>
      </w:r>
      <w:r>
        <w:rPr>
          <w:rFonts w:ascii="方正小标宋简体" w:hAnsi="方正小标宋简体" w:eastAsia="方正小标宋简体"/>
          <w:sz w:val="44"/>
          <w:szCs w:val="44"/>
        </w:rPr>
        <w:t>防制，</w:t>
      </w:r>
      <w:r>
        <w:rPr>
          <w:rFonts w:hint="eastAsia" w:ascii="方正小标宋简体" w:hAnsi="方正小标宋简体" w:eastAsia="方正小标宋简体"/>
          <w:sz w:val="44"/>
          <w:szCs w:val="44"/>
        </w:rPr>
        <w:t>做好“三管三防三除”</w:t>
      </w:r>
    </w:p>
    <w:p>
      <w:pPr>
        <w:tabs>
          <w:tab w:val="left" w:pos="5760"/>
        </w:tabs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>
      <w:pPr>
        <w:tabs>
          <w:tab w:val="left" w:pos="5760"/>
        </w:tabs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“三管”：避免病媒生物孳生栖息</w:t>
      </w:r>
    </w:p>
    <w:p>
      <w:pPr>
        <w:tabs>
          <w:tab w:val="left" w:pos="5760"/>
        </w:tabs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管好积水——没有积水就无蚊虫孳生。清除各种积水和积水容器，要做到倒置瓶瓶罐罐或给容器加盖；水培植物勤换水，花盆托盘不积水。院子要清理各类杂物，平整洼地。</w:t>
      </w:r>
    </w:p>
    <w:p>
      <w:pPr>
        <w:tabs>
          <w:tab w:val="left" w:pos="5760"/>
        </w:tabs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管好垃圾——不给蟑螂、老鼠提供食物，不给苍蝇提供孳生地。生活垃圾分类投放，垃圾容器有盖，做到日产日清；保持地面、桌面卫生整洁，不留食物残屑；食品储存要加盖网罩或密封存放。</w:t>
      </w:r>
    </w:p>
    <w:p>
      <w:pPr>
        <w:tabs>
          <w:tab w:val="left" w:pos="5760"/>
        </w:tabs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管好外来物品——不把虫害带回家。外出采购物品、取快递、购买绿植等带回家前，在屋外检查是否夹带蟑螂等，如有发现应予以清除。</w:t>
      </w:r>
    </w:p>
    <w:p>
      <w:pPr>
        <w:tabs>
          <w:tab w:val="left" w:pos="5760"/>
        </w:tabs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“三防”：不让病媒生物侵扰生活</w:t>
      </w:r>
    </w:p>
    <w:p>
      <w:pPr>
        <w:tabs>
          <w:tab w:val="left" w:pos="5760"/>
        </w:tabs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防入室。居家安装纱门、纱窗阻止蚊蝇进入室内；封闭建筑物与外界相通的所有孔洞缝（废弃孔洞、预留孔洞、各类管洞等），缝隙不大于6mm，阻止老鼠进入室内。</w:t>
      </w:r>
    </w:p>
    <w:p>
      <w:pPr>
        <w:tabs>
          <w:tab w:val="left" w:pos="5760"/>
        </w:tabs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防蚊虫叮咬。外出活动穿着浅色长袖衣裤，或涂抹有农药登记证的驱蚊剂或驱蚊花露水；室内少量蚊虫，用电蚊拍拍打；使用蚊香驱蚊时，可将蚊香放于上风向；</w:t>
      </w:r>
      <w:r>
        <w:rPr>
          <w:rFonts w:ascii="仿宋_GB2312" w:hAnsi="黑体" w:eastAsia="仿宋_GB2312"/>
          <w:sz w:val="32"/>
          <w:szCs w:val="32"/>
        </w:rPr>
        <w:t>电蚊香</w:t>
      </w:r>
      <w:r>
        <w:rPr>
          <w:rFonts w:hint="eastAsia" w:ascii="仿宋_GB2312" w:hAnsi="黑体" w:eastAsia="仿宋_GB2312"/>
          <w:sz w:val="32"/>
          <w:szCs w:val="32"/>
        </w:rPr>
        <w:t>注意</w:t>
      </w:r>
      <w:r>
        <w:rPr>
          <w:rFonts w:ascii="仿宋_GB2312" w:hAnsi="黑体" w:eastAsia="仿宋_GB2312"/>
          <w:sz w:val="32"/>
          <w:szCs w:val="32"/>
        </w:rPr>
        <w:t>及时断电。</w:t>
      </w:r>
    </w:p>
    <w:p>
      <w:pPr>
        <w:tabs>
          <w:tab w:val="left" w:pos="5760"/>
        </w:tabs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防蟑螂栖息。储存好食物，关紧水龙头，让蟑螂断水断粮；堵洞抹缝，堵嵌好墙体、灶台、橱柜缝隙和门窗空隙；定期翻箱倒柜，清除卵鞘。</w:t>
      </w:r>
    </w:p>
    <w:p>
      <w:pPr>
        <w:tabs>
          <w:tab w:val="left" w:pos="5760"/>
        </w:tabs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“三除”：科学规范开展杀灭</w:t>
      </w:r>
    </w:p>
    <w:p>
      <w:pPr>
        <w:tabs>
          <w:tab w:val="left" w:pos="5760"/>
        </w:tabs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诱捕除老鼠。家庭内灭鼠推荐使用粘鼠板，应避免将粘鼠板放置在潮湿、多灰和阳光直射的环境。室内不用毒饵灭鼠，室外</w:t>
      </w:r>
      <w:r>
        <w:rPr>
          <w:rFonts w:ascii="仿宋_GB2312" w:hAnsi="黑体" w:eastAsia="仿宋_GB2312"/>
          <w:sz w:val="32"/>
          <w:szCs w:val="32"/>
        </w:rPr>
        <w:t>使用时</w:t>
      </w:r>
      <w:r>
        <w:rPr>
          <w:rFonts w:hint="eastAsia" w:ascii="仿宋_GB2312" w:hAnsi="黑体" w:eastAsia="仿宋_GB2312"/>
          <w:sz w:val="32"/>
          <w:szCs w:val="32"/>
        </w:rPr>
        <w:t>需将毒饵放置于毒饵站内沿墙投放在角落或物体旁隐蔽处。处理</w:t>
      </w:r>
      <w:r>
        <w:rPr>
          <w:rFonts w:ascii="仿宋_GB2312" w:hAnsi="黑体" w:eastAsia="仿宋_GB2312"/>
          <w:sz w:val="32"/>
          <w:szCs w:val="32"/>
        </w:rPr>
        <w:t>鼠尸戴口罩手套，</w:t>
      </w:r>
      <w:r>
        <w:rPr>
          <w:rFonts w:hint="eastAsia" w:ascii="仿宋_GB2312" w:hAnsi="黑体" w:eastAsia="仿宋_GB2312"/>
          <w:sz w:val="32"/>
          <w:szCs w:val="32"/>
        </w:rPr>
        <w:t>清理后</w:t>
      </w:r>
      <w:r>
        <w:rPr>
          <w:rFonts w:ascii="仿宋_GB2312" w:hAnsi="黑体" w:eastAsia="仿宋_GB2312"/>
          <w:sz w:val="32"/>
          <w:szCs w:val="32"/>
        </w:rPr>
        <w:t>及时洗手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tabs>
          <w:tab w:val="left" w:pos="5760"/>
        </w:tabs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喷洒除蚊蝇。如居家蚊蝇密度较高时，可使用正规渠道</w:t>
      </w:r>
      <w:r>
        <w:rPr>
          <w:rFonts w:ascii="仿宋_GB2312" w:hAnsi="黑体" w:eastAsia="仿宋_GB2312"/>
          <w:sz w:val="32"/>
          <w:szCs w:val="32"/>
        </w:rPr>
        <w:t>购买的</w:t>
      </w:r>
      <w:r>
        <w:rPr>
          <w:rFonts w:hint="eastAsia" w:ascii="仿宋_GB2312" w:hAnsi="黑体" w:eastAsia="仿宋_GB2312"/>
          <w:sz w:val="32"/>
          <w:szCs w:val="32"/>
        </w:rPr>
        <w:t>杀虫气雾剂杀灭蚊蝇，对目标轻摁一下喷头即可，无须追喷直至目标跌落。</w:t>
      </w:r>
    </w:p>
    <w:p>
      <w:pPr>
        <w:tabs>
          <w:tab w:val="left" w:pos="5760"/>
        </w:tabs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毒饵除蟑螂。灭蟑胶饵的灭蟑效果非常好，将胶饵点施在蟑螂经常出没的角落或隐蔽处，一般点在室橱柜顶板、抽屉底背面不易被破坏掉，每个点绿豆、米粒大，间隔0.5米左右点一点，可保持半个月灭蟑作用。</w:t>
      </w:r>
    </w:p>
    <w:p>
      <w:pPr>
        <w:widowControl/>
        <w:jc w:val="left"/>
      </w:pPr>
      <w:r>
        <w:br w:type="page"/>
      </w:r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各单位协调联络员情况表</w:t>
      </w:r>
    </w:p>
    <w:p>
      <w:pPr>
        <w:pStyle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878"/>
        <w:gridCol w:w="184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74" w:type="dxa"/>
          </w:tcPr>
          <w:p>
            <w:pPr>
              <w:pStyle w:val="2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878" w:type="dxa"/>
          </w:tcPr>
          <w:p>
            <w:pPr>
              <w:pStyle w:val="2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所在部门</w:t>
            </w:r>
          </w:p>
        </w:tc>
        <w:tc>
          <w:tcPr>
            <w:tcW w:w="1843" w:type="dxa"/>
          </w:tcPr>
          <w:p>
            <w:pPr>
              <w:pStyle w:val="2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3402" w:type="dxa"/>
          </w:tcPr>
          <w:p>
            <w:pPr>
              <w:pStyle w:val="2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74" w:type="dxa"/>
          </w:tcPr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8" w:type="dxa"/>
          </w:tcPr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2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1OWI5ZGQ2YjE4YzAyZWE0MTFkMTU2ZGZjOTBiZTIifQ=="/>
  </w:docVars>
  <w:rsids>
    <w:rsidRoot w:val="00CA048E"/>
    <w:rsid w:val="0000350E"/>
    <w:rsid w:val="000C5B0B"/>
    <w:rsid w:val="0012484E"/>
    <w:rsid w:val="00127DA5"/>
    <w:rsid w:val="001947F2"/>
    <w:rsid w:val="001C452A"/>
    <w:rsid w:val="001D2550"/>
    <w:rsid w:val="00277C66"/>
    <w:rsid w:val="002A1C0B"/>
    <w:rsid w:val="003044B1"/>
    <w:rsid w:val="00392477"/>
    <w:rsid w:val="003B74BE"/>
    <w:rsid w:val="004F1411"/>
    <w:rsid w:val="00547284"/>
    <w:rsid w:val="005606F0"/>
    <w:rsid w:val="00560A77"/>
    <w:rsid w:val="005D3CAF"/>
    <w:rsid w:val="005E46F1"/>
    <w:rsid w:val="00645E37"/>
    <w:rsid w:val="006B13F7"/>
    <w:rsid w:val="006C725A"/>
    <w:rsid w:val="008521A4"/>
    <w:rsid w:val="00880CD6"/>
    <w:rsid w:val="008C1F63"/>
    <w:rsid w:val="008F48F8"/>
    <w:rsid w:val="00953BA6"/>
    <w:rsid w:val="00986989"/>
    <w:rsid w:val="009E40C3"/>
    <w:rsid w:val="00A3616E"/>
    <w:rsid w:val="00A62097"/>
    <w:rsid w:val="00B377D5"/>
    <w:rsid w:val="00BC1CEC"/>
    <w:rsid w:val="00C252EE"/>
    <w:rsid w:val="00C35C39"/>
    <w:rsid w:val="00C5332B"/>
    <w:rsid w:val="00CA048E"/>
    <w:rsid w:val="00D46A67"/>
    <w:rsid w:val="00D92D63"/>
    <w:rsid w:val="00E67409"/>
    <w:rsid w:val="00E86A96"/>
    <w:rsid w:val="00ED120E"/>
    <w:rsid w:val="00EF6B2C"/>
    <w:rsid w:val="00F167F2"/>
    <w:rsid w:val="00F3487F"/>
    <w:rsid w:val="00F83E2B"/>
    <w:rsid w:val="00FA32FA"/>
    <w:rsid w:val="1C7F804B"/>
    <w:rsid w:val="545D3BBC"/>
    <w:rsid w:val="5B9D6BEC"/>
    <w:rsid w:val="62616456"/>
    <w:rsid w:val="6DA94514"/>
    <w:rsid w:val="6EABC6BE"/>
    <w:rsid w:val="7DFF99CA"/>
    <w:rsid w:val="7EB51F3A"/>
    <w:rsid w:val="7EFEA8AF"/>
    <w:rsid w:val="7F590346"/>
    <w:rsid w:val="7FFE5DCE"/>
    <w:rsid w:val="7FFF17B6"/>
    <w:rsid w:val="8AF583FF"/>
    <w:rsid w:val="A6FECAB7"/>
    <w:rsid w:val="F1DFAD32"/>
    <w:rsid w:val="F7962DA5"/>
    <w:rsid w:val="F7FF64AD"/>
    <w:rsid w:val="FB5ECA5D"/>
    <w:rsid w:val="FF6ACA13"/>
    <w:rsid w:val="FFE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itle"/>
    <w:next w:val="1"/>
    <w:qFormat/>
    <w:uiPriority w:val="0"/>
    <w:pPr>
      <w:spacing w:line="240" w:lineRule="atLeast"/>
      <w:jc w:val="center"/>
      <w:textAlignment w:val="baseline"/>
    </w:pPr>
    <w:rPr>
      <w:rFonts w:ascii="Arial" w:hAnsi="Arial" w:eastAsia="黑体" w:cs="Times New Roman"/>
      <w:kern w:val="2"/>
      <w:sz w:val="52"/>
      <w:szCs w:val="24"/>
      <w:lang w:val="en-US" w:eastAsia="zh-CN" w:bidi="ar-SA"/>
    </w:rPr>
  </w:style>
  <w:style w:type="table" w:styleId="8">
    <w:name w:val="Table Grid"/>
    <w:basedOn w:val="7"/>
    <w:qFormat/>
    <w:uiPriority w:val="59"/>
    <w:pPr>
      <w:jc w:val="both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4">
    <w:name w:val="无间隔 Char"/>
    <w:basedOn w:val="9"/>
    <w:link w:val="13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494</Words>
  <Characters>2819</Characters>
  <Lines>23</Lines>
  <Paragraphs>6</Paragraphs>
  <TotalTime>14</TotalTime>
  <ScaleCrop>false</ScaleCrop>
  <LinksUpToDate>false</LinksUpToDate>
  <CharactersWithSpaces>3307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2022-07-05T15:09:00Z</dcterms:created>
  <dc:creator>Administrator</dc:creator>
  <cp:lastModifiedBy>Angel</cp:lastModifiedBy>
  <cp:lastPrinted>2022-04-19T03:30:00Z</cp:lastPrinted>
  <dcterms:modified xsi:type="dcterms:W3CDTF">2023-09-08T00:53:04Z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98F368F97C694AFBAC24B401F02E6750</vt:lpwstr>
  </property>
</Properties>
</file>