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</w:p>
    <w:p w14:paraId="3204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BDD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DFB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16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红头、文号位置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 w14:paraId="0D789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11F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2E7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4BC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06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东丽区政务服务办公室关于推行</w:t>
      </w:r>
    </w:p>
    <w:p w14:paraId="6E1F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“丽企办—前延式”高频事项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许可证书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到期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前</w:t>
      </w:r>
    </w:p>
    <w:p w14:paraId="7A4C4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提醒服务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的实施方案</w:t>
      </w:r>
    </w:p>
    <w:p w14:paraId="5712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B18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深化“放管服”改革，提升政务服务便利化水平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进一步延伸审批服务半径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提高额外给予企业增值服务的主动性，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切实降低各类市场主体办事成本，帮助企业群众安心从事生产经营，现结合工作实际，制定本方案。</w:t>
      </w:r>
    </w:p>
    <w:p w14:paraId="477C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一、工作目标</w:t>
      </w:r>
    </w:p>
    <w:p w14:paraId="2C5F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结合行政许可业务实际，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许可证书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，提前一步、主动作为，变“坐等上门”为“提前服务”，以“小切口”改革创新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做好政务服务“向前延伸一公里”。通过主动提供预见性提醒服务，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避免各类市场主体因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许可证书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过期失效而构成违法经营以及由此带来的经济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和信用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损失，切实增强企业群众满意度、获得感。</w:t>
      </w:r>
    </w:p>
    <w:p w14:paraId="0BA1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二、工作内容</w:t>
      </w:r>
    </w:p>
    <w:p w14:paraId="096A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许可证书到期前提醒服务，是指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根据行政许可证书的具体性质，特别是针对超期后容易出现不良后果、再办难度较大且发生频率较高的事项，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在行政相对人所持行政许可证书到期前一段时间内，通过电话提醒等方式告知市场主体及时办理换证、延续手续，避免许可证书过期影响正常经营的工作举措。</w:t>
      </w:r>
    </w:p>
    <w:p w14:paraId="6458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三、实施步骤</w:t>
      </w:r>
    </w:p>
    <w:p w14:paraId="27F7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（一）编制《许可证书到期前提醒目录》</w:t>
      </w:r>
    </w:p>
    <w:p w14:paraId="500F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全办高频行政许可事项颁发许可证书情况进行摸底，结合工作实际，将与企业群众生产生活密切相关、超过有效期限再办理较复杂的许可证书进行进一步梳理，编制《东丽区政务服务办公室许可证书到期前提醒目录》（以下简称《目录》，详见附件1），包括审批事项名称、许可证书名称、承办科室、许可证书期限、提醒方式、提醒时限等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（责任部门：政务服务科、各审批业务科室）</w:t>
      </w:r>
    </w:p>
    <w:p w14:paraId="0797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（二）建立《许可证书到期前提醒台账》</w:t>
      </w:r>
    </w:p>
    <w:p w14:paraId="2B51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围绕《目录》内的事项，针对本方案印发前发生的业务，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所颁发许可证书目前处于有效期内的，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各审批业务科室通过查询业务系统、查询业务台账等方式，对将要到期的许可证书信息进行采集，整理许可证书持有单位、许可证书名称、颁发日期、期满日期、联系人、联系方式、提醒日期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、提醒人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等信息，形成《东丽区政务服务办公室许可证书到期前提醒台账》（以下简称《台账》，详见附件2）。本方案印发后发生的业务，随时补充更新。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（责任部门：各审批业务科室）</w:t>
      </w:r>
    </w:p>
    <w:p w14:paraId="1D515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）多措并举开展许可证书到期前提醒服务</w:t>
      </w:r>
    </w:p>
    <w:p w14:paraId="570F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有关审批科室根据业务性质和工作实际，安排专人负责许可证书到期提醒服务，通过“人工电话通知”“电子邮件告知”等方式，向相关市场主体发出提醒通知，告知其许可证书到期日期、申请换证时限、办理地点、服务电话、提交材料清单等详情。同时，采取提前预约服务、帮办代办等方式，指导帮助申请人准备材料，及时换发许可证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（责任部门：各审批业务科室）</w:t>
      </w:r>
    </w:p>
    <w:p w14:paraId="3453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）建立长效机制</w:t>
      </w:r>
    </w:p>
    <w:p w14:paraId="5B0E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《目录》实行动态化管理，依据业务实际开展情况以及相关法律法规规定，及时对《目录》内所列事项和许可证书有效期进行调整维护，保证许可证书清单实时更新，符合最新要求。政务服务科不定期对各审批科室《台账》登记情况进行督促检查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（责任部门：政务服务科、各审批业务科室）</w:t>
      </w:r>
    </w:p>
    <w:p w14:paraId="750D9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四、工作要求</w:t>
      </w:r>
    </w:p>
    <w:p w14:paraId="000AF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（一）加强组织领导</w:t>
      </w:r>
    </w:p>
    <w:p w14:paraId="55A5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丽企办—前延式”高频事项许可证书到期前提醒服务是转变政府服务理念、提高审批服务效率、提升群众办事体验感的重要举措，各有关科室要高度重视，将其作为推进政务服务便利化改革的一项重要工作，认真组织推进，抓好工作落实。</w:t>
      </w:r>
    </w:p>
    <w:p w14:paraId="25EB4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（二）加强宣传推广</w:t>
      </w:r>
    </w:p>
    <w:p w14:paraId="3B525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利用各种线上线下媒体向社会公布，提高许可证书到期前提醒服务举措的社会知晓度和群众认同感，切实提升企业群众办事满意度、获得感。</w:t>
      </w:r>
    </w:p>
    <w:p w14:paraId="1C88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（三）推动信息共享</w:t>
      </w:r>
    </w:p>
    <w:p w14:paraId="2337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过许可证书到期前提醒服务举措办理的换发许可证书业务，各审批业务科室要严格按照承诺办结时限完成审批工作，通过“政务一网通”审批服务系统实时将行政许可决定推送至行业主管部门，强化审管联动，实现审管无缝衔接。</w:t>
      </w:r>
    </w:p>
    <w:p w14:paraId="19CFD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4BA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附件：1.东丽区政务服务办公室许可证书到期前提醒目录</w:t>
      </w:r>
    </w:p>
    <w:p w14:paraId="1234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2.东丽区政务服务办公室许可证书到期前提醒台账</w:t>
      </w:r>
    </w:p>
    <w:p w14:paraId="434CA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6F86B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区政务服务办公室    </w:t>
      </w:r>
    </w:p>
    <w:p w14:paraId="5A7B60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2024年7月24日    </w:t>
      </w:r>
    </w:p>
    <w:p w14:paraId="6072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（联系人：赵啟志；联系电话：24878361）</w:t>
      </w:r>
    </w:p>
    <w:p w14:paraId="6F53C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（此件主动公开）</w:t>
      </w:r>
    </w:p>
    <w:p w14:paraId="3CA38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080" w:right="1440" w:bottom="1080" w:left="1440" w:header="851" w:footer="1134" w:gutter="0"/>
          <w:pgNumType w:fmt="numberInDash"/>
          <w:cols w:space="425" w:num="1"/>
          <w:docGrid w:type="lines" w:linePitch="312" w:charSpace="0"/>
        </w:sectPr>
      </w:pPr>
    </w:p>
    <w:p w14:paraId="2E47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5A89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东丽区政务服务办公室许可证书到期前提醒目录</w:t>
      </w:r>
    </w:p>
    <w:p w14:paraId="0F7C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7"/>
        <w:tblW w:w="1557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45"/>
        <w:gridCol w:w="2535"/>
        <w:gridCol w:w="2355"/>
        <w:gridCol w:w="2340"/>
        <w:gridCol w:w="1515"/>
        <w:gridCol w:w="2235"/>
      </w:tblGrid>
      <w:tr w14:paraId="3205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45" w:type="dxa"/>
            <w:noWrap w:val="0"/>
            <w:vAlign w:val="center"/>
          </w:tcPr>
          <w:p w14:paraId="4090E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  <w:noWrap w:val="0"/>
            <w:vAlign w:val="center"/>
          </w:tcPr>
          <w:p w14:paraId="329C8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许可事项名称</w:t>
            </w:r>
          </w:p>
        </w:tc>
        <w:tc>
          <w:tcPr>
            <w:tcW w:w="2535" w:type="dxa"/>
            <w:noWrap w:val="0"/>
            <w:vAlign w:val="center"/>
          </w:tcPr>
          <w:p w14:paraId="06600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许可证书名称</w:t>
            </w:r>
          </w:p>
        </w:tc>
        <w:tc>
          <w:tcPr>
            <w:tcW w:w="2355" w:type="dxa"/>
            <w:noWrap w:val="0"/>
            <w:vAlign w:val="center"/>
          </w:tcPr>
          <w:p w14:paraId="66465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承办科室</w:t>
            </w:r>
          </w:p>
        </w:tc>
        <w:tc>
          <w:tcPr>
            <w:tcW w:w="2340" w:type="dxa"/>
            <w:noWrap w:val="0"/>
            <w:vAlign w:val="center"/>
          </w:tcPr>
          <w:p w14:paraId="114FE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许可证书法定有效期限</w:t>
            </w:r>
          </w:p>
        </w:tc>
        <w:tc>
          <w:tcPr>
            <w:tcW w:w="1515" w:type="dxa"/>
            <w:noWrap w:val="0"/>
            <w:vAlign w:val="center"/>
          </w:tcPr>
          <w:p w14:paraId="01E34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提醒方式</w:t>
            </w:r>
          </w:p>
        </w:tc>
        <w:tc>
          <w:tcPr>
            <w:tcW w:w="2235" w:type="dxa"/>
            <w:noWrap w:val="0"/>
            <w:vAlign w:val="center"/>
          </w:tcPr>
          <w:p w14:paraId="769D0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提醒时限</w:t>
            </w:r>
          </w:p>
        </w:tc>
      </w:tr>
      <w:tr w14:paraId="404B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4CC5A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noWrap w:val="0"/>
            <w:vAlign w:val="center"/>
          </w:tcPr>
          <w:p w14:paraId="70A16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排污许可证核发</w:t>
            </w:r>
          </w:p>
        </w:tc>
        <w:tc>
          <w:tcPr>
            <w:tcW w:w="2535" w:type="dxa"/>
            <w:noWrap w:val="0"/>
            <w:vAlign w:val="center"/>
          </w:tcPr>
          <w:p w14:paraId="04F31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排污许可证</w:t>
            </w:r>
          </w:p>
        </w:tc>
        <w:tc>
          <w:tcPr>
            <w:tcW w:w="2355" w:type="dxa"/>
            <w:noWrap w:val="0"/>
            <w:vAlign w:val="center"/>
          </w:tcPr>
          <w:p w14:paraId="2578C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环保城管和建设交通科</w:t>
            </w:r>
          </w:p>
        </w:tc>
        <w:tc>
          <w:tcPr>
            <w:tcW w:w="2340" w:type="dxa"/>
            <w:noWrap w:val="0"/>
            <w:vAlign w:val="center"/>
          </w:tcPr>
          <w:p w14:paraId="3E08D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76EC0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547B2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有效期到期前2个月</w:t>
            </w:r>
          </w:p>
        </w:tc>
      </w:tr>
      <w:tr w14:paraId="6677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27F80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noWrap w:val="0"/>
            <w:vAlign w:val="center"/>
          </w:tcPr>
          <w:p w14:paraId="162A9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辐射安全许可</w:t>
            </w:r>
          </w:p>
        </w:tc>
        <w:tc>
          <w:tcPr>
            <w:tcW w:w="2535" w:type="dxa"/>
            <w:noWrap w:val="0"/>
            <w:vAlign w:val="center"/>
          </w:tcPr>
          <w:p w14:paraId="7FCF0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辐射安全许可证</w:t>
            </w:r>
          </w:p>
        </w:tc>
        <w:tc>
          <w:tcPr>
            <w:tcW w:w="2355" w:type="dxa"/>
            <w:noWrap w:val="0"/>
            <w:vAlign w:val="center"/>
          </w:tcPr>
          <w:p w14:paraId="5D63D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环保城管和建设交通科</w:t>
            </w:r>
          </w:p>
        </w:tc>
        <w:tc>
          <w:tcPr>
            <w:tcW w:w="2340" w:type="dxa"/>
            <w:noWrap w:val="0"/>
            <w:vAlign w:val="center"/>
          </w:tcPr>
          <w:p w14:paraId="18EEF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55476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46348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到期前1个月</w:t>
            </w:r>
          </w:p>
        </w:tc>
      </w:tr>
      <w:tr w14:paraId="2594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4B0FF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noWrap w:val="0"/>
            <w:vAlign w:val="center"/>
          </w:tcPr>
          <w:p w14:paraId="468E4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供水单位卫生许可—二次供水单位</w:t>
            </w:r>
          </w:p>
        </w:tc>
        <w:tc>
          <w:tcPr>
            <w:tcW w:w="2535" w:type="dxa"/>
            <w:noWrap w:val="0"/>
            <w:vAlign w:val="center"/>
          </w:tcPr>
          <w:p w14:paraId="32631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卫生许可证</w:t>
            </w:r>
          </w:p>
        </w:tc>
        <w:tc>
          <w:tcPr>
            <w:tcW w:w="2355" w:type="dxa"/>
            <w:noWrap w:val="0"/>
            <w:vAlign w:val="center"/>
          </w:tcPr>
          <w:p w14:paraId="103A0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社会事务科</w:t>
            </w:r>
          </w:p>
        </w:tc>
        <w:tc>
          <w:tcPr>
            <w:tcW w:w="2340" w:type="dxa"/>
            <w:noWrap w:val="0"/>
            <w:vAlign w:val="center"/>
          </w:tcPr>
          <w:p w14:paraId="52785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4年</w:t>
            </w:r>
          </w:p>
        </w:tc>
        <w:tc>
          <w:tcPr>
            <w:tcW w:w="1515" w:type="dxa"/>
            <w:noWrap w:val="0"/>
            <w:vAlign w:val="center"/>
          </w:tcPr>
          <w:p w14:paraId="36A25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2F97A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1C3C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0048A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noWrap w:val="0"/>
            <w:vAlign w:val="center"/>
          </w:tcPr>
          <w:p w14:paraId="43107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事业单位法人登记</w:t>
            </w:r>
          </w:p>
        </w:tc>
        <w:tc>
          <w:tcPr>
            <w:tcW w:w="2535" w:type="dxa"/>
            <w:noWrap w:val="0"/>
            <w:vAlign w:val="center"/>
          </w:tcPr>
          <w:p w14:paraId="00802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事业单位法人证书</w:t>
            </w:r>
          </w:p>
        </w:tc>
        <w:tc>
          <w:tcPr>
            <w:tcW w:w="2355" w:type="dxa"/>
            <w:noWrap w:val="0"/>
            <w:vAlign w:val="center"/>
          </w:tcPr>
          <w:p w14:paraId="1B498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社会事务科</w:t>
            </w:r>
          </w:p>
        </w:tc>
        <w:tc>
          <w:tcPr>
            <w:tcW w:w="2340" w:type="dxa"/>
            <w:noWrap w:val="0"/>
            <w:vAlign w:val="center"/>
          </w:tcPr>
          <w:p w14:paraId="68B7E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25D74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A153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441B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081CB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  <w:noWrap w:val="0"/>
            <w:vAlign w:val="center"/>
          </w:tcPr>
          <w:p w14:paraId="630CC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企业不定时和综合计算工时工作制许可</w:t>
            </w:r>
          </w:p>
        </w:tc>
        <w:tc>
          <w:tcPr>
            <w:tcW w:w="2535" w:type="dxa"/>
            <w:noWrap w:val="0"/>
            <w:vAlign w:val="center"/>
          </w:tcPr>
          <w:p w14:paraId="5DCDC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行政许可决定书</w:t>
            </w:r>
          </w:p>
        </w:tc>
        <w:tc>
          <w:tcPr>
            <w:tcW w:w="2355" w:type="dxa"/>
            <w:noWrap w:val="0"/>
            <w:vAlign w:val="center"/>
          </w:tcPr>
          <w:p w14:paraId="687DD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社会事务科</w:t>
            </w:r>
          </w:p>
        </w:tc>
        <w:tc>
          <w:tcPr>
            <w:tcW w:w="2340" w:type="dxa"/>
            <w:noWrap w:val="0"/>
            <w:vAlign w:val="center"/>
          </w:tcPr>
          <w:p w14:paraId="3019B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2年/3年/4年</w:t>
            </w:r>
          </w:p>
        </w:tc>
        <w:tc>
          <w:tcPr>
            <w:tcW w:w="1515" w:type="dxa"/>
            <w:noWrap w:val="0"/>
            <w:vAlign w:val="center"/>
          </w:tcPr>
          <w:p w14:paraId="7E9BD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E13A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7214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17931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  <w:noWrap w:val="0"/>
            <w:vAlign w:val="center"/>
          </w:tcPr>
          <w:p w14:paraId="0BC78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石油成品油零售经营资格许可</w:t>
            </w:r>
          </w:p>
        </w:tc>
        <w:tc>
          <w:tcPr>
            <w:tcW w:w="2535" w:type="dxa"/>
            <w:noWrap w:val="0"/>
            <w:vAlign w:val="center"/>
          </w:tcPr>
          <w:p w14:paraId="16B36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成品油零售经营批准证书</w:t>
            </w:r>
          </w:p>
        </w:tc>
        <w:tc>
          <w:tcPr>
            <w:tcW w:w="2355" w:type="dxa"/>
            <w:noWrap w:val="0"/>
            <w:vAlign w:val="center"/>
          </w:tcPr>
          <w:p w14:paraId="66571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1EF71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126B2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972A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4165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26E7C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  <w:noWrap w:val="0"/>
            <w:vAlign w:val="center"/>
          </w:tcPr>
          <w:p w14:paraId="6D177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农药经营许可</w:t>
            </w:r>
          </w:p>
        </w:tc>
        <w:tc>
          <w:tcPr>
            <w:tcW w:w="2535" w:type="dxa"/>
            <w:noWrap w:val="0"/>
            <w:vAlign w:val="center"/>
          </w:tcPr>
          <w:p w14:paraId="3206C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农药经营许可证</w:t>
            </w:r>
          </w:p>
        </w:tc>
        <w:tc>
          <w:tcPr>
            <w:tcW w:w="2355" w:type="dxa"/>
            <w:noWrap w:val="0"/>
            <w:vAlign w:val="center"/>
          </w:tcPr>
          <w:p w14:paraId="7A022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0F942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001C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6F518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1BA8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251B4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945" w:type="dxa"/>
            <w:noWrap w:val="0"/>
            <w:vAlign w:val="center"/>
          </w:tcPr>
          <w:p w14:paraId="4C952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生鲜乳收购、运输许可--生鲜乳准运许可</w:t>
            </w:r>
          </w:p>
        </w:tc>
        <w:tc>
          <w:tcPr>
            <w:tcW w:w="2535" w:type="dxa"/>
            <w:noWrap w:val="0"/>
            <w:vAlign w:val="center"/>
          </w:tcPr>
          <w:p w14:paraId="1C93F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生鲜乳准运证明</w:t>
            </w:r>
          </w:p>
        </w:tc>
        <w:tc>
          <w:tcPr>
            <w:tcW w:w="2355" w:type="dxa"/>
            <w:noWrap w:val="0"/>
            <w:vAlign w:val="center"/>
          </w:tcPr>
          <w:p w14:paraId="769D8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4AC53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1515" w:type="dxa"/>
            <w:noWrap w:val="0"/>
            <w:vAlign w:val="center"/>
          </w:tcPr>
          <w:p w14:paraId="431A2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D9D7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2357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51D3F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945" w:type="dxa"/>
            <w:noWrap w:val="0"/>
            <w:vAlign w:val="center"/>
          </w:tcPr>
          <w:p w14:paraId="27D04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生鲜乳收购、运输许可--生鲜乳收购许可</w:t>
            </w:r>
          </w:p>
        </w:tc>
        <w:tc>
          <w:tcPr>
            <w:tcW w:w="2535" w:type="dxa"/>
            <w:noWrap w:val="0"/>
            <w:vAlign w:val="center"/>
          </w:tcPr>
          <w:p w14:paraId="5B3DF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生鲜乳收购许可证</w:t>
            </w:r>
          </w:p>
        </w:tc>
        <w:tc>
          <w:tcPr>
            <w:tcW w:w="2355" w:type="dxa"/>
            <w:noWrap w:val="0"/>
            <w:vAlign w:val="center"/>
          </w:tcPr>
          <w:p w14:paraId="73A4E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5F27A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1515" w:type="dxa"/>
            <w:noWrap w:val="0"/>
            <w:vAlign w:val="center"/>
          </w:tcPr>
          <w:p w14:paraId="444F3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24E4C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173A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78BAF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945" w:type="dxa"/>
            <w:noWrap w:val="0"/>
            <w:vAlign w:val="center"/>
          </w:tcPr>
          <w:p w14:paraId="7AD1D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水产苗种生产许可</w:t>
            </w:r>
          </w:p>
        </w:tc>
        <w:tc>
          <w:tcPr>
            <w:tcW w:w="2535" w:type="dxa"/>
            <w:noWrap w:val="0"/>
            <w:vAlign w:val="center"/>
          </w:tcPr>
          <w:p w14:paraId="5561F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水产苗种生产许可证</w:t>
            </w:r>
          </w:p>
        </w:tc>
        <w:tc>
          <w:tcPr>
            <w:tcW w:w="2355" w:type="dxa"/>
            <w:noWrap w:val="0"/>
            <w:vAlign w:val="center"/>
          </w:tcPr>
          <w:p w14:paraId="08A88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40F47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1515" w:type="dxa"/>
            <w:noWrap w:val="0"/>
            <w:vAlign w:val="center"/>
          </w:tcPr>
          <w:p w14:paraId="074B2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79DF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0803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4D63B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945" w:type="dxa"/>
            <w:noWrap w:val="0"/>
            <w:vAlign w:val="center"/>
          </w:tcPr>
          <w:p w14:paraId="0510E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危险化学品经营许可</w:t>
            </w:r>
          </w:p>
        </w:tc>
        <w:tc>
          <w:tcPr>
            <w:tcW w:w="2535" w:type="dxa"/>
            <w:noWrap w:val="0"/>
            <w:vAlign w:val="center"/>
          </w:tcPr>
          <w:p w14:paraId="28330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危险化学品经营许可证</w:t>
            </w:r>
          </w:p>
        </w:tc>
        <w:tc>
          <w:tcPr>
            <w:tcW w:w="2355" w:type="dxa"/>
            <w:noWrap w:val="0"/>
            <w:vAlign w:val="center"/>
          </w:tcPr>
          <w:p w14:paraId="7D0B9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70F46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1515" w:type="dxa"/>
            <w:noWrap w:val="0"/>
            <w:vAlign w:val="center"/>
          </w:tcPr>
          <w:p w14:paraId="64242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3D56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54B2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7A806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945" w:type="dxa"/>
            <w:noWrap w:val="0"/>
            <w:vAlign w:val="center"/>
          </w:tcPr>
          <w:p w14:paraId="63D28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林木种子生产经营许可证核发</w:t>
            </w:r>
          </w:p>
        </w:tc>
        <w:tc>
          <w:tcPr>
            <w:tcW w:w="2535" w:type="dxa"/>
            <w:noWrap w:val="0"/>
            <w:vAlign w:val="center"/>
          </w:tcPr>
          <w:p w14:paraId="030A7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林木种子生产经营许可证</w:t>
            </w:r>
          </w:p>
        </w:tc>
        <w:tc>
          <w:tcPr>
            <w:tcW w:w="2355" w:type="dxa"/>
            <w:noWrap w:val="0"/>
            <w:vAlign w:val="center"/>
          </w:tcPr>
          <w:p w14:paraId="1B793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64D20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3E0BB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76B8C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623D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6FC05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945" w:type="dxa"/>
            <w:noWrap w:val="0"/>
            <w:vAlign w:val="center"/>
          </w:tcPr>
          <w:p w14:paraId="6D043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非药品类易制毒化学品备案—非药品类易制毒化学品经营备案</w:t>
            </w:r>
          </w:p>
        </w:tc>
        <w:tc>
          <w:tcPr>
            <w:tcW w:w="2535" w:type="dxa"/>
            <w:noWrap w:val="0"/>
            <w:vAlign w:val="center"/>
          </w:tcPr>
          <w:p w14:paraId="4FA6B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非药品类易制毒化学品经营备案证明</w:t>
            </w:r>
          </w:p>
        </w:tc>
        <w:tc>
          <w:tcPr>
            <w:tcW w:w="2355" w:type="dxa"/>
            <w:noWrap w:val="0"/>
            <w:vAlign w:val="center"/>
          </w:tcPr>
          <w:p w14:paraId="576B0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506F0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1515" w:type="dxa"/>
            <w:noWrap w:val="0"/>
            <w:vAlign w:val="center"/>
          </w:tcPr>
          <w:p w14:paraId="0D9FC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4191D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  <w:tr w14:paraId="5A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noWrap w:val="0"/>
            <w:vAlign w:val="center"/>
          </w:tcPr>
          <w:p w14:paraId="6F66F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945" w:type="dxa"/>
            <w:noWrap w:val="0"/>
            <w:vAlign w:val="center"/>
          </w:tcPr>
          <w:p w14:paraId="5A889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兽药生产经营许可—兽药经营许可（非生物制品类）</w:t>
            </w:r>
          </w:p>
        </w:tc>
        <w:tc>
          <w:tcPr>
            <w:tcW w:w="2535" w:type="dxa"/>
            <w:noWrap w:val="0"/>
            <w:vAlign w:val="center"/>
          </w:tcPr>
          <w:p w14:paraId="24C35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兽药经营许可证</w:t>
            </w:r>
          </w:p>
        </w:tc>
        <w:tc>
          <w:tcPr>
            <w:tcW w:w="2355" w:type="dxa"/>
            <w:noWrap w:val="0"/>
            <w:vAlign w:val="center"/>
          </w:tcPr>
          <w:p w14:paraId="6774F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涉农事务和经贸商务科</w:t>
            </w:r>
          </w:p>
        </w:tc>
        <w:tc>
          <w:tcPr>
            <w:tcW w:w="2340" w:type="dxa"/>
            <w:noWrap w:val="0"/>
            <w:vAlign w:val="center"/>
          </w:tcPr>
          <w:p w14:paraId="7C9CA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515" w:type="dxa"/>
            <w:noWrap w:val="0"/>
            <w:vAlign w:val="center"/>
          </w:tcPr>
          <w:p w14:paraId="697D5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人工电话通知</w:t>
            </w:r>
          </w:p>
        </w:tc>
        <w:tc>
          <w:tcPr>
            <w:tcW w:w="2235" w:type="dxa"/>
            <w:noWrap w:val="0"/>
            <w:vAlign w:val="center"/>
          </w:tcPr>
          <w:p w14:paraId="1795C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到期前3个月</w:t>
            </w:r>
          </w:p>
        </w:tc>
      </w:tr>
    </w:tbl>
    <w:p w14:paraId="3DE7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40" w:right="1080" w:bottom="1440" w:left="1080" w:header="851" w:footer="1134" w:gutter="0"/>
          <w:pgNumType w:fmt="numberInDash"/>
          <w:cols w:space="425" w:num="1"/>
          <w:docGrid w:type="lines" w:linePitch="312" w:charSpace="0"/>
        </w:sectPr>
      </w:pPr>
    </w:p>
    <w:p w14:paraId="6D23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0733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东丽区政务服务办公室许可证书到期前提醒台账</w:t>
      </w:r>
    </w:p>
    <w:p w14:paraId="3690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科室名称：</w:t>
      </w:r>
    </w:p>
    <w:tbl>
      <w:tblPr>
        <w:tblStyle w:val="7"/>
        <w:tblpPr w:leftFromText="180" w:rightFromText="180" w:vertAnchor="text" w:horzAnchor="page" w:tblpX="841" w:tblpY="30"/>
        <w:tblOverlap w:val="never"/>
        <w:tblW w:w="15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40"/>
        <w:gridCol w:w="2670"/>
        <w:gridCol w:w="1320"/>
        <w:gridCol w:w="1365"/>
        <w:gridCol w:w="1080"/>
        <w:gridCol w:w="1785"/>
        <w:gridCol w:w="1365"/>
        <w:gridCol w:w="1350"/>
        <w:gridCol w:w="1155"/>
      </w:tblGrid>
      <w:tr w14:paraId="6574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noWrap w:val="0"/>
            <w:vAlign w:val="center"/>
          </w:tcPr>
          <w:p w14:paraId="0BBB7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 w14:paraId="26689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单位（个人）名称</w:t>
            </w:r>
          </w:p>
        </w:tc>
        <w:tc>
          <w:tcPr>
            <w:tcW w:w="2670" w:type="dxa"/>
            <w:noWrap w:val="0"/>
            <w:vAlign w:val="center"/>
          </w:tcPr>
          <w:p w14:paraId="5E0DA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许可证书名称</w:t>
            </w:r>
          </w:p>
        </w:tc>
        <w:tc>
          <w:tcPr>
            <w:tcW w:w="1320" w:type="dxa"/>
            <w:noWrap w:val="0"/>
            <w:vAlign w:val="center"/>
          </w:tcPr>
          <w:p w14:paraId="436C7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颁发日期</w:t>
            </w:r>
          </w:p>
        </w:tc>
        <w:tc>
          <w:tcPr>
            <w:tcW w:w="1365" w:type="dxa"/>
            <w:noWrap w:val="0"/>
            <w:vAlign w:val="center"/>
          </w:tcPr>
          <w:p w14:paraId="71555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期满日期</w:t>
            </w:r>
          </w:p>
        </w:tc>
        <w:tc>
          <w:tcPr>
            <w:tcW w:w="1080" w:type="dxa"/>
            <w:noWrap w:val="0"/>
            <w:vAlign w:val="center"/>
          </w:tcPr>
          <w:p w14:paraId="7DA6D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 w14:paraId="5854E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5" w:type="dxa"/>
            <w:noWrap w:val="0"/>
            <w:vAlign w:val="center"/>
          </w:tcPr>
          <w:p w14:paraId="6C9DE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提醒日期</w:t>
            </w:r>
          </w:p>
        </w:tc>
        <w:tc>
          <w:tcPr>
            <w:tcW w:w="1350" w:type="dxa"/>
            <w:noWrap w:val="0"/>
            <w:vAlign w:val="center"/>
          </w:tcPr>
          <w:p w14:paraId="25D01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提醒方式</w:t>
            </w:r>
          </w:p>
        </w:tc>
        <w:tc>
          <w:tcPr>
            <w:tcW w:w="1155" w:type="dxa"/>
            <w:noWrap w:val="0"/>
            <w:vAlign w:val="center"/>
          </w:tcPr>
          <w:p w14:paraId="2751A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提醒人</w:t>
            </w:r>
          </w:p>
        </w:tc>
      </w:tr>
      <w:tr w14:paraId="7253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08C7B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 w14:paraId="3B44C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04AB5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545C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E0EB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0D4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3B6E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8B6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A7F0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D6C2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22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13075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noWrap w:val="0"/>
            <w:vAlign w:val="center"/>
          </w:tcPr>
          <w:p w14:paraId="4AAC9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737B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4C54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ECD3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A5F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0FAF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1BDC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0473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80C2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78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3B65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noWrap w:val="0"/>
            <w:vAlign w:val="center"/>
          </w:tcPr>
          <w:p w14:paraId="74BC0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030A2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2A44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73CE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710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E4E1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2F4F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31D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ABA1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9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16C8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noWrap w:val="0"/>
            <w:vAlign w:val="center"/>
          </w:tcPr>
          <w:p w14:paraId="0D91C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F00F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79BC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C3CF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6D1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3BE1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72BC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DA36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E905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A5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00FA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noWrap w:val="0"/>
            <w:vAlign w:val="center"/>
          </w:tcPr>
          <w:p w14:paraId="6FD1E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E794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FE9B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0D4D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CC4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EB6C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2A07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F401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DD36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15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06DD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2640" w:type="dxa"/>
            <w:noWrap w:val="0"/>
            <w:vAlign w:val="center"/>
          </w:tcPr>
          <w:p w14:paraId="76BC1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F14D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2CF3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4D76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AE6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B069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9777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CD1C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2B17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EE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7C18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6A3D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2A87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8487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F43F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435C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858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667D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627A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4AA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7A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71C9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0F96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C396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0219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0324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CCC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3374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5FE9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BB06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EA7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68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63E5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C558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6207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9B87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1EB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9AE1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A33E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F6D2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9193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C66E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F3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9836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C6BC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3ED85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CBB9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FF0B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864E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B904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65CE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F695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5A14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AB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4967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A552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068A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92A4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31EC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4582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CB39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FB0C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17C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52F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2D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13FD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D03F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02E3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9A4F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183F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30B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2BCA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FED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895B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4E17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AB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3992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3105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FD5E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AC16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5352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D36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4A59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7DE5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59C7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4111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0F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FF9D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F33A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CBE1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9508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C610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6EE8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0D3B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E2BD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92F5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569B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A1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690DF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C425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92B1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AB4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6651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556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69DB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ACC9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6913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78AF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E2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64DD6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4760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37D16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73EF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5AC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0FD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8E5D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D038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E2A1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6724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A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6B38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220C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572E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EA9C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2058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D89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5434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E0A1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E65B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4B8E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93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4DCB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4EB2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F59E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54D6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6142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E1B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8C52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162A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84CB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29DF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F5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A044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6CC9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2BC0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054D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CAA2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C34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A97B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2ABC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1B8D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27E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591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40" w:right="1080" w:bottom="1440" w:left="1080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CCF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9D1EB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49D1EB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DViYTNiMzZlM2Q1NzA2MjNlMGVhOTc0NWVkYTEifQ=="/>
  </w:docVars>
  <w:rsids>
    <w:rsidRoot w:val="00000000"/>
    <w:rsid w:val="032A4C70"/>
    <w:rsid w:val="03D64DF8"/>
    <w:rsid w:val="04F01EE9"/>
    <w:rsid w:val="05497E7E"/>
    <w:rsid w:val="07AB4D86"/>
    <w:rsid w:val="07D77390"/>
    <w:rsid w:val="09A64209"/>
    <w:rsid w:val="0CB97065"/>
    <w:rsid w:val="10F863AD"/>
    <w:rsid w:val="11BE6171"/>
    <w:rsid w:val="125C6E10"/>
    <w:rsid w:val="134C0991"/>
    <w:rsid w:val="14411E19"/>
    <w:rsid w:val="144539CC"/>
    <w:rsid w:val="159A564E"/>
    <w:rsid w:val="15C54CCC"/>
    <w:rsid w:val="175B5F64"/>
    <w:rsid w:val="1A1B135F"/>
    <w:rsid w:val="1B60171F"/>
    <w:rsid w:val="1B944F25"/>
    <w:rsid w:val="1F903C55"/>
    <w:rsid w:val="20370574"/>
    <w:rsid w:val="20373466"/>
    <w:rsid w:val="2063580D"/>
    <w:rsid w:val="20BF7DA3"/>
    <w:rsid w:val="23E46C65"/>
    <w:rsid w:val="25DC4098"/>
    <w:rsid w:val="268B33C8"/>
    <w:rsid w:val="27DD4412"/>
    <w:rsid w:val="283C7070"/>
    <w:rsid w:val="28CF1C92"/>
    <w:rsid w:val="28EA6ACC"/>
    <w:rsid w:val="296E14AB"/>
    <w:rsid w:val="2BE47802"/>
    <w:rsid w:val="2BE94E19"/>
    <w:rsid w:val="2CBF3DCB"/>
    <w:rsid w:val="2DA80637"/>
    <w:rsid w:val="324C4353"/>
    <w:rsid w:val="32AA2E28"/>
    <w:rsid w:val="3392223A"/>
    <w:rsid w:val="33EA3E24"/>
    <w:rsid w:val="3781684D"/>
    <w:rsid w:val="39700927"/>
    <w:rsid w:val="3A4B4EF0"/>
    <w:rsid w:val="3A8A5A19"/>
    <w:rsid w:val="3C2B6133"/>
    <w:rsid w:val="3C6D55F2"/>
    <w:rsid w:val="3D031AB2"/>
    <w:rsid w:val="3EA42E21"/>
    <w:rsid w:val="3EEB27FE"/>
    <w:rsid w:val="402760C0"/>
    <w:rsid w:val="41474593"/>
    <w:rsid w:val="415C7589"/>
    <w:rsid w:val="41EA3241"/>
    <w:rsid w:val="426E5C20"/>
    <w:rsid w:val="446C2633"/>
    <w:rsid w:val="455E01CE"/>
    <w:rsid w:val="458D460F"/>
    <w:rsid w:val="461B1C1B"/>
    <w:rsid w:val="48FF75D2"/>
    <w:rsid w:val="495F2766"/>
    <w:rsid w:val="4BB5041C"/>
    <w:rsid w:val="4E636855"/>
    <w:rsid w:val="4F02606E"/>
    <w:rsid w:val="50AD4AA5"/>
    <w:rsid w:val="50D6330E"/>
    <w:rsid w:val="520467FD"/>
    <w:rsid w:val="54095601"/>
    <w:rsid w:val="54A021E1"/>
    <w:rsid w:val="56424FA2"/>
    <w:rsid w:val="567A1320"/>
    <w:rsid w:val="58920462"/>
    <w:rsid w:val="5A4E2840"/>
    <w:rsid w:val="5BEF797A"/>
    <w:rsid w:val="5C447516"/>
    <w:rsid w:val="5D2D69AC"/>
    <w:rsid w:val="63960D89"/>
    <w:rsid w:val="66CD77CC"/>
    <w:rsid w:val="678673E4"/>
    <w:rsid w:val="67D5211A"/>
    <w:rsid w:val="68E72104"/>
    <w:rsid w:val="6A520C92"/>
    <w:rsid w:val="72CE60E3"/>
    <w:rsid w:val="75245581"/>
    <w:rsid w:val="762F6E99"/>
    <w:rsid w:val="764A3CD3"/>
    <w:rsid w:val="7DBC1150"/>
    <w:rsid w:val="7E3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2435</Words>
  <Characters>2462</Characters>
  <Lines>0</Lines>
  <Paragraphs>0</Paragraphs>
  <TotalTime>19</TotalTime>
  <ScaleCrop>false</ScaleCrop>
  <LinksUpToDate>false</LinksUpToDate>
  <CharactersWithSpaces>2480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2024-07-03T06:30:00Z</dcterms:created>
  <dc:creator>Zhao</dc:creator>
  <cp:lastModifiedBy>A D</cp:lastModifiedBy>
  <cp:lastPrinted>2024-07-12T03:39:00Z</cp:lastPrinted>
  <dcterms:modified xsi:type="dcterms:W3CDTF">2024-07-29T09:12:42Z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72A13DAF5F35420993389C398363A977_13</vt:lpwstr>
  </property>
</Properties>
</file>