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19" w:rsidRDefault="009D3319">
      <w:pPr>
        <w:spacing w:line="440" w:lineRule="exact"/>
        <w:rPr>
          <w:rFonts w:ascii="仿宋_GB2312" w:eastAsia="仿宋_GB2312" w:hint="eastAsia"/>
          <w:sz w:val="32"/>
          <w:szCs w:val="32"/>
        </w:rPr>
      </w:pPr>
    </w:p>
    <w:p w:rsidR="009D3319" w:rsidRDefault="009D3319">
      <w:pPr>
        <w:spacing w:line="440" w:lineRule="exact"/>
        <w:rPr>
          <w:rFonts w:ascii="仿宋_GB2312" w:eastAsia="仿宋_GB2312"/>
          <w:sz w:val="32"/>
          <w:szCs w:val="32"/>
        </w:rPr>
      </w:pPr>
    </w:p>
    <w:p w:rsidR="009D3319" w:rsidRDefault="00BD3B94">
      <w:pPr>
        <w:tabs>
          <w:tab w:val="left" w:pos="7688"/>
        </w:tabs>
        <w:spacing w:line="440" w:lineRule="exact"/>
        <w:rPr>
          <w:rFonts w:ascii="仿宋_GB2312" w:eastAsia="仿宋_GB2312"/>
          <w:sz w:val="32"/>
          <w:szCs w:val="32"/>
          <w:lang w:val="en"/>
        </w:rPr>
      </w:pPr>
      <w:r>
        <w:rPr>
          <w:rFonts w:ascii="仿宋_GB2312" w:eastAsia="仿宋_GB2312"/>
          <w:sz w:val="32"/>
          <w:szCs w:val="32"/>
          <w:lang w:val="en"/>
        </w:rPr>
        <w:tab/>
      </w:r>
    </w:p>
    <w:p w:rsidR="009D3319" w:rsidRDefault="009D3319">
      <w:pPr>
        <w:spacing w:line="480" w:lineRule="exact"/>
        <w:jc w:val="center"/>
        <w:rPr>
          <w:rFonts w:ascii="方正小标宋简体" w:eastAsia="方正小标宋简体" w:hAnsi="宋体"/>
          <w:sz w:val="44"/>
          <w:szCs w:val="44"/>
        </w:rPr>
      </w:pPr>
      <w:bookmarkStart w:id="0" w:name="_GoBack"/>
      <w:bookmarkEnd w:id="0"/>
    </w:p>
    <w:p w:rsidR="009D3319" w:rsidRDefault="00BD3B94">
      <w:pPr>
        <w:spacing w:line="560" w:lineRule="exact"/>
        <w:jc w:val="center"/>
        <w:rPr>
          <w:rFonts w:ascii="Times New Roman" w:eastAsia="方正小标宋简体" w:hAnsi="Times New Roman" w:cs="Times New Roman"/>
          <w:sz w:val="44"/>
          <w:szCs w:val="44"/>
          <w:lang w:eastAsia="zh-Hans"/>
        </w:rPr>
      </w:pPr>
      <w:r>
        <w:rPr>
          <w:rFonts w:ascii="Times New Roman" w:eastAsia="方正小标宋简体" w:hAnsi="Times New Roman" w:cs="Times New Roman" w:hint="eastAsia"/>
          <w:sz w:val="44"/>
          <w:szCs w:val="44"/>
        </w:rPr>
        <w:t>关于修改《</w:t>
      </w:r>
      <w:r>
        <w:rPr>
          <w:rFonts w:ascii="Times New Roman" w:eastAsia="方正小标宋简体" w:hAnsi="Times New Roman" w:cs="Times New Roman"/>
          <w:sz w:val="44"/>
          <w:szCs w:val="44"/>
        </w:rPr>
        <w:t>东丽区知识产权质押融资风险补偿资金池管理办法</w:t>
      </w:r>
      <w:r>
        <w:rPr>
          <w:rFonts w:ascii="Times New Roman" w:eastAsia="方正小标宋简体" w:hAnsi="Times New Roman" w:cs="Times New Roman" w:hint="eastAsia"/>
          <w:sz w:val="44"/>
          <w:szCs w:val="44"/>
        </w:rPr>
        <w:t>》的通知</w:t>
      </w:r>
    </w:p>
    <w:p w:rsidR="009D3319" w:rsidRDefault="009D3319">
      <w:pPr>
        <w:spacing w:line="560" w:lineRule="exact"/>
        <w:ind w:firstLineChars="200" w:firstLine="640"/>
        <w:rPr>
          <w:rFonts w:ascii="Times New Roman" w:eastAsia="仿宋_GB2312" w:hAnsi="Times New Roman" w:cs="Times New Roman"/>
          <w:sz w:val="32"/>
          <w:szCs w:val="32"/>
        </w:rPr>
      </w:pPr>
    </w:p>
    <w:p w:rsidR="009D3319" w:rsidRDefault="00BD3B94">
      <w:pPr>
        <w:spacing w:line="560" w:lineRule="exact"/>
        <w:rPr>
          <w:rFonts w:ascii="Times New Roman" w:eastAsia="仿宋_GB2312" w:hAnsi="Times New Roman" w:cs="Times New Roman"/>
          <w:sz w:val="32"/>
          <w:szCs w:val="32"/>
        </w:rPr>
      </w:pPr>
      <w:r>
        <w:rPr>
          <w:rFonts w:ascii="仿宋_GB2312" w:eastAsia="仿宋_GB2312" w:hAnsi="仿宋_GB2312" w:cs="仿宋_GB2312" w:hint="eastAsia"/>
          <w:sz w:val="32"/>
          <w:szCs w:val="32"/>
        </w:rPr>
        <w:t>各街道办事处、园区，各委、办、局，相关企事业单位：</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为贯彻落实《天津市东丽区知识产权运营服务体系建设方案（</w:t>
      </w:r>
      <w:r>
        <w:rPr>
          <w:rFonts w:ascii="Times New Roman" w:eastAsia="仿宋_GB2312" w:hAnsi="Times New Roman" w:cs="Times New Roman"/>
          <w:sz w:val="32"/>
          <w:szCs w:val="32"/>
        </w:rPr>
        <w:t>2019-2022</w:t>
      </w:r>
      <w:r>
        <w:rPr>
          <w:rFonts w:ascii="Times New Roman" w:eastAsia="仿宋_GB2312" w:hAnsi="Times New Roman" w:cs="Times New Roman"/>
          <w:sz w:val="32"/>
          <w:szCs w:val="32"/>
        </w:rPr>
        <w:t>年）》精神，现就《东丽区知识产权质押融资风险补偿资金池管理办法》（津丽金融规〔</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号）贯彻执行中有关问题提出如下修改：</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w:t>
      </w:r>
      <w:r>
        <w:rPr>
          <w:rFonts w:ascii="Times New Roman" w:eastAsia="仿宋_GB2312" w:hAnsi="Times New Roman" w:cs="Times New Roman" w:hint="eastAsia"/>
          <w:sz w:val="32"/>
          <w:szCs w:val="32"/>
        </w:rPr>
        <w:t>将第三条修改为：“</w:t>
      </w:r>
      <w:r>
        <w:rPr>
          <w:rFonts w:ascii="仿宋_GB2312" w:eastAsia="仿宋_GB2312" w:hAnsi="微软雅黑" w:cs="宋体" w:hint="eastAsia"/>
          <w:sz w:val="32"/>
          <w:szCs w:val="32"/>
        </w:rPr>
        <w:t>本办法所称知识产权质押融资是指上述企业以专利、商标、著作权（版权）等知识产权为主要质押物从银行、融资租赁公司、融资担保</w:t>
      </w:r>
      <w:r>
        <w:rPr>
          <w:rFonts w:ascii="仿宋_GB2312" w:eastAsia="仿宋_GB2312" w:hAnsi="微软雅黑" w:cs="宋体"/>
          <w:sz w:val="32"/>
          <w:szCs w:val="32"/>
          <w:lang w:val="en"/>
        </w:rPr>
        <w:t>机构</w:t>
      </w:r>
      <w:r>
        <w:rPr>
          <w:rFonts w:ascii="仿宋_GB2312" w:eastAsia="仿宋_GB2312" w:hAnsi="微软雅黑" w:cs="宋体" w:hint="eastAsia"/>
          <w:sz w:val="32"/>
          <w:szCs w:val="32"/>
        </w:rPr>
        <w:t>等金融机构</w:t>
      </w:r>
      <w:r>
        <w:rPr>
          <w:rFonts w:ascii="仿宋_GB2312" w:eastAsia="仿宋_GB2312" w:hAnsi="微软雅黑" w:cs="宋体" w:hint="eastAsia"/>
          <w:sz w:val="32"/>
          <w:szCs w:val="32"/>
        </w:rPr>
        <w:t>或者通过发行知识产权证券化产品</w:t>
      </w:r>
      <w:r>
        <w:rPr>
          <w:rFonts w:ascii="仿宋_GB2312" w:eastAsia="仿宋_GB2312" w:hAnsi="微软雅黑" w:cs="宋体" w:hint="eastAsia"/>
          <w:sz w:val="32"/>
          <w:szCs w:val="32"/>
        </w:rPr>
        <w:t>获得的资金支持。</w:t>
      </w:r>
      <w:r>
        <w:rPr>
          <w:rFonts w:ascii="Times New Roman" w:eastAsia="仿宋_GB2312" w:hAnsi="Times New Roman" w:cs="Times New Roman" w:hint="eastAsia"/>
          <w:sz w:val="32"/>
          <w:szCs w:val="32"/>
        </w:rPr>
        <w:t>”</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增加一条</w:t>
      </w:r>
      <w:r>
        <w:rPr>
          <w:rFonts w:ascii="Times New Roman" w:eastAsia="仿宋_GB2312" w:hAnsi="Times New Roman" w:cs="Times New Roman" w:hint="eastAsia"/>
          <w:sz w:val="32"/>
          <w:szCs w:val="32"/>
        </w:rPr>
        <w:t>，作为</w:t>
      </w:r>
      <w:r>
        <w:rPr>
          <w:rFonts w:ascii="Times New Roman" w:eastAsia="仿宋_GB2312" w:hAnsi="Times New Roman" w:cs="Times New Roman"/>
          <w:sz w:val="32"/>
          <w:szCs w:val="32"/>
        </w:rPr>
        <w:t>第四条：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知识产权质押融资款必须用于本企业或主要关联方技术研发，项目产业化建设、运营、管理、技术改造，流动资金周转等生产经营活动，不得用于其它用途，每个风险补偿项目融资额度不超过</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万。</w:t>
      </w:r>
      <w:r>
        <w:rPr>
          <w:rFonts w:ascii="Times New Roman" w:eastAsia="仿宋_GB2312" w:hAnsi="Times New Roman" w:cs="Times New Roman"/>
          <w:sz w:val="32"/>
          <w:szCs w:val="32"/>
        </w:rPr>
        <w:t>”</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lang w:eastAsia="zh-Hans"/>
        </w:rPr>
        <w:t>将第</w:t>
      </w:r>
      <w:r>
        <w:rPr>
          <w:rFonts w:ascii="Times New Roman" w:eastAsia="仿宋_GB2312" w:hAnsi="Times New Roman" w:cs="Times New Roman"/>
          <w:color w:val="000000"/>
          <w:sz w:val="32"/>
          <w:szCs w:val="32"/>
          <w:lang w:val="en" w:eastAsia="zh-Hans"/>
        </w:rPr>
        <w:t>九</w:t>
      </w:r>
      <w:r>
        <w:rPr>
          <w:rFonts w:ascii="Times New Roman" w:eastAsia="仿宋_GB2312" w:hAnsi="Times New Roman" w:cs="Times New Roman"/>
          <w:color w:val="000000"/>
          <w:sz w:val="32"/>
          <w:szCs w:val="32"/>
          <w:lang w:eastAsia="zh-Hans"/>
        </w:rPr>
        <w:t>条改为第十条，</w:t>
      </w:r>
      <w:r>
        <w:rPr>
          <w:rFonts w:ascii="Times New Roman" w:eastAsia="仿宋_GB2312" w:hAnsi="Times New Roman" w:cs="Times New Roman"/>
          <w:color w:val="000000"/>
          <w:sz w:val="32"/>
          <w:szCs w:val="32"/>
          <w:lang w:val="en" w:eastAsia="zh-Hans"/>
        </w:rPr>
        <w:t>对</w:t>
      </w:r>
      <w:r>
        <w:rPr>
          <w:rFonts w:ascii="Times New Roman" w:eastAsia="仿宋_GB2312" w:hAnsi="Times New Roman" w:cs="Times New Roman"/>
          <w:sz w:val="32"/>
          <w:szCs w:val="32"/>
        </w:rPr>
        <w:t>合作机构费率</w:t>
      </w:r>
      <w:r>
        <w:rPr>
          <w:rFonts w:ascii="Times New Roman" w:eastAsia="仿宋_GB2312" w:hAnsi="Times New Roman" w:cs="Times New Roman" w:hint="eastAsia"/>
          <w:sz w:val="32"/>
          <w:szCs w:val="32"/>
        </w:rPr>
        <w:t>等</w:t>
      </w:r>
      <w:r>
        <w:rPr>
          <w:rFonts w:ascii="Times New Roman" w:eastAsia="仿宋_GB2312" w:hAnsi="Times New Roman" w:cs="Times New Roman"/>
          <w:sz w:val="32"/>
          <w:szCs w:val="32"/>
        </w:rPr>
        <w:t>条款进行修改，</w:t>
      </w:r>
      <w:r>
        <w:rPr>
          <w:rFonts w:ascii="Times New Roman" w:eastAsia="仿宋_GB2312" w:hAnsi="Times New Roman" w:cs="Times New Roman" w:hint="eastAsia"/>
          <w:sz w:val="32"/>
          <w:szCs w:val="32"/>
        </w:rPr>
        <w:t>合作机构中增加风险补偿资金池运营服务机构</w:t>
      </w:r>
      <w:r>
        <w:rPr>
          <w:rFonts w:ascii="Times New Roman" w:eastAsia="仿宋_GB2312" w:hAnsi="Times New Roman" w:cs="Times New Roman"/>
          <w:sz w:val="32"/>
          <w:szCs w:val="32"/>
          <w:lang w:val="en"/>
        </w:rPr>
        <w:t>、</w:t>
      </w:r>
      <w:r>
        <w:rPr>
          <w:rFonts w:ascii="Times New Roman" w:eastAsia="仿宋_GB2312" w:hAnsi="Times New Roman" w:cs="Times New Roman" w:hint="eastAsia"/>
          <w:sz w:val="32"/>
          <w:szCs w:val="32"/>
        </w:rPr>
        <w:t>信用增进机构</w:t>
      </w:r>
      <w:r>
        <w:rPr>
          <w:rFonts w:ascii="Times New Roman" w:eastAsia="仿宋_GB2312" w:hAnsi="Times New Roman" w:cs="Times New Roman"/>
          <w:sz w:val="32"/>
          <w:szCs w:val="32"/>
          <w:lang w:val="en"/>
        </w:rPr>
        <w:t>和小贷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具体修改如下：</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（一）将第一款的第二项修改为：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中小微企业质押贷款余额近两年保持一定的增长，且加权平均贷款利率上浮不超过基准利率的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（不含银行承担的评估费）。针对科技型中小微企业具有优惠的授信条件及相关政策。</w:t>
      </w:r>
      <w:r>
        <w:rPr>
          <w:rFonts w:ascii="Times New Roman" w:eastAsia="仿宋_GB2312" w:hAnsi="Times New Roman" w:cs="Times New Roman"/>
          <w:sz w:val="32"/>
          <w:szCs w:val="32"/>
        </w:rPr>
        <w:t>”</w:t>
      </w:r>
    </w:p>
    <w:p w:rsidR="009D3319" w:rsidRDefault="00BD3B94">
      <w:pPr>
        <w:spacing w:line="56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（二）将第二款的第四项修改为：</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rPr>
        <w:t>知识产权评估机构评估费率不超过知识产权融资额的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，同时负责知识产权质押手续办理</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w:t>
      </w:r>
    </w:p>
    <w:p w:rsidR="009D3319" w:rsidRDefault="00BD3B94">
      <w:pPr>
        <w:spacing w:line="56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sz w:val="32"/>
          <w:szCs w:val="32"/>
          <w:lang w:eastAsia="zh-Hans"/>
        </w:rPr>
        <w:t>（三）将第三款的第三项修改为：</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保险机构费率不得超过知识产权融资额</w:t>
      </w:r>
      <w:r>
        <w:rPr>
          <w:rFonts w:ascii="Times New Roman" w:eastAsia="仿宋_GB2312" w:hAnsi="Times New Roman" w:cs="Times New Roman" w:hint="eastAsia"/>
          <w:sz w:val="32"/>
          <w:szCs w:val="32"/>
          <w:lang w:eastAsia="zh-Hans"/>
        </w:rPr>
        <w:t>的</w:t>
      </w:r>
      <w:r>
        <w:rPr>
          <w:rFonts w:ascii="Times New Roman" w:eastAsia="仿宋_GB2312" w:hAnsi="Times New Roman" w:cs="Times New Roman"/>
          <w:sz w:val="32"/>
          <w:szCs w:val="32"/>
          <w:lang w:eastAsia="zh-Hans"/>
        </w:rPr>
        <w:t>1.5%</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rPr>
        <w:t>”</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（四）将第四款的第三项修改为：</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担保机构费率不超过知识产权融资额的</w:t>
      </w:r>
      <w:r>
        <w:rPr>
          <w:rFonts w:ascii="Times New Roman" w:eastAsia="仿宋_GB2312" w:hAnsi="Times New Roman" w:cs="Times New Roman"/>
          <w:sz w:val="32"/>
          <w:szCs w:val="32"/>
          <w:lang w:eastAsia="zh-Hans"/>
        </w:rPr>
        <w:t>1.5%</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rPr>
        <w:t>”</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（五）将第五款修改为：“五、融资租赁、信托、保理、小贷等</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（一）鼓励其他具有知识产权质押融资产品及服务能力的持牌金融机构为东丽区企业提供知识产权融资支持；</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（二）具有开展融资业务的资质，且注册资本金不低于</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万元，风控能力强；</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（三）设有专营部门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团队开展业务，且费率不得高于市场同类业务的平均水平。”</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（六）增加一款，作为第六款：“六、风险补偿资金池运营服务机构</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（一）依法登记设立，具有独立法人资格的企事业单位或社</w:t>
      </w:r>
      <w:r>
        <w:rPr>
          <w:rFonts w:ascii="Times New Roman" w:eastAsia="仿宋_GB2312" w:hAnsi="Times New Roman" w:cs="Times New Roman" w:hint="eastAsia"/>
          <w:sz w:val="32"/>
          <w:szCs w:val="32"/>
        </w:rPr>
        <w:lastRenderedPageBreak/>
        <w:t>会组织，熟悉东丽区产业情况、企业知识产权质押融资情况，且无违法违规情况；</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（二）具有丰</w:t>
      </w:r>
      <w:r>
        <w:rPr>
          <w:rFonts w:ascii="Times New Roman" w:eastAsia="仿宋_GB2312" w:hAnsi="Times New Roman" w:cs="Times New Roman" w:hint="eastAsia"/>
          <w:sz w:val="32"/>
          <w:szCs w:val="32"/>
        </w:rPr>
        <w:t>富的知识产权金融服务经验和经营团队，熟悉风险补偿资金贷款的业务流程、风控管理，能够牵头推动企业知识产权与金融的融合发展，制定配套服务方案；</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（三）运营服务机构在区金融局的指导下制定考核办法，对合作银行等金融机构的风险补偿资金贷款业务情况进行月度统计、考核。”</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（七）增加一款，作为第七款：“七、信用增进机构</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（一）鼓励商业银行及其他具有信用增进业务能力的机构，为东丽区企业知识产权证券化产品或其对应的基础资产提供信用增进支持；</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（二）能够为东丽区企业知识产权证券化产品或其对应的基础资产承担信用风险，为知识产权证</w:t>
      </w:r>
      <w:r>
        <w:rPr>
          <w:rFonts w:ascii="Times New Roman" w:eastAsia="仿宋_GB2312" w:hAnsi="Times New Roman" w:cs="Times New Roman" w:hint="eastAsia"/>
          <w:sz w:val="32"/>
          <w:szCs w:val="32"/>
        </w:rPr>
        <w:t>券化产品的发行提供信用支持；</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（三）信用增进费率不超过知识产权融资额的</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w:t>
      </w:r>
    </w:p>
    <w:p w:rsidR="009D3319" w:rsidRDefault="00BD3B94">
      <w:pPr>
        <w:spacing w:line="560" w:lineRule="exact"/>
        <w:ind w:firstLineChars="200" w:firstLine="640"/>
        <w:rPr>
          <w:rFonts w:ascii="Times New Roman" w:eastAsia="仿宋_GB2312" w:hAnsi="Times New Roman" w:cs="Times New Roman"/>
          <w:color w:val="000000"/>
          <w:sz w:val="32"/>
          <w:szCs w:val="32"/>
          <w:lang w:eastAsia="zh-Hans"/>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将第十四条改为第十五条，修改为：</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资</w:t>
      </w:r>
      <w:r>
        <w:rPr>
          <w:rFonts w:ascii="Times New Roman" w:eastAsia="仿宋_GB2312" w:hAnsi="Times New Roman" w:cs="Times New Roman"/>
          <w:sz w:val="32"/>
          <w:szCs w:val="32"/>
        </w:rPr>
        <w:t>金池用于东丽区企业知识产权质押融资业务的风险补偿，采取风险分担机制。企业知识产权质押融资出现违约风险后，</w:t>
      </w:r>
      <w:r>
        <w:rPr>
          <w:rFonts w:ascii="Times New Roman" w:eastAsia="仿宋_GB2312" w:hAnsi="Times New Roman" w:cs="Times New Roman"/>
          <w:sz w:val="32"/>
          <w:szCs w:val="32"/>
        </w:rPr>
        <w:t>单笔融资业务</w:t>
      </w:r>
      <w:r>
        <w:rPr>
          <w:rFonts w:ascii="Times New Roman" w:eastAsia="仿宋_GB2312" w:hAnsi="Times New Roman" w:cs="Times New Roman"/>
          <w:color w:val="000000"/>
          <w:sz w:val="32"/>
          <w:szCs w:val="32"/>
        </w:rPr>
        <w:t>风险敞口余额的</w:t>
      </w:r>
      <w:r>
        <w:rPr>
          <w:rFonts w:ascii="Times New Roman" w:eastAsia="仿宋_GB2312" w:hAnsi="Times New Roman" w:cs="Times New Roman"/>
          <w:color w:val="000000"/>
          <w:sz w:val="32"/>
          <w:szCs w:val="32"/>
        </w:rPr>
        <w:t>50%</w:t>
      </w:r>
      <w:r>
        <w:rPr>
          <w:rFonts w:ascii="Times New Roman" w:eastAsia="仿宋_GB2312" w:hAnsi="Times New Roman" w:cs="Times New Roman"/>
          <w:color w:val="000000"/>
          <w:sz w:val="32"/>
          <w:szCs w:val="32"/>
        </w:rPr>
        <w:t>由知识产权质押融资风险补偿</w:t>
      </w:r>
      <w:r>
        <w:rPr>
          <w:rFonts w:ascii="Times New Roman" w:eastAsia="仿宋_GB2312" w:hAnsi="Times New Roman" w:cs="Times New Roman"/>
          <w:color w:val="000000"/>
          <w:sz w:val="32"/>
          <w:szCs w:val="32"/>
        </w:rPr>
        <w:t>金承担、风险敞口余额的</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由银行或担保</w:t>
      </w:r>
      <w:r>
        <w:rPr>
          <w:rFonts w:ascii="Times New Roman" w:eastAsia="仿宋_GB2312" w:hAnsi="Times New Roman" w:cs="Times New Roman"/>
          <w:color w:val="000000"/>
          <w:sz w:val="32"/>
          <w:szCs w:val="32"/>
          <w:lang w:eastAsia="zh-Hans"/>
        </w:rPr>
        <w:t>或保险</w:t>
      </w:r>
      <w:r>
        <w:rPr>
          <w:rFonts w:ascii="Times New Roman" w:eastAsia="仿宋_GB2312" w:hAnsi="Times New Roman" w:cs="Times New Roman"/>
          <w:color w:val="000000"/>
          <w:sz w:val="32"/>
          <w:szCs w:val="32"/>
        </w:rPr>
        <w:t>机构</w:t>
      </w:r>
      <w:r>
        <w:rPr>
          <w:rFonts w:ascii="Times New Roman" w:eastAsia="仿宋_GB2312" w:hAnsi="Times New Roman" w:cs="Times New Roman" w:hint="eastAsia"/>
          <w:color w:val="000000"/>
          <w:sz w:val="32"/>
          <w:szCs w:val="32"/>
        </w:rPr>
        <w:t>或信用增进机构</w:t>
      </w:r>
      <w:r>
        <w:rPr>
          <w:rFonts w:ascii="Times New Roman" w:eastAsia="仿宋_GB2312" w:hAnsi="Times New Roman" w:cs="Times New Roman"/>
          <w:color w:val="000000"/>
          <w:sz w:val="32"/>
          <w:szCs w:val="32"/>
        </w:rPr>
        <w:t>承担、评估机构按风险敞口余额的</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承担补偿责任。</w:t>
      </w:r>
      <w:r>
        <w:rPr>
          <w:rFonts w:ascii="Times New Roman" w:eastAsia="仿宋_GB2312" w:hAnsi="Times New Roman" w:cs="Times New Roman"/>
          <w:color w:val="000000"/>
          <w:sz w:val="32"/>
          <w:szCs w:val="32"/>
          <w:lang w:eastAsia="zh-Hans"/>
        </w:rPr>
        <w:t>”</w:t>
      </w:r>
    </w:p>
    <w:p w:rsidR="009D3319" w:rsidRDefault="00BD3B94">
      <w:pPr>
        <w:spacing w:line="560" w:lineRule="exact"/>
        <w:ind w:firstLineChars="200" w:firstLine="640"/>
        <w:rPr>
          <w:rFonts w:ascii="Times New Roman" w:eastAsia="仿宋_GB2312" w:hAnsi="Times New Roman" w:cs="Times New Roman"/>
          <w:color w:val="000000"/>
          <w:sz w:val="32"/>
          <w:szCs w:val="32"/>
          <w:lang w:eastAsia="zh-Hans"/>
        </w:rPr>
      </w:pPr>
      <w:r>
        <w:rPr>
          <w:rFonts w:ascii="Times New Roman" w:eastAsia="仿宋_GB2312" w:hAnsi="Times New Roman" w:cs="Times New Roman" w:hint="eastAsia"/>
          <w:color w:val="000000"/>
          <w:sz w:val="32"/>
          <w:szCs w:val="32"/>
        </w:rPr>
        <w:lastRenderedPageBreak/>
        <w:t>五</w:t>
      </w:r>
      <w:r>
        <w:rPr>
          <w:rFonts w:ascii="Times New Roman" w:eastAsia="仿宋_GB2312" w:hAnsi="Times New Roman" w:cs="Times New Roman"/>
          <w:color w:val="000000"/>
          <w:sz w:val="32"/>
          <w:szCs w:val="32"/>
          <w:lang w:eastAsia="zh-Hans"/>
        </w:rPr>
        <w:t>、将第十六条改为第十七条，修改为：</w:t>
      </w:r>
      <w:r>
        <w:rPr>
          <w:rFonts w:ascii="Times New Roman" w:eastAsia="仿宋_GB2312" w:hAnsi="Times New Roman" w:cs="Times New Roman"/>
          <w:color w:val="000000"/>
          <w:sz w:val="32"/>
          <w:szCs w:val="32"/>
          <w:lang w:eastAsia="zh-Hans"/>
        </w:rPr>
        <w:t>“</w:t>
      </w:r>
      <w:r>
        <w:rPr>
          <w:rFonts w:ascii="Times New Roman" w:eastAsia="仿宋_GB2312" w:hAnsi="Times New Roman" w:cs="Times New Roman"/>
          <w:color w:val="000000"/>
          <w:sz w:val="32"/>
          <w:szCs w:val="32"/>
          <w:lang w:eastAsia="zh-Hans"/>
        </w:rPr>
        <w:t>贷</w:t>
      </w:r>
      <w:r>
        <w:rPr>
          <w:rFonts w:ascii="Times New Roman" w:eastAsia="仿宋_GB2312" w:hAnsi="Times New Roman" w:cs="Times New Roman"/>
          <w:sz w:val="32"/>
          <w:szCs w:val="32"/>
        </w:rPr>
        <w:t>款企业如发生融资款偿还逾期，银行在逾期后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个工作日内向东丽区金融局发出书面通知；融资款</w:t>
      </w:r>
      <w:r>
        <w:rPr>
          <w:rFonts w:ascii="Times New Roman" w:eastAsia="仿宋_GB2312" w:hAnsi="Times New Roman" w:cs="Times New Roman"/>
          <w:color w:val="000000"/>
          <w:sz w:val="32"/>
          <w:szCs w:val="32"/>
        </w:rPr>
        <w:t>本金或利息发生逾期</w:t>
      </w:r>
      <w:r>
        <w:rPr>
          <w:rFonts w:ascii="Times New Roman" w:eastAsia="仿宋_GB2312" w:hAnsi="Times New Roman" w:cs="Times New Roman"/>
          <w:sz w:val="32"/>
          <w:szCs w:val="32"/>
        </w:rPr>
        <w:t>或担保机构代偿企业融资款违约本金</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天内，商业银行或已经履行代偿责任的担保机构向东丽区金融局提供《违约情况说明》，包括借款企业名称、违约时间、本金损失金额，申请风险补偿资金池按约定代偿；东丽区金融局收到《违约情况说明》后</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个工作日内向资金托管银行出具《风险补偿金补偿确认函》，从风险补偿金账户中划出该笔资金，补偿商业银行或担保机构风险损失。具体补偿比例为：单笔款项下知识产权质押融资款未偿付本金的</w:t>
      </w:r>
      <w:r>
        <w:rPr>
          <w:rFonts w:ascii="Times New Roman" w:eastAsia="仿宋_GB2312" w:hAnsi="Times New Roman" w:cs="Times New Roman"/>
          <w:sz w:val="32"/>
          <w:szCs w:val="32"/>
        </w:rPr>
        <w:t>50%</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w:t>
      </w:r>
    </w:p>
    <w:p w:rsidR="009D3319" w:rsidRDefault="00BD3B94">
      <w:pPr>
        <w:spacing w:line="560" w:lineRule="exact"/>
        <w:ind w:firstLineChars="200" w:firstLine="640"/>
        <w:rPr>
          <w:rFonts w:ascii="Times New Roman" w:eastAsia="仿宋_GB2312" w:hAnsi="Times New Roman" w:cs="Times New Roman"/>
          <w:sz w:val="32"/>
          <w:szCs w:val="32"/>
          <w:lang w:eastAsia="zh-Hans"/>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lang w:eastAsia="zh-Hans"/>
        </w:rPr>
        <w:t>、增加一条，作为第十八条：</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rPr>
        <w:t>当企业发生融资款违约情形后，商业银行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担保机构</w:t>
      </w:r>
      <w:r>
        <w:rPr>
          <w:rFonts w:ascii="Times New Roman" w:eastAsia="仿宋_GB2312" w:hAnsi="Times New Roman" w:cs="Times New Roman" w:hint="eastAsia"/>
          <w:sz w:val="32"/>
          <w:szCs w:val="32"/>
        </w:rPr>
        <w:t>等金融机构</w:t>
      </w:r>
      <w:r>
        <w:rPr>
          <w:rFonts w:ascii="Times New Roman" w:eastAsia="仿宋_GB2312" w:hAnsi="Times New Roman" w:cs="Times New Roman"/>
          <w:sz w:val="32"/>
          <w:szCs w:val="32"/>
        </w:rPr>
        <w:t>按照工作流程完成各项法律程序，包括但不限于通过诉讼取得法院判决</w:t>
      </w:r>
      <w:r>
        <w:rPr>
          <w:rFonts w:ascii="Times New Roman" w:eastAsia="仿宋_GB2312" w:hAnsi="Times New Roman" w:cs="Times New Roman"/>
          <w:sz w:val="32"/>
          <w:szCs w:val="32"/>
        </w:rPr>
        <w:t>书、调解书等。同时可委托评估机构对质押知识产权依法进行处置，处置费用为不超过实际追回所得款项的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，剩余所得</w:t>
      </w:r>
      <w:r>
        <w:rPr>
          <w:rFonts w:ascii="Times New Roman" w:eastAsia="仿宋_GB2312" w:hAnsi="Times New Roman" w:cs="Times New Roman"/>
          <w:sz w:val="32"/>
          <w:szCs w:val="32"/>
        </w:rPr>
        <w:t>按分担比例及时返还风险补偿资金池及各风险分担方，如有剩余继续偿还银行融资款利息损失。银行</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担保机构</w:t>
      </w:r>
      <w:r>
        <w:rPr>
          <w:rFonts w:ascii="Times New Roman" w:eastAsia="仿宋_GB2312" w:hAnsi="Times New Roman" w:cs="Times New Roman" w:hint="eastAsia"/>
          <w:sz w:val="32"/>
          <w:szCs w:val="32"/>
        </w:rPr>
        <w:t>等金融机构</w:t>
      </w:r>
      <w:r>
        <w:rPr>
          <w:rFonts w:ascii="Times New Roman" w:eastAsia="仿宋_GB2312" w:hAnsi="Times New Roman" w:cs="Times New Roman"/>
          <w:sz w:val="32"/>
          <w:szCs w:val="32"/>
        </w:rPr>
        <w:t>应加强对不良融资款的管理和追索工作，不得擅自放弃追索，但法律、行政法规或司法机关另有规定或要求的除外。东丽区金融局及相关部门应配合对借款企业进行</w:t>
      </w:r>
      <w:r>
        <w:rPr>
          <w:rFonts w:ascii="Times New Roman" w:eastAsia="仿宋_GB2312" w:hAnsi="Times New Roman" w:cs="Times New Roman"/>
          <w:sz w:val="32"/>
          <w:szCs w:val="32"/>
        </w:rPr>
        <w:t>追索，以实现全额追偿的目的</w:t>
      </w:r>
      <w:r>
        <w:rPr>
          <w:rFonts w:ascii="Times New Roman" w:eastAsia="仿宋_GB2312" w:hAnsi="Times New Roman" w:cs="Times New Roman"/>
          <w:sz w:val="32"/>
          <w:szCs w:val="32"/>
          <w:lang w:eastAsia="zh-Hans"/>
        </w:rPr>
        <w:t>。</w:t>
      </w:r>
      <w:r>
        <w:rPr>
          <w:rFonts w:ascii="Times New Roman" w:eastAsia="仿宋_GB2312" w:hAnsi="Times New Roman" w:cs="Times New Roman"/>
          <w:sz w:val="32"/>
          <w:szCs w:val="32"/>
          <w:lang w:eastAsia="zh-Hans"/>
        </w:rPr>
        <w:t>”</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本</w:t>
      </w:r>
      <w:r>
        <w:rPr>
          <w:rFonts w:ascii="Times New Roman" w:eastAsia="仿宋_GB2312" w:hAnsi="Times New Roman" w:cs="Times New Roman" w:hint="eastAsia"/>
          <w:sz w:val="32"/>
          <w:szCs w:val="32"/>
        </w:rPr>
        <w:t>修改意见</w:t>
      </w:r>
      <w:r>
        <w:rPr>
          <w:rFonts w:ascii="Times New Roman" w:eastAsia="仿宋_GB2312" w:hAnsi="Times New Roman" w:cs="Times New Roman"/>
          <w:sz w:val="32"/>
          <w:szCs w:val="32"/>
          <w:lang w:eastAsia="zh-Hans"/>
        </w:rPr>
        <w:t>自</w:t>
      </w:r>
      <w:r>
        <w:rPr>
          <w:rFonts w:ascii="Times New Roman" w:eastAsia="仿宋_GB2312" w:hAnsi="Times New Roman" w:cs="Times New Roman" w:hint="eastAsia"/>
          <w:sz w:val="32"/>
          <w:szCs w:val="32"/>
        </w:rPr>
        <w:t>发布之日</w:t>
      </w:r>
      <w:r>
        <w:rPr>
          <w:rFonts w:ascii="Times New Roman" w:eastAsia="仿宋_GB2312" w:hAnsi="Times New Roman" w:cs="Times New Roman"/>
          <w:sz w:val="32"/>
          <w:szCs w:val="32"/>
          <w:lang w:eastAsia="zh-Hans"/>
        </w:rPr>
        <w:t>起</w:t>
      </w:r>
      <w:r>
        <w:rPr>
          <w:rFonts w:ascii="Times New Roman" w:eastAsia="仿宋_GB2312" w:hAnsi="Times New Roman" w:cs="Times New Roman" w:hint="eastAsia"/>
          <w:sz w:val="32"/>
          <w:szCs w:val="32"/>
        </w:rPr>
        <w:t>施</w:t>
      </w:r>
      <w:r>
        <w:rPr>
          <w:rFonts w:ascii="Times New Roman" w:eastAsia="仿宋_GB2312" w:hAnsi="Times New Roman" w:cs="Times New Roman"/>
          <w:sz w:val="32"/>
          <w:szCs w:val="32"/>
          <w:lang w:eastAsia="zh-Hans"/>
        </w:rPr>
        <w:t>行</w:t>
      </w:r>
      <w:r>
        <w:rPr>
          <w:rFonts w:ascii="Times New Roman" w:eastAsia="仿宋_GB2312" w:hAnsi="Times New Roman" w:cs="Times New Roman" w:hint="eastAsia"/>
          <w:sz w:val="32"/>
          <w:szCs w:val="32"/>
        </w:rPr>
        <w:t>。</w:t>
      </w:r>
    </w:p>
    <w:p w:rsidR="009D3319" w:rsidRDefault="00BD3B9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eastAsia="zh-Hans"/>
        </w:rPr>
        <w:t>《东丽区知识产权质押融资风险补偿资金池管理办法》根据</w:t>
      </w:r>
      <w:r>
        <w:rPr>
          <w:rFonts w:ascii="Times New Roman" w:eastAsia="仿宋_GB2312" w:hAnsi="Times New Roman" w:cs="Times New Roman"/>
          <w:sz w:val="32"/>
          <w:szCs w:val="32"/>
          <w:lang w:eastAsia="zh-Hans"/>
        </w:rPr>
        <w:lastRenderedPageBreak/>
        <w:t>本修改意见作相应修改并对条款顺序作相应调整</w:t>
      </w:r>
      <w:r>
        <w:rPr>
          <w:rFonts w:ascii="Times New Roman" w:eastAsia="仿宋_GB2312" w:hAnsi="Times New Roman" w:cs="Times New Roman" w:hint="eastAsia"/>
          <w:sz w:val="32"/>
          <w:szCs w:val="32"/>
        </w:rPr>
        <w:t>。</w:t>
      </w:r>
    </w:p>
    <w:p w:rsidR="009D3319" w:rsidRDefault="009D3319">
      <w:pPr>
        <w:spacing w:line="560" w:lineRule="exact"/>
        <w:ind w:firstLineChars="200" w:firstLine="640"/>
        <w:rPr>
          <w:rFonts w:ascii="Times New Roman" w:eastAsia="仿宋_GB2312" w:hAnsi="Times New Roman" w:cs="Times New Roman"/>
          <w:sz w:val="32"/>
          <w:szCs w:val="32"/>
        </w:rPr>
      </w:pPr>
    </w:p>
    <w:p w:rsidR="009D3319" w:rsidRDefault="009D3319">
      <w:pPr>
        <w:spacing w:line="560" w:lineRule="exact"/>
        <w:ind w:firstLineChars="200" w:firstLine="640"/>
        <w:rPr>
          <w:rFonts w:ascii="Times New Roman" w:eastAsia="仿宋_GB2312" w:hAnsi="Times New Roman" w:cs="Times New Roman"/>
          <w:sz w:val="32"/>
          <w:szCs w:val="32"/>
        </w:rPr>
      </w:pPr>
    </w:p>
    <w:p w:rsidR="009D3319" w:rsidRDefault="00BD3B94">
      <w:pPr>
        <w:spacing w:line="440" w:lineRule="exact"/>
        <w:jc w:val="left"/>
        <w:rPr>
          <w:rFonts w:ascii="仿宋_GB2312" w:eastAsia="仿宋_GB2312"/>
          <w:sz w:val="32"/>
          <w:szCs w:val="32"/>
        </w:rPr>
      </w:pPr>
      <w:r>
        <w:rPr>
          <w:rFonts w:ascii="仿宋_GB2312" w:eastAsia="仿宋_GB2312" w:hint="eastAsia"/>
          <w:sz w:val="32"/>
          <w:szCs w:val="32"/>
        </w:rPr>
        <w:t>区金融工作局</w:t>
      </w:r>
      <w:r>
        <w:rPr>
          <w:rFonts w:ascii="仿宋_GB2312" w:eastAsia="仿宋_GB2312" w:hint="eastAsia"/>
          <w:sz w:val="32"/>
          <w:szCs w:val="32"/>
        </w:rPr>
        <w:t xml:space="preserve">         </w:t>
      </w:r>
      <w:r>
        <w:rPr>
          <w:rFonts w:ascii="仿宋_GB2312" w:eastAsia="仿宋_GB2312" w:hint="eastAsia"/>
          <w:sz w:val="32"/>
          <w:szCs w:val="32"/>
        </w:rPr>
        <w:t>区知识产权局</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区财政局</w:t>
      </w:r>
      <w:r>
        <w:rPr>
          <w:rFonts w:ascii="仿宋_GB2312" w:eastAsia="仿宋_GB2312" w:hint="eastAsia"/>
          <w:sz w:val="32"/>
          <w:szCs w:val="32"/>
        </w:rPr>
        <w:t xml:space="preserve"> </w:t>
      </w:r>
      <w:r>
        <w:rPr>
          <w:rFonts w:ascii="仿宋_GB2312" w:eastAsia="仿宋_GB2312"/>
          <w:sz w:val="32"/>
          <w:szCs w:val="32"/>
        </w:rPr>
        <w:t xml:space="preserve">  </w:t>
      </w:r>
    </w:p>
    <w:p w:rsidR="009D3319" w:rsidRDefault="009D3319">
      <w:pPr>
        <w:spacing w:line="440" w:lineRule="exact"/>
        <w:jc w:val="left"/>
        <w:rPr>
          <w:rFonts w:ascii="仿宋_GB2312" w:eastAsia="仿宋_GB2312"/>
          <w:sz w:val="32"/>
          <w:szCs w:val="32"/>
        </w:rPr>
      </w:pPr>
    </w:p>
    <w:p w:rsidR="009D3319" w:rsidRDefault="009D3319">
      <w:pPr>
        <w:spacing w:line="440" w:lineRule="exact"/>
        <w:jc w:val="left"/>
        <w:rPr>
          <w:rFonts w:ascii="仿宋_GB2312" w:eastAsia="仿宋_GB2312"/>
          <w:sz w:val="32"/>
          <w:szCs w:val="32"/>
        </w:rPr>
      </w:pPr>
    </w:p>
    <w:p w:rsidR="009D3319" w:rsidRDefault="00BD3B94">
      <w:pPr>
        <w:spacing w:line="440" w:lineRule="exact"/>
        <w:ind w:firstLineChars="1677" w:firstLine="5366"/>
        <w:rPr>
          <w:rFonts w:ascii="仿宋_GB2312" w:eastAsia="仿宋_GB2312"/>
          <w:sz w:val="32"/>
          <w:szCs w:val="32"/>
          <w:lang w:eastAsia="zh-Hans"/>
        </w:rPr>
      </w:pPr>
      <w:r>
        <w:rPr>
          <w:rFonts w:ascii="仿宋_GB2312" w:eastAsia="仿宋_GB2312" w:hint="eastAsia"/>
          <w:sz w:val="32"/>
          <w:szCs w:val="32"/>
        </w:rPr>
        <w:t>2</w:t>
      </w:r>
      <w:r>
        <w:rPr>
          <w:rFonts w:ascii="仿宋_GB2312" w:eastAsia="仿宋_GB2312"/>
          <w:sz w:val="32"/>
          <w:szCs w:val="32"/>
        </w:rPr>
        <w:t>02</w:t>
      </w:r>
      <w:r>
        <w:rPr>
          <w:rFonts w:ascii="仿宋_GB2312" w:eastAsia="仿宋_GB2312" w:hint="eastAsia"/>
          <w:sz w:val="32"/>
          <w:szCs w:val="32"/>
        </w:rPr>
        <w:t>2</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28</w:t>
      </w:r>
      <w:r>
        <w:rPr>
          <w:rFonts w:ascii="仿宋_GB2312" w:eastAsia="仿宋_GB2312" w:hint="eastAsia"/>
          <w:sz w:val="32"/>
          <w:szCs w:val="32"/>
        </w:rPr>
        <w:t>日</w:t>
      </w:r>
      <w:r>
        <w:rPr>
          <w:rFonts w:ascii="仿宋_GB2312" w:eastAsia="仿宋_GB2312" w:hint="eastAsia"/>
          <w:sz w:val="32"/>
          <w:szCs w:val="32"/>
        </w:rPr>
        <w:t xml:space="preserve"> </w:t>
      </w:r>
      <w:r>
        <w:rPr>
          <w:rFonts w:ascii="仿宋_GB2312" w:eastAsia="仿宋_GB2312"/>
          <w:sz w:val="32"/>
          <w:szCs w:val="32"/>
        </w:rPr>
        <w:t xml:space="preserve">   </w:t>
      </w:r>
    </w:p>
    <w:sectPr w:rsidR="009D3319">
      <w:footerReference w:type="even" r:id="rId7"/>
      <w:footerReference w:type="default" r:id="rId8"/>
      <w:pgSz w:w="11906" w:h="16838"/>
      <w:pgMar w:top="2098" w:right="1474" w:bottom="1984"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94" w:rsidRDefault="00BD3B94">
      <w:r>
        <w:separator/>
      </w:r>
    </w:p>
  </w:endnote>
  <w:endnote w:type="continuationSeparator" w:id="0">
    <w:p w:rsidR="00BD3B94" w:rsidRDefault="00BD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Tahoma">
    <w:altName w:val="Droid 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755518"/>
    </w:sdtPr>
    <w:sdtEndPr>
      <w:rPr>
        <w:rFonts w:ascii="Tahoma" w:hAnsi="Tahoma" w:cs="Tahoma"/>
        <w:sz w:val="30"/>
        <w:szCs w:val="30"/>
      </w:rPr>
    </w:sdtEndPr>
    <w:sdtContent>
      <w:p w:rsidR="009D3319" w:rsidRDefault="00BD3B94">
        <w:pPr>
          <w:pStyle w:val="a5"/>
          <w:rPr>
            <w:rFonts w:ascii="Tahoma" w:hAnsi="Tahoma" w:cs="Tahoma"/>
            <w:sz w:val="30"/>
            <w:szCs w:val="30"/>
          </w:rPr>
        </w:pPr>
        <w:r>
          <w:rPr>
            <w:rFonts w:ascii="Tahoma" w:hAnsi="Tahoma" w:cs="Tahoma"/>
            <w:sz w:val="30"/>
            <w:szCs w:val="30"/>
          </w:rPr>
          <w:fldChar w:fldCharType="begin"/>
        </w:r>
        <w:r>
          <w:rPr>
            <w:rFonts w:ascii="Tahoma" w:hAnsi="Tahoma" w:cs="Tahoma"/>
            <w:sz w:val="30"/>
            <w:szCs w:val="30"/>
          </w:rPr>
          <w:instrText>PAGE   \* MERGEFORMAT</w:instrText>
        </w:r>
        <w:r>
          <w:rPr>
            <w:rFonts w:ascii="Tahoma" w:hAnsi="Tahoma" w:cs="Tahoma"/>
            <w:sz w:val="30"/>
            <w:szCs w:val="30"/>
          </w:rPr>
          <w:fldChar w:fldCharType="separate"/>
        </w:r>
        <w:r w:rsidR="009141C8" w:rsidRPr="009141C8">
          <w:rPr>
            <w:rFonts w:ascii="Tahoma" w:hAnsi="Tahoma" w:cs="Tahoma"/>
            <w:noProof/>
            <w:sz w:val="30"/>
            <w:szCs w:val="30"/>
            <w:lang w:val="zh-CN"/>
          </w:rPr>
          <w:t>-</w:t>
        </w:r>
        <w:r w:rsidR="009141C8">
          <w:rPr>
            <w:rFonts w:ascii="Tahoma" w:hAnsi="Tahoma" w:cs="Tahoma"/>
            <w:noProof/>
            <w:sz w:val="30"/>
            <w:szCs w:val="30"/>
          </w:rPr>
          <w:t xml:space="preserve"> 4 -</w:t>
        </w:r>
        <w:r>
          <w:rPr>
            <w:rFonts w:ascii="Tahoma" w:hAnsi="Tahoma" w:cs="Tahoma"/>
            <w:sz w:val="30"/>
            <w:szCs w:val="30"/>
          </w:rPr>
          <w:fldChar w:fldCharType="end"/>
        </w:r>
      </w:p>
    </w:sdtContent>
  </w:sdt>
  <w:p w:rsidR="009D3319" w:rsidRDefault="009D33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36865"/>
    </w:sdtPr>
    <w:sdtEndPr>
      <w:rPr>
        <w:rFonts w:ascii="Tahoma" w:hAnsi="Tahoma" w:cs="Tahoma"/>
        <w:sz w:val="30"/>
        <w:szCs w:val="30"/>
      </w:rPr>
    </w:sdtEndPr>
    <w:sdtContent>
      <w:p w:rsidR="009D3319" w:rsidRDefault="00BD3B94">
        <w:pPr>
          <w:pStyle w:val="a5"/>
          <w:jc w:val="right"/>
          <w:rPr>
            <w:rFonts w:ascii="Tahoma" w:hAnsi="Tahoma" w:cs="Tahoma"/>
            <w:sz w:val="30"/>
            <w:szCs w:val="30"/>
          </w:rPr>
        </w:pPr>
        <w:r>
          <w:rPr>
            <w:rFonts w:ascii="Tahoma" w:hAnsi="Tahoma" w:cs="Tahoma"/>
            <w:sz w:val="30"/>
            <w:szCs w:val="30"/>
          </w:rPr>
          <w:fldChar w:fldCharType="begin"/>
        </w:r>
        <w:r>
          <w:rPr>
            <w:rFonts w:ascii="Tahoma" w:hAnsi="Tahoma" w:cs="Tahoma"/>
            <w:sz w:val="30"/>
            <w:szCs w:val="30"/>
          </w:rPr>
          <w:instrText>PAGE   \* MERGEFORMAT</w:instrText>
        </w:r>
        <w:r>
          <w:rPr>
            <w:rFonts w:ascii="Tahoma" w:hAnsi="Tahoma" w:cs="Tahoma"/>
            <w:sz w:val="30"/>
            <w:szCs w:val="30"/>
          </w:rPr>
          <w:fldChar w:fldCharType="separate"/>
        </w:r>
        <w:r w:rsidR="009141C8" w:rsidRPr="009141C8">
          <w:rPr>
            <w:rFonts w:ascii="Tahoma" w:hAnsi="Tahoma" w:cs="Tahoma"/>
            <w:noProof/>
            <w:sz w:val="30"/>
            <w:szCs w:val="30"/>
            <w:lang w:val="zh-CN"/>
          </w:rPr>
          <w:t>-</w:t>
        </w:r>
        <w:r w:rsidR="009141C8">
          <w:rPr>
            <w:rFonts w:ascii="Tahoma" w:hAnsi="Tahoma" w:cs="Tahoma"/>
            <w:noProof/>
            <w:sz w:val="30"/>
            <w:szCs w:val="30"/>
          </w:rPr>
          <w:t xml:space="preserve"> 5 -</w:t>
        </w:r>
        <w:r>
          <w:rPr>
            <w:rFonts w:ascii="Tahoma" w:hAnsi="Tahoma" w:cs="Tahoma"/>
            <w:sz w:val="30"/>
            <w:szCs w:val="30"/>
          </w:rPr>
          <w:fldChar w:fldCharType="end"/>
        </w:r>
      </w:p>
    </w:sdtContent>
  </w:sdt>
  <w:p w:rsidR="009D3319" w:rsidRDefault="009D33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94" w:rsidRDefault="00BD3B94">
      <w:r>
        <w:separator/>
      </w:r>
    </w:p>
  </w:footnote>
  <w:footnote w:type="continuationSeparator" w:id="0">
    <w:p w:rsidR="00BD3B94" w:rsidRDefault="00BD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77ED65"/>
    <w:rsid w:val="BFD40F59"/>
    <w:rsid w:val="CE5CFB8E"/>
    <w:rsid w:val="DDAC36AD"/>
    <w:rsid w:val="DFE728AF"/>
    <w:rsid w:val="EA77ED65"/>
    <w:rsid w:val="EECFDFBD"/>
    <w:rsid w:val="EFDE51FC"/>
    <w:rsid w:val="EFFAA40C"/>
    <w:rsid w:val="F37D4B83"/>
    <w:rsid w:val="FF91CD5C"/>
    <w:rsid w:val="FFD1A10B"/>
    <w:rsid w:val="FFF71A99"/>
    <w:rsid w:val="FFFB52B9"/>
    <w:rsid w:val="001F2C66"/>
    <w:rsid w:val="00226688"/>
    <w:rsid w:val="00334F56"/>
    <w:rsid w:val="003B255E"/>
    <w:rsid w:val="0044034E"/>
    <w:rsid w:val="00540BDD"/>
    <w:rsid w:val="006A043C"/>
    <w:rsid w:val="006E2F39"/>
    <w:rsid w:val="007D2186"/>
    <w:rsid w:val="00817BF1"/>
    <w:rsid w:val="009141C8"/>
    <w:rsid w:val="00935BC0"/>
    <w:rsid w:val="009D3319"/>
    <w:rsid w:val="00BD0CD8"/>
    <w:rsid w:val="00BD3B94"/>
    <w:rsid w:val="00CE0CE2"/>
    <w:rsid w:val="00E21367"/>
    <w:rsid w:val="00E4246C"/>
    <w:rsid w:val="13F30386"/>
    <w:rsid w:val="250749B9"/>
    <w:rsid w:val="3F4D910B"/>
    <w:rsid w:val="67FF10DA"/>
    <w:rsid w:val="68EF02A9"/>
    <w:rsid w:val="6F758845"/>
    <w:rsid w:val="707D6603"/>
    <w:rsid w:val="7365F138"/>
    <w:rsid w:val="76BF3A9D"/>
    <w:rsid w:val="76FA6171"/>
    <w:rsid w:val="7779DDD7"/>
    <w:rsid w:val="7B0B0707"/>
    <w:rsid w:val="7DBFAD04"/>
    <w:rsid w:val="7DFF6912"/>
    <w:rsid w:val="7EF51DAD"/>
    <w:rsid w:val="7FAA34B7"/>
    <w:rsid w:val="7FBF6B64"/>
    <w:rsid w:val="7FEFE6CF"/>
    <w:rsid w:val="9E77B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E4E432D-393E-4E5C-ABAD-AB7E55BB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Pr>
      <w:b/>
      <w:bCs/>
    </w:rPr>
  </w:style>
  <w:style w:type="character" w:styleId="a8">
    <w:name w:val="annotation reference"/>
    <w:basedOn w:val="a0"/>
    <w:qFormat/>
    <w:rPr>
      <w:sz w:val="21"/>
      <w:szCs w:val="21"/>
    </w:rPr>
  </w:style>
  <w:style w:type="character" w:customStyle="1" w:styleId="Char">
    <w:name w:val="批注文字 Char"/>
    <w:basedOn w:val="a0"/>
    <w:link w:val="a3"/>
    <w:qFormat/>
    <w:rPr>
      <w:kern w:val="2"/>
      <w:sz w:val="21"/>
      <w:szCs w:val="24"/>
    </w:rPr>
  </w:style>
  <w:style w:type="character" w:customStyle="1" w:styleId="Char3">
    <w:name w:val="批注主题 Char"/>
    <w:basedOn w:val="Char"/>
    <w:link w:val="a7"/>
    <w:qFormat/>
    <w:rPr>
      <w:b/>
      <w:bCs/>
      <w:kern w:val="2"/>
      <w:sz w:val="21"/>
      <w:szCs w:val="24"/>
    </w:rPr>
  </w:style>
  <w:style w:type="character" w:customStyle="1" w:styleId="Char0">
    <w:name w:val="批注框文本 Char"/>
    <w:basedOn w:val="a0"/>
    <w:link w:val="a4"/>
    <w:qFormat/>
    <w:rPr>
      <w:kern w:val="2"/>
      <w:sz w:val="18"/>
      <w:szCs w:val="18"/>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307</Words>
  <Characters>1752</Characters>
  <Application>Microsoft Office Word</Application>
  <DocSecurity>0</DocSecurity>
  <Lines>14</Lines>
  <Paragraphs>4</Paragraphs>
  <ScaleCrop>false</ScaleCrop>
  <Company>Jhstudio</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王超</dc:creator>
  <cp:lastModifiedBy>JhUser</cp:lastModifiedBy>
  <cp:revision>10</cp:revision>
  <cp:lastPrinted>2022-08-03T08:28:00Z</cp:lastPrinted>
  <dcterms:created xsi:type="dcterms:W3CDTF">2022-02-16T03:55:00Z</dcterms:created>
  <dcterms:modified xsi:type="dcterms:W3CDTF">2022-09-01T02:39:00Z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EB310364FE354E2C971D784255DC18ED</vt:lpwstr>
  </property>
</Properties>
</file>