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 w:bidi="ar"/>
        </w:rPr>
        <w:t>东丽区粮食应急保障企业管理实施细则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（征求意见稿）</w:t>
      </w:r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为加强粮食应急保障体系建设，进一步规范粮食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急保障企业管理，确保在应急状态下有效发挥粮食应急保障作用，依据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《天津市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粮食应急保障企业管理细则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津粮规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〔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2022〕3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）、《天津市粮食应急预案》（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津政办规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〔2022〕2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等有关规定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结合我区实际，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制定本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实施细则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实施细则</w:t>
      </w:r>
      <w:r>
        <w:rPr>
          <w:rFonts w:hint="eastAsia" w:ascii="仿宋_GB2312" w:hAnsi="仿宋_GB2312" w:eastAsia="仿宋_GB2312" w:cs="仿宋_GB2312"/>
          <w:sz w:val="32"/>
          <w:szCs w:val="32"/>
        </w:rPr>
        <w:t>所称粮食应急保障企业，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是指经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我区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粮食行政管理部门确定，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承担所在地区粮食（含食用油）应急保障任务的企业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第三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粮食应急保障企业应具备以下基本条件：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未列入严重失信企业名单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生产经营的粮食产品质量指标和食品安全指标应符合国家标准、行业标准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近一年内未发生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重大及以上食品安全事故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生产经营作业能确保粮食不受到污染；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近一年内未发生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重大及以上安全生产事故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粮食应急保障企业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应急储运企业、应急加工企业、应急配送中心、应急供应网点和应急保障中心五种类型。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粮食应急储运企业应以承担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事权粮食收储轮换任务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为主；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具备符合国家要求的原粮和成品粮储存仓库和设施；具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一定的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运输能力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（含日常可协调的运输能力），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能够较好满足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粮油储备和运输需要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粮食应急加工企业应具备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的粮食应急加工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储存和检化验能力。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粮食应急配送中心应具备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一定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的配送能力，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能够高效完成粮食定点配送任务。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粮食应急供应网点应位于物流配送和居民采购均较为便利的位置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每个街道至少有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个粮食应急供应网点、每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3万人至少有1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个粮食应急供应网点。粮食应急供应网点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销售的粮油产品应明码标价，仓储能力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能够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满足应急供应需要。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粮食应急保障中心应具备粮油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仓储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、加工等多种功能；具备一定规模的成品粮油储备库存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应急调度能力。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级粮食应急保障企业应具备的应急储运、加工、配送、供应等能力，详见有关标准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（附件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1、附件2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 xml:space="preserve">    第五条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 w:eastAsia="zh-CN" w:bidi="ar"/>
        </w:rPr>
        <w:t>区级粮食行政管理部门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应每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按照市粮食和物资储备局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核定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的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粮食应急供应网点数量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进行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调整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粮食应急保障企业的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管理，应坚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持分级负责、逐级备案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动态管理的原则，充分发挥各级粮食应急保障企业在应急保供中的示范带动作用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粮食应急保障企业的确定和备案，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主要按照以下程序进行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初步选取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区级粮食行政管理部门结合</w:t>
      </w:r>
      <w:r>
        <w:rPr>
          <w:rFonts w:hint="eastAsia" w:ascii="仿宋_GB2312" w:hAnsi="仿宋_GB2312" w:eastAsia="仿宋_GB2312" w:cs="仿宋_GB2312"/>
          <w:sz w:val="32"/>
          <w:szCs w:val="32"/>
        </w:rPr>
        <w:t>粮食应急工作实际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，根据粮食应急保障企业的参考标准，在企业自愿的前提下，初步选取确定特定类型的粮食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应急保障企业，也可组织企业自主申报特定类型的粮食应急保障企业。一般从区级粮食应急保障企业中推荐市级粮食应急保障企业。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）实地查看。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区级粮食行政管理部门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对初步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选取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企业的储运、加工、配送和供应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进行实地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查看，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也可委托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有关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部门代为查看。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eastAsia="zh-CN"/>
        </w:rPr>
        <w:t>经查看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eastAsia="zh-CN"/>
        </w:rPr>
        <w:t>具备粮食应急保障条件的企业可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选定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为粮食应急保障企业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）签订协议。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区级粮食行政管理部门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选定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的粮食应急保障企业签订《粮食应急保障协议书》，并授予牌匾。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选定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的粮食应急保障企业名单等信息应在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范围内公开。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）逐级备案。粮食应急保障企业信息应采取书面方式，逐级备案至国家粮食和物资储备局。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trike w:val="0"/>
          <w:dstrike w:val="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trike w:val="0"/>
          <w:dstrike w:val="0"/>
          <w:sz w:val="32"/>
          <w:szCs w:val="32"/>
          <w:u w:val="none"/>
        </w:rPr>
        <w:t>第</w:t>
      </w:r>
      <w:r>
        <w:rPr>
          <w:rFonts w:hint="eastAsia" w:ascii="黑体" w:hAnsi="黑体" w:eastAsia="黑体" w:cs="黑体"/>
          <w:strike w:val="0"/>
          <w:dstrike w:val="0"/>
          <w:sz w:val="32"/>
          <w:szCs w:val="32"/>
          <w:u w:val="none"/>
          <w:lang w:eastAsia="zh-CN"/>
        </w:rPr>
        <w:t>八</w:t>
      </w:r>
      <w:r>
        <w:rPr>
          <w:rFonts w:hint="eastAsia" w:ascii="黑体" w:hAnsi="黑体" w:eastAsia="黑体" w:cs="黑体"/>
          <w:strike w:val="0"/>
          <w:dstrike w:val="0"/>
          <w:sz w:val="32"/>
          <w:szCs w:val="32"/>
          <w:u w:val="none"/>
        </w:rPr>
        <w:t>条</w:t>
      </w:r>
      <w:r>
        <w:rPr>
          <w:rFonts w:hint="eastAsia" w:ascii="黑体" w:hAnsi="黑体" w:eastAsia="黑体" w:cs="黑体"/>
          <w:strike w:val="0"/>
          <w:dstrike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u w:val="none"/>
          <w:lang w:val="en" w:eastAsia="zh-CN"/>
        </w:rPr>
        <w:t>区级粮食行政管理部门</w:t>
      </w:r>
      <w:r>
        <w:rPr>
          <w:rFonts w:hint="default" w:ascii="仿宋_GB2312" w:hAnsi="仿宋_GB2312" w:eastAsia="仿宋_GB2312" w:cs="仿宋_GB2312"/>
          <w:strike w:val="0"/>
          <w:dstrike w:val="0"/>
          <w:color w:val="auto"/>
          <w:sz w:val="32"/>
          <w:szCs w:val="32"/>
          <w:u w:val="none"/>
          <w:lang w:val="en-US" w:eastAsia="zh-CN"/>
        </w:rPr>
        <w:t>应结合自身日常工作实际，探索对粮食应急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u w:val="none"/>
          <w:lang w:val="en-US" w:eastAsia="zh-CN"/>
        </w:rPr>
        <w:t>保障企业鼓励帮助的方式方法。如可协调有关部门在粮食等重要农产品仓储设施专项、优质粮食工程、粮食风险基金、信贷支持行动等项目中为符合条件的粮食应急保障企业争取支持。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u w:val="none"/>
          <w:lang w:val="en" w:eastAsia="zh-CN"/>
        </w:rPr>
        <w:t>区级粮食行政管理部门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u w:val="none"/>
        </w:rPr>
        <w:t>每年应至少组织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1次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u w:val="none"/>
          <w:lang w:eastAsia="zh-CN"/>
        </w:rPr>
        <w:t>专题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u w:val="none"/>
        </w:rPr>
        <w:t>调研，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u w:val="none"/>
          <w:lang w:eastAsia="zh-CN"/>
        </w:rPr>
        <w:t>了解粮食应急保障企业的工作情况，听取意见建议，在职责范围内协调解决困难。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strike w:val="0"/>
          <w:dstrike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strike w:val="0"/>
          <w:dstrike w:val="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trike w:val="0"/>
          <w:dstrike w:val="0"/>
          <w:sz w:val="32"/>
          <w:szCs w:val="32"/>
          <w:u w:val="none"/>
        </w:rPr>
        <w:t>第</w:t>
      </w:r>
      <w:r>
        <w:rPr>
          <w:rFonts w:hint="eastAsia" w:ascii="黑体" w:hAnsi="黑体" w:eastAsia="黑体" w:cs="黑体"/>
          <w:strike w:val="0"/>
          <w:dstrike w:val="0"/>
          <w:sz w:val="32"/>
          <w:szCs w:val="32"/>
          <w:u w:val="none"/>
          <w:lang w:eastAsia="zh-CN"/>
        </w:rPr>
        <w:t>九</w:t>
      </w:r>
      <w:r>
        <w:rPr>
          <w:rFonts w:hint="eastAsia" w:ascii="黑体" w:hAnsi="黑体" w:eastAsia="黑体" w:cs="黑体"/>
          <w:strike w:val="0"/>
          <w:dstrike w:val="0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" w:eastAsia="zh-CN"/>
        </w:rPr>
        <w:t>区级粮食行政管理部门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u w:val="none"/>
        </w:rPr>
        <w:t>应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u w:val="none"/>
          <w:lang w:eastAsia="zh-CN"/>
        </w:rPr>
        <w:t>结合工作实际，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u w:val="none"/>
          <w:lang w:val="en-US" w:eastAsia="zh-CN"/>
        </w:rPr>
        <w:t>组织粮食应急保障企业用好国家及我市有关信息化平台，有效提升粮食应急保障信息化水平。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trike w:val="0"/>
          <w:dstrike w:val="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trike w:val="0"/>
          <w:dstrike w:val="0"/>
          <w:sz w:val="32"/>
          <w:szCs w:val="32"/>
          <w:u w:val="none"/>
        </w:rPr>
        <w:t>第</w:t>
      </w:r>
      <w:r>
        <w:rPr>
          <w:rFonts w:hint="eastAsia" w:ascii="黑体" w:hAnsi="黑体" w:eastAsia="黑体" w:cs="黑体"/>
          <w:strike w:val="0"/>
          <w:dstrike w:val="0"/>
          <w:sz w:val="32"/>
          <w:szCs w:val="32"/>
          <w:u w:val="none"/>
          <w:lang w:eastAsia="zh-CN"/>
        </w:rPr>
        <w:t>十</w:t>
      </w:r>
      <w:r>
        <w:rPr>
          <w:rFonts w:hint="eastAsia" w:ascii="黑体" w:hAnsi="黑体" w:eastAsia="黑体" w:cs="黑体"/>
          <w:strike w:val="0"/>
          <w:dstrike w:val="0"/>
          <w:sz w:val="32"/>
          <w:szCs w:val="32"/>
          <w:u w:val="none"/>
        </w:rPr>
        <w:t>条</w:t>
      </w:r>
      <w:r>
        <w:rPr>
          <w:rFonts w:hint="eastAsia" w:ascii="黑体" w:hAnsi="黑体" w:eastAsia="黑体" w:cs="黑体"/>
          <w:strike w:val="0"/>
          <w:dstrike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 w:eastAsia="zh-CN" w:bidi="ar"/>
        </w:rPr>
        <w:t>区级粮食行政管理部门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bidi="ar"/>
        </w:rPr>
        <w:t>应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 w:bidi="ar"/>
        </w:rPr>
        <w:t>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"/>
        </w:rPr>
        <w:t>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 w:bidi="ar"/>
        </w:rPr>
        <w:t>粮食和物资储备局要求，每季度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"/>
        </w:rPr>
        <w:t>末，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bidi="ar"/>
        </w:rPr>
        <w:t>通过粮食应急保障信息系统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bidi="ar"/>
        </w:rPr>
        <w:t>更新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粮食应急保障企业信息或对企业进行调整（新增或退出）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"/>
        </w:rPr>
        <w:t>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 w:bidi="ar"/>
        </w:rPr>
        <w:t>其他时间段，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有企业信息更新或调整需求的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bidi="ar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 w:bidi="ar"/>
        </w:rPr>
        <w:t>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"/>
        </w:rPr>
        <w:t>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 w:bidi="ar"/>
        </w:rPr>
        <w:t>区级粮食行政管理部门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 w:bidi="ar"/>
        </w:rPr>
        <w:t>书面请示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"/>
        </w:rPr>
        <w:t>市级粮食行政管理部门，市级粮食行政管理部门审核汇总后，书面请示国家粮食和物资储备局同意，然后登录粮食应急保障信息系统进行操作。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 xml:space="preserve">    第十一条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区级粮食行政管理部门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 w:bidi="ar-SA"/>
        </w:rPr>
        <w:t>应加强对粮食应急保障企业的核查，每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>年应做到核查全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覆盖，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接受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市级粮食行政管理部门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每年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抽查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trike w:val="0"/>
          <w:dstrike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trike w:val="0"/>
          <w:dstrike w:val="0"/>
          <w:sz w:val="32"/>
          <w:szCs w:val="32"/>
        </w:rPr>
        <w:t>第</w:t>
      </w:r>
      <w:r>
        <w:rPr>
          <w:rFonts w:hint="eastAsia" w:ascii="黑体" w:hAnsi="黑体" w:eastAsia="黑体" w:cs="黑体"/>
          <w:strike w:val="0"/>
          <w:dstrike w:val="0"/>
          <w:sz w:val="32"/>
          <w:szCs w:val="32"/>
          <w:lang w:eastAsia="zh-CN"/>
        </w:rPr>
        <w:t>十二</w:t>
      </w:r>
      <w:r>
        <w:rPr>
          <w:rFonts w:hint="eastAsia" w:ascii="黑体" w:hAnsi="黑体" w:eastAsia="黑体" w:cs="黑体"/>
          <w:strike w:val="0"/>
          <w:dstrike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" w:eastAsia="zh-CN"/>
        </w:rPr>
        <w:t>区级粮食行政管理部门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eastAsia="zh-CN"/>
        </w:rPr>
        <w:t>接受市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eastAsia="zh-CN"/>
        </w:rPr>
        <w:t>粮食行政管理部门对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</w:rPr>
        <w:t>粮食应急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eastAsia="zh-CN"/>
        </w:rPr>
        <w:t>保障企业建设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</w:rPr>
        <w:t>工作的业务指导和监督。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十三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粮食应急保障企业平时应遵守粮食生产、流通、储备各项规定，按市场化运作，自主经营、自负盈亏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出现涉及粮食应急保障的重大变动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应及时报告。启动粮食应急预案后，粮食应急保障企业应严格遵守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粮食应急保障协议书》约定的责任和义务，在有关部门的统一安排调度下，完成各项粮食应急保障任务。法律法规另有规定的，从其规定。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第十四条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对在处置粮食应急状态中作出突出贡献的粮食应急保障企业，根据有关规定给予表彰或奖励。对在工作中违反有关规定、造成严重后果的企业，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依据有关法律、法规予以惩处。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trike w:val="0"/>
          <w:dstrike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trike w:val="0"/>
          <w:dstrike w:val="0"/>
          <w:sz w:val="32"/>
          <w:szCs w:val="32"/>
        </w:rPr>
        <w:t>第</w:t>
      </w:r>
      <w:r>
        <w:rPr>
          <w:rFonts w:hint="eastAsia" w:ascii="黑体" w:hAnsi="黑体" w:eastAsia="黑体" w:cs="黑体"/>
          <w:strike w:val="0"/>
          <w:dstrike w:val="0"/>
          <w:sz w:val="32"/>
          <w:szCs w:val="32"/>
          <w:lang w:eastAsia="zh-CN"/>
        </w:rPr>
        <w:t>十五</w:t>
      </w:r>
      <w:r>
        <w:rPr>
          <w:rFonts w:hint="eastAsia" w:ascii="黑体" w:hAnsi="黑体" w:eastAsia="黑体" w:cs="黑体"/>
          <w:strike w:val="0"/>
          <w:dstrike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区级粮食行政管理部门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负责本级粮食应急保障企业牌匾的制作和发放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(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牌匾样式见附件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十六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本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细则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自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2022年XX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XX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日起施行，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有效期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5年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0"/>
        <w:jc w:val="both"/>
        <w:textAlignment w:val="auto"/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0"/>
        <w:jc w:val="both"/>
        <w:textAlignment w:val="auto"/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附件: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区级粮食应急保障企业推荐标准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0"/>
        <w:jc w:val="both"/>
        <w:textAlignment w:val="auto"/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2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.区级粮食应急保障中心推荐标准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0"/>
        <w:jc w:val="both"/>
        <w:textAlignment w:val="auto"/>
        <w:rPr>
          <w:rFonts w:hint="default" w:asci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3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.牌匾样式</w:t>
      </w:r>
    </w:p>
    <w:p>
      <w:pPr>
        <w:spacing w:line="560" w:lineRule="exact"/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M6pebnPAAAABQEAAA8A&#10;AAAAAAAAAQAgAAAAOAAAAGRycy9kb3ducmV2LnhtbFBLAQIUABQAAAAIAIdO4kAWL6EN0QEAAIQD&#10;AAAOAAAAAAAAAAEAIAAAADQ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17720"/>
    <w:rsid w:val="01086C64"/>
    <w:rsid w:val="01170C55"/>
    <w:rsid w:val="03294BC4"/>
    <w:rsid w:val="03862DB0"/>
    <w:rsid w:val="057448C8"/>
    <w:rsid w:val="05974724"/>
    <w:rsid w:val="065909ED"/>
    <w:rsid w:val="0666507F"/>
    <w:rsid w:val="071D4ED9"/>
    <w:rsid w:val="07357FFB"/>
    <w:rsid w:val="078D7EC3"/>
    <w:rsid w:val="08573297"/>
    <w:rsid w:val="0BEE5CC1"/>
    <w:rsid w:val="0D967EA3"/>
    <w:rsid w:val="0E9E64C9"/>
    <w:rsid w:val="10090E90"/>
    <w:rsid w:val="1F7F7C9A"/>
    <w:rsid w:val="1F8F4381"/>
    <w:rsid w:val="210F3B2C"/>
    <w:rsid w:val="2D5662C8"/>
    <w:rsid w:val="2E5A0537"/>
    <w:rsid w:val="30504F11"/>
    <w:rsid w:val="307A0735"/>
    <w:rsid w:val="3123403B"/>
    <w:rsid w:val="325B7A4B"/>
    <w:rsid w:val="33F79F5A"/>
    <w:rsid w:val="356C59E3"/>
    <w:rsid w:val="369E570E"/>
    <w:rsid w:val="39381127"/>
    <w:rsid w:val="3C02537B"/>
    <w:rsid w:val="3C424119"/>
    <w:rsid w:val="3CDED046"/>
    <w:rsid w:val="3D69577B"/>
    <w:rsid w:val="3E521EBC"/>
    <w:rsid w:val="3FA75AF9"/>
    <w:rsid w:val="3FBFE696"/>
    <w:rsid w:val="408F6F36"/>
    <w:rsid w:val="418C41FB"/>
    <w:rsid w:val="4435614C"/>
    <w:rsid w:val="44CA4D62"/>
    <w:rsid w:val="451E0714"/>
    <w:rsid w:val="4729508D"/>
    <w:rsid w:val="4A781784"/>
    <w:rsid w:val="4EFA7318"/>
    <w:rsid w:val="50C5083E"/>
    <w:rsid w:val="52840914"/>
    <w:rsid w:val="58B167EE"/>
    <w:rsid w:val="58FC5DD7"/>
    <w:rsid w:val="5A697A69"/>
    <w:rsid w:val="5D4B58B4"/>
    <w:rsid w:val="5EF7920B"/>
    <w:rsid w:val="61965AFD"/>
    <w:rsid w:val="63055B75"/>
    <w:rsid w:val="650833CF"/>
    <w:rsid w:val="65A72D84"/>
    <w:rsid w:val="6D013776"/>
    <w:rsid w:val="713779A1"/>
    <w:rsid w:val="75416349"/>
    <w:rsid w:val="75517720"/>
    <w:rsid w:val="75FFB7AA"/>
    <w:rsid w:val="76FF227D"/>
    <w:rsid w:val="7B5BBEB6"/>
    <w:rsid w:val="7D5F60EB"/>
    <w:rsid w:val="7D62010B"/>
    <w:rsid w:val="7D891584"/>
    <w:rsid w:val="7EFD455C"/>
    <w:rsid w:val="A70F1D9F"/>
    <w:rsid w:val="AFDF82D9"/>
    <w:rsid w:val="B7973877"/>
    <w:rsid w:val="BFF31366"/>
    <w:rsid w:val="CB9F5785"/>
    <w:rsid w:val="CCBDC1A8"/>
    <w:rsid w:val="F37F27C1"/>
    <w:rsid w:val="FEC1E2D2"/>
    <w:rsid w:val="FF7D6C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仿宋_GB2312"/>
      <w:b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kylin/E:\&#24037;&#20316;\&#25991;&#23383;&#25991;&#31295;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文字文稿1.dot</Template>
  <Pages>5</Pages>
  <Words>2382</Words>
  <Characters>2457</Characters>
  <Lines>0</Lines>
  <Paragraphs>0</Paragraphs>
  <TotalTime>2</TotalTime>
  <ScaleCrop>false</ScaleCrop>
  <LinksUpToDate>false</LinksUpToDate>
  <CharactersWithSpaces>2457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2022-04-18T05:25:00Z</dcterms:created>
  <dc:creator>Administrator</dc:creator>
  <cp:lastModifiedBy>kylin</cp:lastModifiedBy>
  <cp:lastPrinted>2022-10-11T14:05:00Z</cp:lastPrinted>
  <dcterms:modified xsi:type="dcterms:W3CDTF">2022-10-17T15:33:41Z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007E0A6A7C854EB8811EA1921186E8DB</vt:lpwstr>
  </property>
</Properties>
</file>