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4FBF6">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themeColor="text1"/>
          <w:sz w:val="32"/>
          <w:highlight w:val="none"/>
          <w14:textFill>
            <w14:solidFill>
              <w14:schemeClr w14:val="tx1"/>
            </w14:solidFill>
          </w14:textFill>
        </w:rPr>
      </w:pPr>
    </w:p>
    <w:p w14:paraId="0CA1FDA5">
      <w:pPr>
        <w:keepNext w:val="0"/>
        <w:keepLines w:val="0"/>
        <w:pageBreakBefore w:val="0"/>
        <w:widowControl w:val="0"/>
        <w:shd w:val="clear"/>
        <w:kinsoku/>
        <w:wordWrap/>
        <w:overflowPunct/>
        <w:topLinePunct w:val="0"/>
        <w:autoSpaceDE/>
        <w:autoSpaceDN/>
        <w:bidi w:val="0"/>
        <w:adjustRightInd/>
        <w:snapToGrid/>
        <w:spacing w:line="560" w:lineRule="exact"/>
        <w:jc w:val="center"/>
        <w:textAlignment w:val="auto"/>
        <w:rPr>
          <w:rFonts w:hint="eastAsia" w:ascii="Arial Unicode MS" w:hAnsi="Arial Unicode MS" w:eastAsia="Arial Unicode MS" w:cs="Arial Unicode MS"/>
          <w:color w:val="000000" w:themeColor="text1"/>
          <w:sz w:val="44"/>
          <w:szCs w:val="44"/>
          <w:highlight w:val="none"/>
          <w:lang w:val="en-US" w:eastAsia="zh-CN"/>
          <w14:textFill>
            <w14:solidFill>
              <w14:schemeClr w14:val="tx1"/>
            </w14:solidFill>
          </w14:textFill>
        </w:rPr>
      </w:pPr>
      <w:r>
        <w:rPr>
          <w:rFonts w:hint="eastAsia" w:ascii="Arial Unicode MS" w:hAnsi="Arial Unicode MS" w:eastAsia="Arial Unicode MS" w:cs="Arial Unicode MS"/>
          <w:color w:val="000000" w:themeColor="text1"/>
          <w:sz w:val="44"/>
          <w:szCs w:val="44"/>
          <w:highlight w:val="none"/>
          <w:lang w:val="en-US" w:eastAsia="zh-CN"/>
          <w14:textFill>
            <w14:solidFill>
              <w14:schemeClr w14:val="tx1"/>
            </w14:solidFill>
          </w14:textFill>
        </w:rPr>
        <w:t>天津市东丽医院</w:t>
      </w:r>
    </w:p>
    <w:p w14:paraId="12F1FD2C">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themeColor="text1"/>
          <w:sz w:val="32"/>
          <w:highlight w:val="none"/>
          <w14:textFill>
            <w14:solidFill>
              <w14:schemeClr w14:val="tx1"/>
            </w14:solidFill>
          </w14:textFill>
        </w:rPr>
      </w:pPr>
    </w:p>
    <w:p w14:paraId="24BC5960">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科室</w:t>
      </w:r>
      <w:r>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t>设置</w:t>
      </w:r>
    </w:p>
    <w:p w14:paraId="0A5F8A3D">
      <w:pPr>
        <w:pStyle w:val="12"/>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临床科室：</w:t>
      </w:r>
      <w:bookmarkStart w:id="1" w:name="_GoBack"/>
      <w:bookmarkEnd w:id="1"/>
    </w:p>
    <w:p w14:paraId="786CD917">
      <w:pPr>
        <w:pStyle w:val="12"/>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妇产科，普外科，神经外科，骨科，泌尿外科，耳鼻喉头颈外科，普内科，神经内科，心内科，老年病科，内分泌科，肾内科（血液透析、风湿免疫科），重症医学科，康复医学科，眼科，口腔科，消化内科，呼吸内科（哮喘门诊、慢阻肺门诊、戒烟门诊、结核门诊），康复医学科，感染性疾病科（发热门诊、肠道门诊），儿科，急诊科（急诊内科、急诊外科），动物咬伤门诊，中医科，营养科，皮肤科门诊，皮肤外科门诊，便民门诊，临床心理门诊，疼痛科，外科综合门诊，眩晕门诊，高血压专病门诊、健康管理中心，麻醉科</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肿瘤科。</w:t>
      </w:r>
    </w:p>
    <w:p w14:paraId="51556B52">
      <w:pPr>
        <w:pStyle w:val="12"/>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医技科室：</w:t>
      </w:r>
    </w:p>
    <w:p w14:paraId="1A42771F">
      <w:pPr>
        <w:pStyle w:val="12"/>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医学检验科、超声科、功能科、内镜中心、医学影像科、输血科、病理科，药剂科</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w:t>
      </w:r>
    </w:p>
    <w:p w14:paraId="02AF886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二、</w:t>
      </w:r>
      <w:r>
        <w:rPr>
          <w:rFonts w:hint="eastAsia" w:ascii="仿宋_GB2312" w:hAnsi="仿宋_GB2312" w:eastAsia="仿宋_GB2312" w:cs="仿宋_GB2312"/>
          <w:b w:val="0"/>
          <w:bCs/>
          <w:color w:val="auto"/>
          <w:sz w:val="32"/>
          <w:szCs w:val="32"/>
        </w:rPr>
        <w:t>专业介绍</w:t>
      </w:r>
    </w:p>
    <w:p w14:paraId="23BA74B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rPr>
        <w:t>天津市东丽医院</w:t>
      </w:r>
      <w:r>
        <w:rPr>
          <w:rFonts w:hint="eastAsia" w:ascii="仿宋_GB2312" w:hAnsi="仿宋_GB2312" w:eastAsia="仿宋_GB2312" w:cs="仿宋_GB2312"/>
          <w:sz w:val="32"/>
          <w:szCs w:val="32"/>
          <w:lang w:val="en-US" w:eastAsia="zh-CN"/>
        </w:rPr>
        <w:t>是</w:t>
      </w:r>
      <w:r>
        <w:rPr>
          <w:rFonts w:hint="eastAsia" w:ascii="仿宋_GB2312" w:hAnsi="仿宋_GB2312" w:eastAsia="仿宋_GB2312" w:cs="仿宋_GB2312"/>
          <w:sz w:val="32"/>
          <w:szCs w:val="32"/>
          <w:highlight w:val="none"/>
        </w:rPr>
        <w:t>集医疗、教学、科研、预防、保健、康复为一体的现代化综合三级医院</w:t>
      </w:r>
      <w:r>
        <w:rPr>
          <w:rFonts w:hint="eastAsia" w:ascii="仿宋_GB2312" w:hAnsi="仿宋_GB2312" w:eastAsia="仿宋_GB2312" w:cs="仿宋_GB2312"/>
          <w:sz w:val="32"/>
          <w:szCs w:val="32"/>
          <w:highlight w:val="none"/>
          <w:lang w:eastAsia="zh-CN"/>
        </w:rPr>
        <w:t>。</w:t>
      </w:r>
    </w:p>
    <w:p w14:paraId="69A36D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医院引进各种先进医疗设备，如德国西门子1.5T磁共振系统、GE 3.0T磁共振成像系统、GE 64排螺旋CT、联影64排螺旋CT、美国GE血管造影机、单C臂全数字化平板探测器血管造影系统、GE 彩色多普勒超声诊断仪、飞利浦高档彩色多普勒超声波诊断系统、东芝彩色多普勒超声诊断仪、多尼尔体外冲击波碎石机、西门子泌尿检查系统；引进医疗体检车，方便健康体检工作；引进进口血液透析</w:t>
      </w:r>
      <w:r>
        <w:rPr>
          <w:rFonts w:hint="eastAsia" w:ascii="仿宋_GB2312" w:hAnsi="仿宋_GB2312" w:eastAsia="仿宋_GB2312" w:cs="仿宋_GB2312"/>
          <w:sz w:val="32"/>
          <w:szCs w:val="32"/>
          <w:lang w:eastAsia="zh-CN"/>
        </w:rPr>
        <w:t>机和</w:t>
      </w:r>
      <w:r>
        <w:rPr>
          <w:rFonts w:hint="eastAsia" w:ascii="仿宋_GB2312" w:hAnsi="仿宋_GB2312" w:eastAsia="仿宋_GB2312" w:cs="仿宋_GB2312"/>
          <w:sz w:val="32"/>
          <w:szCs w:val="32"/>
        </w:rPr>
        <w:t>奥林巴斯数套电子内窥镜、进口手术用腹腔镜、宫腔镜、关节镜等硬镜设备，</w:t>
      </w:r>
      <w:r>
        <w:rPr>
          <w:rFonts w:hint="eastAsia" w:ascii="仿宋_GB2312" w:hAnsi="仿宋_GB2312" w:eastAsia="仿宋_GB2312" w:cs="仿宋_GB2312"/>
          <w:sz w:val="32"/>
          <w:szCs w:val="32"/>
          <w:highlight w:val="none"/>
          <w:u w:val="none"/>
          <w:lang w:val="en-US" w:eastAsia="zh-CN"/>
        </w:rPr>
        <w:t>现开设两个血透中心，</w:t>
      </w:r>
      <w:r>
        <w:rPr>
          <w:rFonts w:hint="eastAsia" w:ascii="仿宋_GB2312" w:hAnsi="仿宋_GB2312" w:eastAsia="仿宋_GB2312" w:cs="仿宋_GB2312"/>
          <w:sz w:val="32"/>
          <w:szCs w:val="32"/>
        </w:rPr>
        <w:t>为东丽区及周边百姓提供全方位的综合医疗服务。</w:t>
      </w:r>
    </w:p>
    <w:p w14:paraId="74C1F16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sz w:val="32"/>
          <w:szCs w:val="32"/>
        </w:rPr>
        <w:t>医院现设有32个临床医技科室，涵盖23个学科52个专业，其中普外科、消化科、心内科、骨科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肾内科、急诊医学科</w:t>
      </w:r>
      <w:r>
        <w:rPr>
          <w:rFonts w:hint="eastAsia" w:ascii="仿宋_GB2312" w:hAnsi="仿宋_GB2312" w:eastAsia="仿宋_GB2312" w:cs="仿宋_GB2312"/>
          <w:sz w:val="32"/>
          <w:szCs w:val="32"/>
        </w:rPr>
        <w:t>为区级重点专科。</w:t>
      </w:r>
      <w:r>
        <w:rPr>
          <w:rFonts w:hint="eastAsia" w:ascii="仿宋_GB2312" w:hAnsi="仿宋_GB2312" w:eastAsia="仿宋_GB2312" w:cs="仿宋_GB2312"/>
          <w:sz w:val="32"/>
          <w:szCs w:val="32"/>
          <w:highlight w:val="none"/>
          <w:lang w:val="en-US" w:eastAsia="zh-CN"/>
        </w:rPr>
        <w:t>目前已广泛开展基于电解剖三维标测的室早射频消融术、冠状动脉药物涂层支架置入术、经皮椎体球囊扩张成形术、经尿道激光诱导前列腺切除术、全部膝关节置换、腹腔镜下盆腔淋巴结清扫术+全子宫切除术+双侧附件切除术、腹腔镜下乙状结肠病损切除术、腹腔镜下直肠根治术、喉部分切除术、为肾透析的自体血管动静脉瘘修补术、为肾透析的人工血管动静脉瘘修补术、为肾透析的动静脉瘘修补术、动静脉造瘘后球囊扩张</w:t>
      </w:r>
      <w:r>
        <w:rPr>
          <w:rFonts w:hint="eastAsia" w:ascii="仿宋_GB2312" w:hAnsi="仿宋_GB2312" w:eastAsia="仿宋_GB2312" w:cs="仿宋_GB2312"/>
          <w:kern w:val="0"/>
          <w:sz w:val="32"/>
          <w:szCs w:val="32"/>
          <w:highlight w:val="none"/>
        </w:rPr>
        <w:t>等技术</w:t>
      </w:r>
      <w:r>
        <w:rPr>
          <w:rFonts w:hint="eastAsia" w:ascii="仿宋_GB2312" w:hAnsi="仿宋_GB2312" w:eastAsia="仿宋_GB2312" w:cs="仿宋_GB2312"/>
          <w:sz w:val="32"/>
          <w:szCs w:val="32"/>
          <w:highlight w:val="none"/>
        </w:rPr>
        <w:t>。创新医疗服务模式，开展预约诊疗、晨检门诊、多学科门诊、特色专病门诊，致力于为患者提供高品质的诊疗服务。推进优质护理服务，发展专科护理与特色护理服务，探索实施“互联网+护理服务”。</w:t>
      </w:r>
    </w:p>
    <w:p w14:paraId="2E821C6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近年来，为响应国家深化医改的新要求，整合多学科力量，打造了急危重症抢救绿色</w:t>
      </w:r>
      <w:r>
        <w:rPr>
          <w:rFonts w:hint="eastAsia" w:ascii="仿宋_GB2312" w:hAnsi="仿宋_GB2312" w:eastAsia="仿宋_GB2312" w:cs="仿宋_GB2312"/>
          <w:sz w:val="32"/>
          <w:szCs w:val="32"/>
          <w:highlight w:val="none"/>
        </w:rPr>
        <w:t>通道，实现了</w:t>
      </w:r>
      <w:r>
        <w:rPr>
          <w:rFonts w:hint="eastAsia" w:ascii="仿宋_GB2312" w:hAnsi="仿宋_GB2312" w:eastAsia="仿宋_GB2312" w:cs="仿宋_GB2312"/>
          <w:sz w:val="32"/>
          <w:szCs w:val="32"/>
          <w:highlight w:val="none"/>
          <w:lang w:val="en-US" w:eastAsia="zh-CN"/>
        </w:rPr>
        <w:t>创伤、</w:t>
      </w:r>
      <w:r>
        <w:rPr>
          <w:rFonts w:hint="eastAsia" w:ascii="仿宋_GB2312" w:hAnsi="仿宋_GB2312" w:eastAsia="仿宋_GB2312" w:cs="仿宋_GB2312"/>
          <w:sz w:val="32"/>
          <w:szCs w:val="32"/>
          <w:highlight w:val="none"/>
        </w:rPr>
        <w:t>胸痛、脑卒中、新生儿、重症孕产妇等重症抢救的无缝对接，大大提高了抢救成功率。充分发挥区域医疗中心优势，与</w:t>
      </w:r>
      <w:r>
        <w:rPr>
          <w:rFonts w:hint="eastAsia" w:ascii="仿宋_GB2312" w:hAnsi="仿宋_GB2312" w:eastAsia="仿宋_GB2312" w:cs="仿宋_GB2312"/>
          <w:sz w:val="32"/>
          <w:szCs w:val="32"/>
          <w:highlight w:val="none"/>
          <w:lang w:val="en-US" w:eastAsia="zh-CN"/>
        </w:rPr>
        <w:t>儿童医院、</w:t>
      </w:r>
      <w:r>
        <w:rPr>
          <w:rFonts w:hint="eastAsia" w:ascii="仿宋_GB2312" w:hAnsi="仿宋_GB2312" w:eastAsia="仿宋_GB2312" w:cs="仿宋_GB2312"/>
          <w:sz w:val="32"/>
          <w:szCs w:val="32"/>
          <w:highlight w:val="none"/>
        </w:rPr>
        <w:t>肿瘤医院、一中心医院、环湖医院、中研院医院合作力度，同时下沉辖区内社区卫生服务中心，畅通双向转诊渠道。与社区卫生服务中心建立胸痛联盟、卒中联盟、急救联盟等，通过微信、远程网络等方式，实现了院内外无缝衔接，构建了覆盖全区的绿色通道急救网。目前，</w:t>
      </w:r>
      <w:r>
        <w:rPr>
          <w:rFonts w:hint="eastAsia" w:ascii="仿宋_GB2312" w:hAnsi="仿宋_GB2312" w:eastAsia="仿宋_GB2312" w:cs="仿宋_GB2312"/>
          <w:sz w:val="32"/>
          <w:szCs w:val="32"/>
          <w:highlight w:val="none"/>
          <w:lang w:val="en-US" w:eastAsia="zh-CN"/>
        </w:rPr>
        <w:t>已与两家二级医院及11</w:t>
      </w:r>
      <w:r>
        <w:rPr>
          <w:rFonts w:hint="eastAsia" w:ascii="仿宋_GB2312" w:hAnsi="仿宋_GB2312" w:eastAsia="仿宋_GB2312" w:cs="仿宋_GB2312"/>
          <w:sz w:val="32"/>
          <w:szCs w:val="32"/>
          <w:highlight w:val="none"/>
        </w:rPr>
        <w:t>家</w:t>
      </w:r>
      <w:r>
        <w:rPr>
          <w:rFonts w:hint="eastAsia" w:ascii="仿宋_GB2312" w:hAnsi="仿宋_GB2312" w:eastAsia="仿宋_GB2312" w:cs="仿宋_GB2312"/>
          <w:sz w:val="32"/>
          <w:szCs w:val="32"/>
          <w:highlight w:val="none"/>
          <w:lang w:val="en-US" w:eastAsia="zh-CN"/>
        </w:rPr>
        <w:t>基层医疗机构</w:t>
      </w:r>
      <w:r>
        <w:rPr>
          <w:rFonts w:hint="eastAsia" w:ascii="仿宋_GB2312" w:hAnsi="仿宋_GB2312" w:eastAsia="仿宋_GB2312" w:cs="仿宋_GB2312"/>
          <w:sz w:val="32"/>
          <w:szCs w:val="32"/>
          <w:highlight w:val="none"/>
        </w:rPr>
        <w:t>建立</w:t>
      </w:r>
      <w:r>
        <w:rPr>
          <w:rFonts w:hint="eastAsia" w:ascii="仿宋_GB2312" w:hAnsi="仿宋_GB2312" w:eastAsia="仿宋_GB2312" w:cs="仿宋_GB2312"/>
          <w:sz w:val="32"/>
          <w:szCs w:val="32"/>
          <w:highlight w:val="none"/>
          <w:lang w:val="en-US" w:eastAsia="zh-CN"/>
        </w:rPr>
        <w:t>紧密型城市医疗集团</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同时，</w:t>
      </w:r>
      <w:r>
        <w:rPr>
          <w:rFonts w:hint="eastAsia" w:ascii="仿宋_GB2312" w:hAnsi="仿宋_GB2312" w:eastAsia="仿宋_GB2312" w:cs="仿宋_GB2312"/>
          <w:sz w:val="32"/>
          <w:szCs w:val="32"/>
          <w:highlight w:val="none"/>
        </w:rPr>
        <w:t>承担医疗健康扶</w:t>
      </w:r>
      <w:r>
        <w:rPr>
          <w:rFonts w:hint="eastAsia" w:ascii="仿宋_GB2312" w:hAnsi="仿宋_GB2312" w:eastAsia="仿宋_GB2312" w:cs="仿宋_GB2312"/>
          <w:sz w:val="32"/>
          <w:szCs w:val="32"/>
        </w:rPr>
        <w:t>贫协作任务，支援甘肃、新疆、西藏等医疗机构，显著提升基层医疗机构的诊疗水平。</w:t>
      </w:r>
    </w:p>
    <w:p w14:paraId="67B110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eastAsia" w:ascii="Times New Roman" w:hAnsi="Times New Roman" w:eastAsia="黑体" w:cs="Times New Roman"/>
          <w:b w:val="0"/>
          <w:bCs/>
          <w:color w:val="000000" w:themeColor="text1"/>
          <w:sz w:val="32"/>
          <w:szCs w:val="32"/>
          <w:lang w:val="en-US" w:eastAsia="zh-CN"/>
          <w14:textFill>
            <w14:solidFill>
              <w14:schemeClr w14:val="tx1"/>
            </w14:solidFill>
          </w14:textFill>
        </w:rPr>
        <w:t>三</w:t>
      </w:r>
      <w:r>
        <w:rPr>
          <w:rFonts w:hint="default" w:ascii="Times New Roman" w:hAnsi="Times New Roman" w:eastAsia="黑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黑体" w:cs="Times New Roman"/>
          <w:b w:val="0"/>
          <w:bCs/>
          <w:color w:val="000000" w:themeColor="text1"/>
          <w:sz w:val="32"/>
          <w:szCs w:val="32"/>
          <w14:textFill>
            <w14:solidFill>
              <w14:schemeClr w14:val="tx1"/>
            </w14:solidFill>
          </w14:textFill>
        </w:rPr>
        <w:t>就诊须知</w:t>
      </w:r>
    </w:p>
    <w:p w14:paraId="444AF4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（一）门、急诊就诊流程：</w:t>
      </w:r>
    </w:p>
    <w:p w14:paraId="421AFB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32"/>
          <w:szCs w:val="32"/>
          <w:lang w:val="en-US" w:eastAsia="zh-CN"/>
        </w:rPr>
        <w:drawing>
          <wp:anchor distT="0" distB="0" distL="114300" distR="114300" simplePos="0" relativeHeight="251660288" behindDoc="0" locked="0" layoutInCell="1" allowOverlap="1">
            <wp:simplePos x="0" y="0"/>
            <wp:positionH relativeFrom="column">
              <wp:posOffset>882015</wp:posOffset>
            </wp:positionH>
            <wp:positionV relativeFrom="paragraph">
              <wp:posOffset>84455</wp:posOffset>
            </wp:positionV>
            <wp:extent cx="2059305" cy="2775585"/>
            <wp:effectExtent l="0" t="0" r="17145" b="5715"/>
            <wp:wrapSquare wrapText="bothSides"/>
            <wp:docPr id="2" name="图片 2" descr="26cb5165861e16de3ddffb3c46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cb5165861e16de3ddffb3c4637601"/>
                    <pic:cNvPicPr>
                      <a:picLocks noChangeAspect="1"/>
                    </pic:cNvPicPr>
                  </pic:nvPicPr>
                  <pic:blipFill>
                    <a:blip r:embed="rId5"/>
                    <a:stretch>
                      <a:fillRect/>
                    </a:stretch>
                  </pic:blipFill>
                  <pic:spPr>
                    <a:xfrm>
                      <a:off x="0" y="0"/>
                      <a:ext cx="2059305" cy="2775585"/>
                    </a:xfrm>
                    <a:prstGeom prst="rect">
                      <a:avLst/>
                    </a:prstGeom>
                  </pic:spPr>
                </pic:pic>
              </a:graphicData>
            </a:graphic>
          </wp:anchor>
        </w:drawing>
      </w:r>
    </w:p>
    <w:p w14:paraId="5A7C9E6F">
      <w:pPr>
        <w:numPr>
          <w:ilvl w:val="0"/>
          <w:numId w:val="0"/>
        </w:numPr>
        <w:rPr>
          <w:rFonts w:hint="eastAsia" w:ascii="仿宋_GB2312" w:hAnsi="仿宋_GB2312" w:eastAsia="仿宋_GB2312" w:cs="仿宋_GB2312"/>
          <w:color w:val="auto"/>
          <w:sz w:val="28"/>
          <w:szCs w:val="28"/>
          <w:lang w:val="en-US" w:eastAsia="zh-CN"/>
        </w:rPr>
      </w:pPr>
    </w:p>
    <w:p w14:paraId="4C0F7181">
      <w:pPr>
        <w:numPr>
          <w:ilvl w:val="0"/>
          <w:numId w:val="0"/>
        </w:numPr>
        <w:rPr>
          <w:rFonts w:hint="eastAsia" w:ascii="仿宋_GB2312" w:hAnsi="仿宋_GB2312" w:eastAsia="仿宋_GB2312" w:cs="仿宋_GB2312"/>
          <w:color w:val="auto"/>
          <w:sz w:val="28"/>
          <w:szCs w:val="28"/>
          <w:lang w:val="en-US" w:eastAsia="zh-CN"/>
        </w:rPr>
      </w:pPr>
    </w:p>
    <w:p w14:paraId="7D0539E8">
      <w:pPr>
        <w:numPr>
          <w:ilvl w:val="0"/>
          <w:numId w:val="0"/>
        </w:numPr>
        <w:rPr>
          <w:rFonts w:hint="eastAsia" w:ascii="仿宋_GB2312" w:hAnsi="仿宋_GB2312" w:eastAsia="仿宋_GB2312" w:cs="仿宋_GB2312"/>
          <w:color w:val="auto"/>
          <w:sz w:val="28"/>
          <w:szCs w:val="28"/>
          <w:lang w:val="en-US" w:eastAsia="zh-CN"/>
        </w:rPr>
      </w:pPr>
    </w:p>
    <w:p w14:paraId="634A028D">
      <w:pPr>
        <w:bidi w:val="0"/>
        <w:rPr>
          <w:rFonts w:hint="eastAsia" w:asciiTheme="minorHAnsi" w:hAnsiTheme="minorHAnsi" w:eastAsiaTheme="minorEastAsia" w:cstheme="minorBidi"/>
          <w:kern w:val="2"/>
          <w:sz w:val="21"/>
          <w:szCs w:val="24"/>
          <w:lang w:val="en-US" w:eastAsia="zh-CN" w:bidi="ar-SA"/>
        </w:rPr>
      </w:pPr>
    </w:p>
    <w:p w14:paraId="18888B4A">
      <w:pPr>
        <w:bidi w:val="0"/>
        <w:rPr>
          <w:rFonts w:hint="eastAsia"/>
          <w:lang w:val="en-US" w:eastAsia="zh-CN"/>
        </w:rPr>
      </w:pPr>
    </w:p>
    <w:p w14:paraId="395841E4">
      <w:pPr>
        <w:bidi w:val="0"/>
        <w:rPr>
          <w:rFonts w:hint="eastAsia"/>
          <w:lang w:val="en-US" w:eastAsia="zh-CN"/>
        </w:rPr>
      </w:pPr>
    </w:p>
    <w:p w14:paraId="40BC7B6B">
      <w:pPr>
        <w:bidi w:val="0"/>
        <w:rPr>
          <w:rFonts w:hint="eastAsia"/>
          <w:lang w:val="en-US" w:eastAsia="zh-CN"/>
        </w:rPr>
      </w:pPr>
    </w:p>
    <w:p w14:paraId="0B413CAC">
      <w:pPr>
        <w:bidi w:val="0"/>
        <w:rPr>
          <w:rFonts w:hint="eastAsia"/>
          <w:lang w:val="en-US" w:eastAsia="zh-CN"/>
        </w:rPr>
      </w:pPr>
    </w:p>
    <w:p w14:paraId="5683ACF8">
      <w:pPr>
        <w:bidi w:val="0"/>
        <w:rPr>
          <w:rFonts w:hint="eastAsia"/>
          <w:lang w:val="en-US" w:eastAsia="zh-CN"/>
        </w:rPr>
      </w:pPr>
    </w:p>
    <w:p w14:paraId="4021E672">
      <w:pPr>
        <w:bidi w:val="0"/>
        <w:rPr>
          <w:rFonts w:hint="eastAsia"/>
          <w:lang w:val="en-US" w:eastAsia="zh-CN"/>
        </w:rPr>
      </w:pPr>
    </w:p>
    <w:p w14:paraId="27F04E3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就诊期间应知晓的相关事务、注意事项及应遵守的规章制度</w:t>
      </w:r>
      <w:r>
        <w:rPr>
          <w:rFonts w:hint="eastAsia" w:ascii="仿宋_GB2312" w:hAnsi="仿宋_GB2312" w:eastAsia="仿宋_GB2312" w:cs="仿宋_GB2312"/>
          <w:color w:val="auto"/>
          <w:sz w:val="32"/>
          <w:szCs w:val="32"/>
          <w:lang w:eastAsia="zh-CN"/>
        </w:rPr>
        <w:t>：</w:t>
      </w:r>
    </w:p>
    <w:p w14:paraId="3F83FA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1.门诊挂号：</w:t>
      </w:r>
    </w:p>
    <w:p w14:paraId="4249A5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①挂号时间： </w:t>
      </w:r>
    </w:p>
    <w:p w14:paraId="0B113B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A.自助机：  上午7:00—11:55，下午13:20—16:25</w:t>
      </w:r>
    </w:p>
    <w:p w14:paraId="64CC3BB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B.手机APP: 上午 7:00—12:00，下午13:20—16:25</w:t>
      </w:r>
    </w:p>
    <w:p w14:paraId="79FD89D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C.人工窗口：周一至周五上午7:00—下午16:30</w:t>
      </w:r>
    </w:p>
    <w:p w14:paraId="3B1701A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周六及周日上午7:30—12:00 下午13:20—16:30</w:t>
      </w:r>
    </w:p>
    <w:p w14:paraId="024C50E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②挂号费：普通号15元，副主任医师号20元，主任医师号30元</w:t>
      </w:r>
    </w:p>
    <w:p w14:paraId="15AD7F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③挂号条当日有效，过期作废        </w:t>
      </w:r>
    </w:p>
    <w:p w14:paraId="188860ED">
      <w:pPr>
        <w:bidi w:val="0"/>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④如果您是首诊患者，建议先至导诊台鉴诊再挂号                                     </w:t>
      </w:r>
    </w:p>
    <w:p w14:paraId="11AB57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注：周一至周五中午开诊科室：动物咬伤门诊、口腔科，其他科室均可挂号于13：30就诊。</w:t>
      </w:r>
    </w:p>
    <w:p w14:paraId="087B9D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2.门诊退费退号：</w:t>
      </w:r>
    </w:p>
    <w:p w14:paraId="1424D8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①退换号：请于当日到门诊大厅1楼人工窗口1-3号办理，自助机退号请于当日到人工窗口11号办理。</w:t>
      </w:r>
    </w:p>
    <w:p w14:paraId="40962B1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②退费：当日退费、往期退费请到门诊大厅1楼人工窗口4号办理。使用自助机挂号缴费的患者，请至门诊大厅1楼人工窗口4号换取正式收据后办理退费手续。</w:t>
      </w:r>
    </w:p>
    <w:p w14:paraId="630CD2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注：医保门特患者办理退号退费，请务必确保本次为最后一笔费用，否则需将后续所有新开费用退掉，方可办理此次退号退费。</w:t>
      </w:r>
    </w:p>
    <w:p w14:paraId="093A428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3.门诊取药须知：请当面核对药品，根据《医疗机构药事管理暂行规定》，药品一经发出，不得退换。</w:t>
      </w:r>
    </w:p>
    <w:p w14:paraId="515600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4.诊断证明书及休假证明书盖章：需盖诊断证明章或休假证明章，请于就诊当日办理，需提供当日挂号凭证及门诊病历（门诊大厅1楼一站式服务中心办理）。</w:t>
      </w:r>
    </w:p>
    <w:p w14:paraId="3CBD22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门诊除痛病历手册办理：办理门诊除痛病历手册，需要患方提交的材料：患者本人户口本、身份证原件及复印件；代办人身份证原件及复印件；相关确诊检查报告单复印件（含相关诊断证明）；疼痛诊断证明书；街道或居委会介绍信；异地患者需提供现居住地派出所开具的居住证明。具体咨询一站式服务中心电话：022-24391960/022-24966267。</w:t>
      </w:r>
    </w:p>
    <w:p w14:paraId="3D67CE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四、</w:t>
      </w:r>
      <w:r>
        <w:rPr>
          <w:rFonts w:hint="eastAsia" w:ascii="仿宋_GB2312" w:hAnsi="仿宋_GB2312" w:eastAsia="仿宋_GB2312" w:cs="仿宋_GB2312"/>
          <w:b w:val="0"/>
          <w:bCs/>
          <w:color w:val="000000" w:themeColor="text1"/>
          <w:sz w:val="32"/>
          <w:szCs w:val="32"/>
          <w14:textFill>
            <w14:solidFill>
              <w14:schemeClr w14:val="tx1"/>
            </w14:solidFill>
          </w14:textFill>
        </w:rPr>
        <w:t>住院须知</w:t>
      </w:r>
    </w:p>
    <w:p w14:paraId="19A7DC1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（一）办理住院</w:t>
      </w:r>
    </w:p>
    <w:p w14:paraId="40A121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携带患者本人身份证、医保卡、住院通知单，到门诊楼入口处住院服务中心办理住院。交住院押金，医保患者还需办理医保联网，办齐住院手续后，前往相应病区入科。</w:t>
      </w:r>
    </w:p>
    <w:p w14:paraId="7FFCCB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注：押金条（粉联）请妥善保管！您可联系我们到床旁办理续交押金、医保确认、病案邮寄等业务</w:t>
      </w:r>
    </w:p>
    <w:p w14:paraId="4283272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（二）续缴住院押金</w:t>
      </w:r>
    </w:p>
    <w:p w14:paraId="2CEBE8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①微信小程序（点击住院押金--绑定就诊人信息--住院号--输入金额--确认支付）</w:t>
      </w:r>
    </w:p>
    <w:p w14:paraId="5400FD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②支付宝小程序（点击住院押金－－绑定就诊人信息--住院号--输入金额--确认支付）</w:t>
      </w:r>
    </w:p>
    <w:p w14:paraId="33A1B9F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③持押金条或催款单到住院服务中心人工窗口补缴。</w:t>
      </w:r>
    </w:p>
    <w:p w14:paraId="75E1AD0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④自助机缴纳住院押金。</w:t>
      </w:r>
    </w:p>
    <w:p w14:paraId="10BCA234">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32"/>
          <w:szCs w:val="32"/>
          <w:lang w:val="en-US" w:eastAsia="zh-CN"/>
        </w:rPr>
      </w:pPr>
      <w:r>
        <w:rPr>
          <w:rFonts w:hint="eastAsia"/>
          <w:b w:val="0"/>
          <w:bCs w:val="0"/>
          <w:sz w:val="24"/>
          <w:szCs w:val="24"/>
          <w:lang w:val="en-US" w:eastAsia="zh-CN"/>
        </w:rPr>
        <w:drawing>
          <wp:anchor distT="0" distB="0" distL="114300" distR="114300" simplePos="0" relativeHeight="251668480" behindDoc="0" locked="0" layoutInCell="1" allowOverlap="1">
            <wp:simplePos x="0" y="0"/>
            <wp:positionH relativeFrom="column">
              <wp:posOffset>2897505</wp:posOffset>
            </wp:positionH>
            <wp:positionV relativeFrom="paragraph">
              <wp:posOffset>114300</wp:posOffset>
            </wp:positionV>
            <wp:extent cx="1158875" cy="1045210"/>
            <wp:effectExtent l="0" t="0" r="3175" b="2540"/>
            <wp:wrapNone/>
            <wp:docPr id="52" name="图片 52" descr="171169254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1692548813"/>
                    <pic:cNvPicPr>
                      <a:picLocks noChangeAspect="1"/>
                    </pic:cNvPicPr>
                  </pic:nvPicPr>
                  <pic:blipFill>
                    <a:blip r:embed="rId6"/>
                    <a:stretch>
                      <a:fillRect/>
                    </a:stretch>
                  </pic:blipFill>
                  <pic:spPr>
                    <a:xfrm>
                      <a:off x="0" y="0"/>
                      <a:ext cx="1158875" cy="1045210"/>
                    </a:xfrm>
                    <a:prstGeom prst="rect">
                      <a:avLst/>
                    </a:prstGeom>
                  </pic:spPr>
                </pic:pic>
              </a:graphicData>
            </a:graphic>
          </wp:anchor>
        </w:drawing>
      </w:r>
      <w:r>
        <w:rPr>
          <w:rFonts w:hint="eastAsia"/>
          <w:b w:val="0"/>
          <w:bCs w:val="0"/>
          <w:sz w:val="24"/>
          <w:szCs w:val="24"/>
          <w:lang w:val="en-US" w:eastAsia="zh-CN"/>
        </w:rPr>
        <w:drawing>
          <wp:anchor distT="0" distB="0" distL="114300" distR="114300" simplePos="0" relativeHeight="251667456" behindDoc="0" locked="0" layoutInCell="1" allowOverlap="1">
            <wp:simplePos x="0" y="0"/>
            <wp:positionH relativeFrom="column">
              <wp:posOffset>649605</wp:posOffset>
            </wp:positionH>
            <wp:positionV relativeFrom="paragraph">
              <wp:posOffset>189230</wp:posOffset>
            </wp:positionV>
            <wp:extent cx="1134110" cy="1003300"/>
            <wp:effectExtent l="0" t="0" r="8890" b="6350"/>
            <wp:wrapNone/>
            <wp:docPr id="53" name="图片 53" descr="811bd18c181ca5f7d603b38feeb9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11bd18c181ca5f7d603b38feeb98b8"/>
                    <pic:cNvPicPr>
                      <a:picLocks noChangeAspect="1"/>
                    </pic:cNvPicPr>
                  </pic:nvPicPr>
                  <pic:blipFill>
                    <a:blip r:embed="rId7"/>
                    <a:stretch>
                      <a:fillRect/>
                    </a:stretch>
                  </pic:blipFill>
                  <pic:spPr>
                    <a:xfrm>
                      <a:off x="0" y="0"/>
                      <a:ext cx="1134110" cy="1003300"/>
                    </a:xfrm>
                    <a:prstGeom prst="rect">
                      <a:avLst/>
                    </a:prstGeom>
                  </pic:spPr>
                </pic:pic>
              </a:graphicData>
            </a:graphic>
          </wp:anchor>
        </w:drawing>
      </w:r>
    </w:p>
    <w:p w14:paraId="69DD39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6B3B9D1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（三）出院结算</w:t>
      </w:r>
    </w:p>
    <w:p w14:paraId="0B4276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08FAD40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（三）出院结算</w:t>
      </w:r>
    </w:p>
    <w:p w14:paraId="1370738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1.接到病区护士通知即可到住院服务中心办理出院结算手续。</w:t>
      </w:r>
    </w:p>
    <w:p w14:paraId="53EB070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2.办理出院手续必须带齐押金条（粉联）、身份证，医保病人请携带医保卡。</w:t>
      </w:r>
    </w:p>
    <w:p w14:paraId="40B5173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3.如您的押金条不慎丢失，持患者本人（和代办人）的有效证件到住院服务中心办理。</w:t>
      </w:r>
    </w:p>
    <w:p w14:paraId="37E3D4C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（四）病案复印</w:t>
      </w:r>
    </w:p>
    <w:p w14:paraId="0FD5BFA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病案于出院10个工作日后可复印、领取</w:t>
      </w:r>
    </w:p>
    <w:p w14:paraId="67B6030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1.持患者本人（和代办人）的身份证到住院服务中心人工窗口复印。</w:t>
      </w:r>
    </w:p>
    <w:p w14:paraId="3882C5E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2.拨打住院服务中心热线022-24966279预约复印病历。</w:t>
      </w:r>
    </w:p>
    <w:p w14:paraId="7A4FD05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3.病案复印支持自取和邮寄。</w:t>
      </w:r>
    </w:p>
    <w:p w14:paraId="33A8205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（五）生活用品选购和食堂订餐</w:t>
      </w:r>
    </w:p>
    <w:p w14:paraId="39539E1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如果您需要生活用品，使用微信扫码选购，下单后工作人员</w:t>
      </w:r>
      <w:r>
        <w:rPr>
          <w:rFonts w:hint="eastAsia" w:ascii="仿宋_GB2312" w:hAnsi="仿宋_GB2312" w:eastAsia="仿宋_GB2312" w:cs="仿宋_GB2312"/>
          <w:color w:val="auto"/>
          <w:sz w:val="32"/>
          <w:szCs w:val="32"/>
          <w:lang w:val="en-US" w:eastAsia="zh-CN"/>
        </w:rPr>
        <w:drawing>
          <wp:anchor distT="0" distB="0" distL="114300" distR="114300" simplePos="0" relativeHeight="251661312" behindDoc="0" locked="0" layoutInCell="1" allowOverlap="1">
            <wp:simplePos x="0" y="0"/>
            <wp:positionH relativeFrom="column">
              <wp:posOffset>2884170</wp:posOffset>
            </wp:positionH>
            <wp:positionV relativeFrom="paragraph">
              <wp:posOffset>5080</wp:posOffset>
            </wp:positionV>
            <wp:extent cx="1169670" cy="1069340"/>
            <wp:effectExtent l="0" t="0" r="11430" b="16510"/>
            <wp:wrapNone/>
            <wp:docPr id="3" name="图片 3" descr="d24eea18c475142a3fe461c7411e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4eea18c475142a3fe461c7411efcb"/>
                    <pic:cNvPicPr>
                      <a:picLocks noChangeAspect="1"/>
                    </pic:cNvPicPr>
                  </pic:nvPicPr>
                  <pic:blipFill>
                    <a:blip r:embed="rId8"/>
                    <a:stretch>
                      <a:fillRect/>
                    </a:stretch>
                  </pic:blipFill>
                  <pic:spPr>
                    <a:xfrm>
                      <a:off x="0" y="0"/>
                      <a:ext cx="1169670" cy="1069340"/>
                    </a:xfrm>
                    <a:prstGeom prst="rect">
                      <a:avLst/>
                    </a:prstGeom>
                  </pic:spPr>
                </pic:pic>
              </a:graphicData>
            </a:graphic>
          </wp:anchor>
        </w:drawing>
      </w:r>
      <w:r>
        <w:rPr>
          <w:rFonts w:hint="eastAsia" w:ascii="仿宋_GB2312" w:hAnsi="仿宋_GB2312" w:eastAsia="仿宋_GB2312" w:cs="仿宋_GB2312"/>
          <w:color w:val="auto"/>
          <w:sz w:val="32"/>
          <w:szCs w:val="32"/>
          <w:lang w:val="en-US" w:eastAsia="zh-CN"/>
        </w:rPr>
        <w:t>会按照您填写的信息送到床旁。</w:t>
      </w:r>
    </w:p>
    <w:p w14:paraId="27486A1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2AFE329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39B3CD1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如果您需要订餐，可拨打食堂订餐热线13072086895，下单后工作人员按时送到床旁。</w:t>
      </w:r>
    </w:p>
    <w:p w14:paraId="39FFF5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五、</w:t>
      </w:r>
      <w:r>
        <w:rPr>
          <w:rFonts w:hint="eastAsia" w:ascii="仿宋_GB2312" w:hAnsi="仿宋_GB2312" w:eastAsia="仿宋_GB2312" w:cs="仿宋_GB2312"/>
          <w:b w:val="0"/>
          <w:bCs/>
          <w:color w:val="000000" w:themeColor="text1"/>
          <w:sz w:val="32"/>
          <w:szCs w:val="32"/>
          <w14:textFill>
            <w14:solidFill>
              <w14:schemeClr w14:val="tx1"/>
            </w14:solidFill>
          </w14:textFill>
        </w:rPr>
        <w:t>预约诊疗</w:t>
      </w:r>
    </w:p>
    <w:p w14:paraId="4A8CE7C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（一）预约方式：津医保APP预约、支付宝APP预约、电话预约（022-24391960/022-24966267）、现场自助机预约、微信关注“东丽医院智慧门诊”预约。</w:t>
      </w:r>
    </w:p>
    <w:p w14:paraId="429A27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（二）预约时间：提前7天放号。</w:t>
      </w:r>
    </w:p>
    <w:p w14:paraId="77CAAE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（三）取号时间：预约时间提前30分钟。</w:t>
      </w:r>
    </w:p>
    <w:p w14:paraId="647A0DC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为缩短就诊等候时间，建议预约挂号（不含当日），按预约时间提前1小时来院取号，超过预约时段未取号，系统自动取消预约，并视为爽约1次，改变或取消预约挂号通过预约渠道提前1天办理，30天内有3次爽约记录将不能预约。</w:t>
      </w:r>
    </w:p>
    <w:p w14:paraId="1934969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b w:val="0"/>
          <w:bCs/>
          <w:color w:val="000000" w:themeColor="text1"/>
          <w:sz w:val="32"/>
          <w:szCs w:val="32"/>
          <w14:textFill>
            <w14:solidFill>
              <w14:schemeClr w14:val="tx1"/>
            </w14:solidFill>
          </w14:textFill>
        </w:rPr>
        <w:t>检验检查</w:t>
      </w:r>
    </w:p>
    <w:p w14:paraId="06DCDDF8">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检验科：</w:t>
      </w:r>
    </w:p>
    <w:p w14:paraId="6C57D242">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（一）检验流程</w:t>
      </w:r>
    </w:p>
    <w:p w14:paraId="5DCCAA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首先挂号由临床医生开具检验报告单，然后进行缴费，从采血窗口导诊台人工取号，根据医嘱进行采血、留尿、留便等。门诊抽血室采血时间：周一至周五：7:00-12:00 13:30-16:30；周六周日：7:30-12:00 13:30-16:30。</w:t>
      </w:r>
    </w:p>
    <w:p w14:paraId="3558A61E">
      <w:pPr>
        <w:ind w:firstLine="640" w:firstLineChars="200"/>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drawing>
          <wp:anchor distT="0" distB="0" distL="114300" distR="114300" simplePos="0" relativeHeight="251662336" behindDoc="0" locked="0" layoutInCell="1" allowOverlap="1">
            <wp:simplePos x="0" y="0"/>
            <wp:positionH relativeFrom="column">
              <wp:posOffset>1127125</wp:posOffset>
            </wp:positionH>
            <wp:positionV relativeFrom="paragraph">
              <wp:posOffset>21590</wp:posOffset>
            </wp:positionV>
            <wp:extent cx="3007360" cy="4058920"/>
            <wp:effectExtent l="0" t="0" r="2540" b="17780"/>
            <wp:wrapSquare wrapText="bothSides"/>
            <wp:docPr id="13915236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362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07360" cy="4058920"/>
                    </a:xfrm>
                    <a:prstGeom prst="rect">
                      <a:avLst/>
                    </a:prstGeom>
                    <a:noFill/>
                    <a:ln>
                      <a:noFill/>
                    </a:ln>
                  </pic:spPr>
                </pic:pic>
              </a:graphicData>
            </a:graphic>
          </wp:anchor>
        </w:drawing>
      </w:r>
    </w:p>
    <w:p w14:paraId="193CBD6D">
      <w:pPr>
        <w:rPr>
          <w:rFonts w:ascii="Times New Roman" w:hAnsi="Times New Roman" w:eastAsia="华文仿宋"/>
          <w:sz w:val="24"/>
        </w:rPr>
      </w:pPr>
    </w:p>
    <w:p w14:paraId="7B8F87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2E51ED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642652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4DBF3C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4DFFA2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221CE0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5CBFAB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7BB43B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19485B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5A27335F">
      <w:pPr>
        <w:pStyle w:val="12"/>
        <w:keepNext w:val="0"/>
        <w:keepLines w:val="0"/>
        <w:pageBreakBefore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b/>
          <w:bCs/>
          <w:sz w:val="32"/>
          <w:szCs w:val="32"/>
          <w:lang w:eastAsia="zh-CN"/>
        </w:rPr>
      </w:pPr>
    </w:p>
    <w:p w14:paraId="5D67C2E9">
      <w:pPr>
        <w:pStyle w:val="12"/>
        <w:keepNext w:val="0"/>
        <w:keepLines w:val="0"/>
        <w:pageBreakBefore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val="0"/>
          <w:bCs w:val="0"/>
          <w:sz w:val="32"/>
          <w:szCs w:val="32"/>
          <w:lang w:val="en-US" w:eastAsia="zh-CN"/>
        </w:rPr>
        <w:t>检验须知</w:t>
      </w:r>
    </w:p>
    <w:p w14:paraId="1290933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707070"/>
          <w:sz w:val="32"/>
          <w:szCs w:val="32"/>
          <w:shd w:val="clear" w:color="auto" w:fill="FFFFFF"/>
        </w:rPr>
      </w:pPr>
      <w:r>
        <w:rPr>
          <w:rFonts w:hint="eastAsia" w:ascii="仿宋_GB2312" w:hAnsi="仿宋_GB2312" w:eastAsia="仿宋_GB2312" w:cs="仿宋_GB2312"/>
          <w:b w:val="0"/>
          <w:bCs w:val="0"/>
          <w:color w:val="333333"/>
          <w:sz w:val="32"/>
          <w:szCs w:val="32"/>
          <w:shd w:val="clear" w:color="auto" w:fill="FFFFFF"/>
        </w:rPr>
        <w:t>血液样本留取和采集指南</w:t>
      </w:r>
    </w:p>
    <w:p w14:paraId="08B3E891">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血样本通常由医护人员采取，但患者需要做以下准备：</w:t>
      </w:r>
    </w:p>
    <w:p w14:paraId="7C29E9E9">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 避免剧烈运动及情绪激动  抽血前24小时内不应做剧烈运动以免引起血中乳酸、CK等成分升高；住院病人可在清晨起床前取血，门诊患者应至少休息15分钟后取血，同时应避免情绪紧张和激动。</w:t>
      </w:r>
    </w:p>
    <w:p w14:paraId="3EFD22F8">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 注意合理饮食  除急诊</w:t>
      </w:r>
      <w:r>
        <w:rPr>
          <w:rFonts w:hint="eastAsia" w:ascii="仿宋_GB2312" w:hAnsi="仿宋_GB2312" w:eastAsia="仿宋_GB2312" w:cs="仿宋_GB2312"/>
          <w:color w:val="auto"/>
          <w:sz w:val="32"/>
          <w:szCs w:val="32"/>
          <w:lang w:eastAsia="zh-CN"/>
        </w:rPr>
        <w:t>或其他</w:t>
      </w:r>
      <w:r>
        <w:rPr>
          <w:rFonts w:hint="eastAsia" w:ascii="仿宋_GB2312" w:hAnsi="仿宋_GB2312" w:eastAsia="仿宋_GB2312" w:cs="仿宋_GB2312"/>
          <w:color w:val="auto"/>
          <w:sz w:val="32"/>
          <w:szCs w:val="32"/>
        </w:rPr>
        <w:t>特殊原因外，一般主张在进食12～14小时后于清晨空腹取血。餐后或延长空腹时间（饥饿）均可引起血液化学成分的改变。饮食量及</w:t>
      </w:r>
      <w:r>
        <w:rPr>
          <w:rFonts w:hint="eastAsia" w:ascii="仿宋_GB2312" w:hAnsi="仿宋_GB2312" w:eastAsia="仿宋_GB2312" w:cs="仿宋_GB2312"/>
          <w:color w:val="auto"/>
          <w:sz w:val="32"/>
          <w:szCs w:val="32"/>
          <w:lang w:eastAsia="zh-CN"/>
        </w:rPr>
        <w:t>质量</w:t>
      </w:r>
      <w:r>
        <w:rPr>
          <w:rFonts w:hint="eastAsia" w:ascii="仿宋_GB2312" w:hAnsi="仿宋_GB2312" w:eastAsia="仿宋_GB2312" w:cs="仿宋_GB2312"/>
          <w:color w:val="auto"/>
          <w:sz w:val="32"/>
          <w:szCs w:val="32"/>
        </w:rPr>
        <w:t>对检验结果也有影响，通常建议检查前几天正常饮食，不要暴饮暴食，如有特殊饮食要求，请遵医嘱。检查前几日尽量不要饮酒，否则会引起乳酸、尿酸等结果的上升。</w:t>
      </w:r>
    </w:p>
    <w:p w14:paraId="66B5945C">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 药物影响  很多药物可使某些化验项目的结果增高或降低，故病人在化验前应告知临床医生所服药物并咨询是否需停服对检验有干扰的药物。</w:t>
      </w:r>
    </w:p>
    <w:p w14:paraId="4FBE96F6">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4. 取血时体位的影响  体位（站立、坐位、卧位）改变可以引起某些化验指标的显著变化，故建议住院患者以卧位最佳，门诊患者取血时以坐位为宜。</w:t>
      </w:r>
    </w:p>
    <w:p w14:paraId="6E096D84">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 需做内分泌等功能实验时，需要做特殊准备，请遵医嘱。</w:t>
      </w:r>
    </w:p>
    <w:p w14:paraId="17CD42A8">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bCs/>
          <w:color w:val="auto"/>
          <w:sz w:val="32"/>
          <w:szCs w:val="32"/>
          <w:shd w:val="clear" w:color="auto" w:fill="FFFFFF"/>
        </w:rPr>
      </w:pPr>
      <w:r>
        <w:rPr>
          <w:rFonts w:hint="eastAsia" w:ascii="仿宋_GB2312" w:hAnsi="仿宋_GB2312" w:eastAsia="仿宋_GB2312" w:cs="仿宋_GB2312"/>
          <w:b w:val="0"/>
          <w:bCs w:val="0"/>
          <w:color w:val="auto"/>
          <w:sz w:val="32"/>
          <w:szCs w:val="32"/>
          <w:shd w:val="clear" w:color="auto" w:fill="FFFFFF"/>
        </w:rPr>
        <w:t>尿液样本留取和采集指南</w:t>
      </w:r>
    </w:p>
    <w:p w14:paraId="702081BA">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取清洁干燥一次性尿杯一个（如在家中留取，容器应清洁干燥，避免药物存在），留取新鲜中段尿约10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12ml，倒入一次性尿管内。样本均以清晨第一次尿为宜，尿常规和尿hCG也可留取随机尿。样本留取前最好清洁尿道口及外阴，同时避免经血、白带、精液、粪便等混入污染。</w:t>
      </w:r>
    </w:p>
    <w:p w14:paraId="1E0BA769">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粘贴条形码时应注意将条形码竖向、严密粘贴于尿管壁上，避免横向或斜贴引起患者信息丢失。样本送达最佳时间为半小时以内，最长不要超过2小时，以免尿样本成分变质或被破坏影响检验结果。</w:t>
      </w:r>
    </w:p>
    <w:p w14:paraId="37C54647">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*中段尿：连续排尿不中断，此时截取中段排的尿作为送检样品。</w:t>
      </w:r>
    </w:p>
    <w:p w14:paraId="7F8F87F1">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shd w:val="clear" w:color="auto" w:fill="FFFFFF"/>
        </w:rPr>
        <w:t>粪便样本留取和采集指南</w:t>
      </w:r>
    </w:p>
    <w:p w14:paraId="7749D4E1">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用竹签挑取少许新鲜粪便（约蚕豆大小），应选择其中有脓血、粘液的部分或颜色异常部分，如无异常，则可自粪便表面不同部位及粪便深处多部位取材，放入干燥清洁的采便管立即送检，一定不要超过2小时。</w:t>
      </w:r>
    </w:p>
    <w:p w14:paraId="5F98308F">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样本中不可混有尿液，也尽量不要混有便盆或便池中</w:t>
      </w:r>
      <w:r>
        <w:rPr>
          <w:rFonts w:hint="eastAsia" w:ascii="仿宋_GB2312" w:hAnsi="仿宋_GB2312" w:eastAsia="仿宋_GB2312" w:cs="仿宋_GB2312"/>
          <w:color w:val="auto"/>
          <w:sz w:val="32"/>
          <w:szCs w:val="32"/>
          <w:lang w:eastAsia="zh-CN"/>
        </w:rPr>
        <w:t>的其他</w:t>
      </w:r>
      <w:r>
        <w:rPr>
          <w:rFonts w:hint="eastAsia" w:ascii="仿宋_GB2312" w:hAnsi="仿宋_GB2312" w:eastAsia="仿宋_GB2312" w:cs="仿宋_GB2312"/>
          <w:color w:val="auto"/>
          <w:sz w:val="32"/>
          <w:szCs w:val="32"/>
        </w:rPr>
        <w:t>液体，避免混入植物、泥土、花粉等异物。粪便样本不得用纸类包裹或放入吸水纸盒中，以防水分丢失、细胞被破坏；容器中不得含有任何药物成分。隐血试验时应避免在检查前3日服用大量维生素C。</w:t>
      </w:r>
    </w:p>
    <w:p w14:paraId="462F1EA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shd w:val="clear" w:color="auto" w:fill="FFFFFF"/>
        </w:rPr>
        <w:t>痰液样本留取和采集指南</w:t>
      </w:r>
    </w:p>
    <w:p w14:paraId="19B8EBE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准备无菌痰盒或痰杯。一般检查应采集清晨第一口痰为宜。患者晨起用清水反复漱口，然后用力咯出气管深处痰液（不要从咽部或口腔咳出的痰），盛于无菌痰杯内，盖紧盖，立即送检（不应超过2小时）。注意样本内切勿混入唾液及鼻咽分泌物。对无痰、少痰或痰脓不易咯出者，可用45°C加温生理盐水（0.9％NaCl）雾化吸入后留取。</w:t>
      </w:r>
    </w:p>
    <w:p w14:paraId="57F6FE7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shd w:val="clear" w:color="auto" w:fill="FFFFFF"/>
        </w:rPr>
      </w:pPr>
      <w:r>
        <w:rPr>
          <w:rFonts w:hint="eastAsia" w:ascii="仿宋_GB2312" w:hAnsi="仿宋_GB2312" w:eastAsia="仿宋_GB2312" w:cs="仿宋_GB2312"/>
          <w:b w:val="0"/>
          <w:bCs w:val="0"/>
          <w:color w:val="auto"/>
          <w:sz w:val="32"/>
          <w:szCs w:val="32"/>
          <w:shd w:val="clear" w:color="auto" w:fill="FFFFFF"/>
        </w:rPr>
        <w:t>精液样本留取和采集指南</w:t>
      </w:r>
    </w:p>
    <w:p w14:paraId="4431B5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患者检查前</w:t>
      </w:r>
      <w:r>
        <w:rPr>
          <w:rFonts w:hint="eastAsia" w:ascii="仿宋_GB2312" w:hAnsi="仿宋_GB2312" w:eastAsia="仿宋_GB2312" w:cs="仿宋_GB2312"/>
          <w:color w:val="auto"/>
          <w:sz w:val="32"/>
          <w:szCs w:val="32"/>
          <w:shd w:val="clear" w:color="auto" w:fill="FFFFFF"/>
          <w:lang w:val="en-US" w:eastAsia="zh-CN"/>
        </w:rPr>
        <w:t>3</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5</w:t>
      </w:r>
      <w:r>
        <w:rPr>
          <w:rFonts w:hint="eastAsia" w:ascii="仿宋_GB2312" w:hAnsi="仿宋_GB2312" w:eastAsia="仿宋_GB2312" w:cs="仿宋_GB2312"/>
          <w:color w:val="auto"/>
          <w:sz w:val="32"/>
          <w:szCs w:val="32"/>
          <w:shd w:val="clear" w:color="auto" w:fill="FFFFFF"/>
        </w:rPr>
        <w:t>日内禁欲（无性交、手淫及遗精），即</w:t>
      </w:r>
      <w:r>
        <w:rPr>
          <w:rFonts w:hint="eastAsia" w:ascii="仿宋_GB2312" w:hAnsi="仿宋_GB2312" w:eastAsia="仿宋_GB2312" w:cs="仿宋_GB2312"/>
          <w:color w:val="auto"/>
          <w:sz w:val="32"/>
          <w:szCs w:val="32"/>
          <w:shd w:val="clear" w:color="auto" w:fill="FFFFFF"/>
          <w:lang w:val="en-US" w:eastAsia="zh-CN"/>
        </w:rPr>
        <w:t>3</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5</w:t>
      </w:r>
      <w:r>
        <w:rPr>
          <w:rFonts w:hint="eastAsia" w:ascii="仿宋_GB2312" w:hAnsi="仿宋_GB2312" w:eastAsia="仿宋_GB2312" w:cs="仿宋_GB2312"/>
          <w:color w:val="auto"/>
          <w:sz w:val="32"/>
          <w:szCs w:val="32"/>
          <w:shd w:val="clear" w:color="auto" w:fill="FFFFFF"/>
        </w:rPr>
        <w:t>日内未排精。检查当日患者通过手淫将精液全部射于精液标本专用采集管中。在条码上标注采取时间和前次排精日期。样本应于30分钟内送检，天冷时样本需保温送检。切忌用乳胶避孕套采集精液。</w:t>
      </w:r>
    </w:p>
    <w:p w14:paraId="4994FFD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shd w:val="clear" w:color="auto" w:fill="FFFFFF"/>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三）</w:t>
      </w:r>
      <w:r>
        <w:rPr>
          <w:rFonts w:hint="eastAsia" w:ascii="仿宋_GB2312" w:hAnsi="仿宋_GB2312" w:eastAsia="仿宋_GB2312" w:cs="仿宋_GB2312"/>
          <w:b w:val="0"/>
          <w:bCs w:val="0"/>
          <w:color w:val="auto"/>
          <w:sz w:val="32"/>
          <w:szCs w:val="32"/>
        </w:rPr>
        <w:t>注意事项</w:t>
      </w:r>
    </w:p>
    <w:p w14:paraId="407FE77D">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1.血标本采集要求空腹8</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12小时，一般在清晨或上午采集为宜，此间血液中各种化学</w:t>
      </w:r>
      <w:r>
        <w:rPr>
          <w:rFonts w:hint="eastAsia" w:ascii="仿宋_GB2312" w:hAnsi="仿宋_GB2312" w:eastAsia="仿宋_GB2312" w:cs="仿宋_GB2312"/>
          <w:color w:val="auto"/>
          <w:kern w:val="0"/>
          <w:sz w:val="32"/>
          <w:szCs w:val="32"/>
          <w:lang w:eastAsia="zh-CN"/>
        </w:rPr>
        <w:t>成分</w:t>
      </w:r>
      <w:r>
        <w:rPr>
          <w:rFonts w:hint="eastAsia" w:ascii="仿宋_GB2312" w:hAnsi="仿宋_GB2312" w:eastAsia="仿宋_GB2312" w:cs="仿宋_GB2312"/>
          <w:color w:val="auto"/>
          <w:kern w:val="0"/>
          <w:sz w:val="32"/>
          <w:szCs w:val="32"/>
        </w:rPr>
        <w:t>处于相对恒定状态，检验结果相对准确。</w:t>
      </w:r>
    </w:p>
    <w:p w14:paraId="43663CAF">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2.采血当日不要穿袖口过小过紧的衣服，避免衣袖过紧，引起标本溶血或血管血肿。</w:t>
      </w:r>
    </w:p>
    <w:p w14:paraId="6FA08D01">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 准备检验前2</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3日内，尽可能避免高脂肪、高糖或高热量饮食，24小时内不得饮酒。避免长跑、游泳等剧烈运动，保持心情平静，避免情绪波动。</w:t>
      </w:r>
    </w:p>
    <w:p w14:paraId="69BC8F4E">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auto"/>
          <w:kern w:val="0"/>
          <w:sz w:val="32"/>
          <w:szCs w:val="32"/>
        </w:rPr>
        <w:t>4.尿、便标本收集前领取医院提供的一次性专业容器。注意尿杯不宜用药瓶</w:t>
      </w:r>
      <w:r>
        <w:rPr>
          <w:rFonts w:hint="eastAsia" w:ascii="仿宋_GB2312" w:hAnsi="仿宋_GB2312" w:eastAsia="仿宋_GB2312" w:cs="仿宋_GB2312"/>
          <w:color w:val="auto"/>
          <w:kern w:val="0"/>
          <w:sz w:val="32"/>
          <w:szCs w:val="32"/>
          <w:lang w:eastAsia="zh-CN"/>
        </w:rPr>
        <w:t>等其他</w:t>
      </w:r>
      <w:r>
        <w:rPr>
          <w:rFonts w:hint="eastAsia" w:ascii="仿宋_GB2312" w:hAnsi="仿宋_GB2312" w:eastAsia="仿宋_GB2312" w:cs="仿宋_GB2312"/>
          <w:color w:val="auto"/>
          <w:kern w:val="0"/>
          <w:sz w:val="32"/>
          <w:szCs w:val="32"/>
        </w:rPr>
        <w:t>容器替代，便盒不能用卫生纸、尿不湿等取代。进行细菌培养的标本必须使用细菌室提供的</w:t>
      </w:r>
      <w:r>
        <w:rPr>
          <w:rFonts w:hint="eastAsia" w:ascii="仿宋_GB2312" w:hAnsi="仿宋_GB2312" w:eastAsia="仿宋_GB2312" w:cs="仿宋_GB2312"/>
          <w:color w:val="000000"/>
          <w:kern w:val="0"/>
          <w:sz w:val="32"/>
          <w:szCs w:val="32"/>
        </w:rPr>
        <w:t>专用灭菌容器。</w:t>
      </w:r>
    </w:p>
    <w:p w14:paraId="453516A3">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5.尿液标本要防止月经血、白带、精液、前列腺液、粪便等混入，留取尿量10～20毫升。不能及时送检尿标本视检验项目可加入适量防腐剂（由检验科提供）。</w:t>
      </w:r>
    </w:p>
    <w:p w14:paraId="245D878D">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6.留取粪便标本时应尽量挑取含有粘液、脓血等异常的部分，不能使用卫生纸、棉签或吸水物质挑取，还应防止外界杂物的污染。</w:t>
      </w:r>
    </w:p>
    <w:p w14:paraId="3CB0845E">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7.留取精液标本前应禁欲，将精液直接排入洁净的容器中，注意保温并及时送检，禁止用避孕套留取。</w:t>
      </w:r>
    </w:p>
    <w:p w14:paraId="6D4861AE">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8. 阴道分泌物采集前应禁止房事、盆浴、阴道灌洗及局部用药，经期患者不宜留取标本。</w:t>
      </w:r>
    </w:p>
    <w:p w14:paraId="37526593">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9. 痰标本留取以清晨第一次咳出的痰效果最好。留取前用清水漱口数次，清除口腔内食物残渣及部分杂菌，用力咳嗽由气管内咳出的痰液，并存于专用痰盒。唾液或鼻涕混入将严重影响检测结果。</w:t>
      </w:r>
    </w:p>
    <w:p w14:paraId="66BA3C40">
      <w:pPr>
        <w:keepNext w:val="0"/>
        <w:keepLines w:val="0"/>
        <w:pageBreakBefore w:val="0"/>
        <w:widowControl/>
        <w:kinsoku/>
        <w:wordWrap/>
        <w:overflowPunct/>
        <w:topLinePunct w:val="0"/>
        <w:autoSpaceDE/>
        <w:autoSpaceDN/>
        <w:bidi w:val="0"/>
        <w:adjustRightInd/>
        <w:snapToGrid/>
        <w:spacing w:line="560" w:lineRule="exact"/>
        <w:ind w:left="170"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10.标本留取后请注明留取时间，为保证标本质量，尽可能在第一时间及时送检。</w:t>
      </w:r>
    </w:p>
    <w:p w14:paraId="2224683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检验结果可受到生理、情绪、运动、药物、饮食、体位、留取方法等诸多因素影响。因此，在标本留取前与工作人员咨询沟通，得到您的配合，才能获得高质量的标本，保证检验结果的准确。</w:t>
      </w:r>
    </w:p>
    <w:p w14:paraId="1465B25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bookmarkStart w:id="0" w:name="_Hlk154862071"/>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rPr>
        <w:t>报告获取时间及方式</w:t>
      </w:r>
    </w:p>
    <w:p w14:paraId="0383BD4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报告获取时间</w:t>
      </w:r>
    </w:p>
    <w:bookmarkEnd w:id="0"/>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0"/>
        <w:gridCol w:w="4030"/>
      </w:tblGrid>
      <w:tr w14:paraId="3053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6B39D029">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检验项目</w:t>
            </w:r>
          </w:p>
        </w:tc>
        <w:tc>
          <w:tcPr>
            <w:tcW w:w="4030" w:type="dxa"/>
          </w:tcPr>
          <w:p w14:paraId="1A6870ED">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结果发布时间</w:t>
            </w:r>
          </w:p>
        </w:tc>
      </w:tr>
      <w:tr w14:paraId="2076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49A80F7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血常规</w:t>
            </w:r>
          </w:p>
        </w:tc>
        <w:tc>
          <w:tcPr>
            <w:tcW w:w="4030" w:type="dxa"/>
          </w:tcPr>
          <w:p w14:paraId="4F296540">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34FE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40634939">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尿常规</w:t>
            </w:r>
          </w:p>
        </w:tc>
        <w:tc>
          <w:tcPr>
            <w:tcW w:w="4030" w:type="dxa"/>
          </w:tcPr>
          <w:p w14:paraId="69EAB64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04C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05F7BA21">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粪便常规</w:t>
            </w:r>
          </w:p>
        </w:tc>
        <w:tc>
          <w:tcPr>
            <w:tcW w:w="4030" w:type="dxa"/>
          </w:tcPr>
          <w:p w14:paraId="64EFE235">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38B9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620F97C5">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阴道分泌物常规</w:t>
            </w:r>
          </w:p>
        </w:tc>
        <w:tc>
          <w:tcPr>
            <w:tcW w:w="4030" w:type="dxa"/>
          </w:tcPr>
          <w:p w14:paraId="69E5CE2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5C19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7E0097B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甲/乙型流感病毒抗原检测</w:t>
            </w:r>
          </w:p>
        </w:tc>
        <w:tc>
          <w:tcPr>
            <w:tcW w:w="4030" w:type="dxa"/>
          </w:tcPr>
          <w:p w14:paraId="070953B0">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05A9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29744B59">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新型冠状病毒检测</w:t>
            </w:r>
          </w:p>
        </w:tc>
        <w:tc>
          <w:tcPr>
            <w:tcW w:w="4030" w:type="dxa"/>
          </w:tcPr>
          <w:p w14:paraId="7BB5FE0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7F2D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02022416">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肺炎支原体抗体检测</w:t>
            </w:r>
          </w:p>
        </w:tc>
        <w:tc>
          <w:tcPr>
            <w:tcW w:w="4030" w:type="dxa"/>
          </w:tcPr>
          <w:p w14:paraId="46E0AD3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1FF3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64DA1CC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B族链球菌检测</w:t>
            </w:r>
          </w:p>
        </w:tc>
        <w:tc>
          <w:tcPr>
            <w:tcW w:w="4030" w:type="dxa"/>
          </w:tcPr>
          <w:p w14:paraId="15F28CE1">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59B4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77CDA0B1">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尿妊娠试验</w:t>
            </w:r>
          </w:p>
        </w:tc>
        <w:tc>
          <w:tcPr>
            <w:tcW w:w="4030" w:type="dxa"/>
          </w:tcPr>
          <w:p w14:paraId="20912710">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2C74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4E6E6EF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心肌指标检测</w:t>
            </w:r>
          </w:p>
        </w:tc>
        <w:tc>
          <w:tcPr>
            <w:tcW w:w="4030" w:type="dxa"/>
          </w:tcPr>
          <w:p w14:paraId="1FC8E705">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30分钟</w:t>
            </w:r>
          </w:p>
        </w:tc>
      </w:tr>
      <w:tr w14:paraId="4641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74872C6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凝血功能检测</w:t>
            </w:r>
          </w:p>
        </w:tc>
        <w:tc>
          <w:tcPr>
            <w:tcW w:w="4030" w:type="dxa"/>
          </w:tcPr>
          <w:p w14:paraId="74E5C3FD">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60分钟</w:t>
            </w:r>
          </w:p>
        </w:tc>
      </w:tr>
      <w:tr w14:paraId="5218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603FC2D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阴道微生态检测分析</w:t>
            </w:r>
          </w:p>
        </w:tc>
        <w:tc>
          <w:tcPr>
            <w:tcW w:w="4030" w:type="dxa"/>
          </w:tcPr>
          <w:p w14:paraId="270319D0">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60分钟</w:t>
            </w:r>
          </w:p>
        </w:tc>
      </w:tr>
      <w:tr w14:paraId="273E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30" w:type="dxa"/>
          </w:tcPr>
          <w:p w14:paraId="5A815B36">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精液常规</w:t>
            </w:r>
          </w:p>
        </w:tc>
        <w:tc>
          <w:tcPr>
            <w:tcW w:w="4030" w:type="dxa"/>
          </w:tcPr>
          <w:p w14:paraId="787236AC">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10点前送样，当日13:00取报告</w:t>
            </w:r>
          </w:p>
        </w:tc>
      </w:tr>
      <w:tr w14:paraId="541B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4030" w:type="dxa"/>
          </w:tcPr>
          <w:p w14:paraId="3AE499A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生化项目检测</w:t>
            </w:r>
          </w:p>
        </w:tc>
        <w:tc>
          <w:tcPr>
            <w:tcW w:w="4030" w:type="dxa"/>
          </w:tcPr>
          <w:p w14:paraId="798A7A5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12点前完成抽血，当日15:00取报告</w:t>
            </w:r>
          </w:p>
        </w:tc>
      </w:tr>
      <w:tr w14:paraId="7A8E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030" w:type="dxa"/>
          </w:tcPr>
          <w:p w14:paraId="1E223BA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免疫项目检测</w:t>
            </w:r>
          </w:p>
        </w:tc>
        <w:tc>
          <w:tcPr>
            <w:tcW w:w="4030" w:type="dxa"/>
          </w:tcPr>
          <w:p w14:paraId="16A11F3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第二天15:00取报告</w:t>
            </w:r>
          </w:p>
        </w:tc>
      </w:tr>
    </w:tbl>
    <w:p w14:paraId="347B32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76634B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2.报告获取方式分为线上查询和自助打印纸质版报告。</w:t>
      </w:r>
    </w:p>
    <w:p w14:paraId="2A9E274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线上报告获取方式为：</w:t>
      </w:r>
    </w:p>
    <w:p w14:paraId="4584676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支付宝搜索“天津市东丽医院”或扫码进入小程序，授权使用医保电子凭证，患者在就诊过程中，通过一部手机就能随时随地进行医保结算和个人自费支付，报告查询。</w:t>
      </w:r>
    </w:p>
    <w:p w14:paraId="35CD4AF3">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sz w:val="32"/>
          <w:szCs w:val="32"/>
        </w:rPr>
      </w:pPr>
      <w:r>
        <w:rPr>
          <w:rStyle w:val="10"/>
          <w:rFonts w:hint="eastAsia" w:ascii="仿宋_GB2312" w:hAnsi="仿宋_GB2312" w:eastAsia="仿宋_GB2312" w:cs="仿宋_GB2312"/>
          <w:b w:val="0"/>
          <w:bCs w:val="0"/>
          <w:sz w:val="32"/>
          <w:szCs w:val="32"/>
        </w:rPr>
        <w:t>操作说明：</w:t>
      </w:r>
    </w:p>
    <w:p w14:paraId="3D51743E">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天津市东丽医院“支付宝医保移动支付”小程序线上医保预约、挂号、缴费操作流程：</w:t>
      </w:r>
    </w:p>
    <w:p w14:paraId="631AEF0E">
      <w:pPr>
        <w:pStyle w:val="12"/>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打开支付宝APP，搜索“天津市东丽医院”或扫码进入支付宝小程序。</w:t>
      </w:r>
    </w:p>
    <w:p w14:paraId="57AF2B88">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239770" cy="3470275"/>
            <wp:effectExtent l="0" t="0" r="17780" b="15875"/>
            <wp:docPr id="113307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7439"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39770" cy="3470275"/>
                    </a:xfrm>
                    <a:prstGeom prst="rect">
                      <a:avLst/>
                    </a:prstGeom>
                    <a:noFill/>
                    <a:ln>
                      <a:noFill/>
                    </a:ln>
                  </pic:spPr>
                </pic:pic>
              </a:graphicData>
            </a:graphic>
          </wp:inline>
        </w:drawing>
      </w:r>
    </w:p>
    <w:p w14:paraId="4BB2D985">
      <w:pPr>
        <w:rPr>
          <w:rFonts w:hint="eastAsia" w:ascii="仿宋_GB2312" w:hAnsi="仿宋_GB2312" w:eastAsia="仿宋_GB2312" w:cs="仿宋_GB2312"/>
          <w:sz w:val="32"/>
          <w:szCs w:val="32"/>
        </w:rPr>
      </w:pPr>
    </w:p>
    <w:p w14:paraId="06D16046">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2.进入“天津东丽医院”小程序，选择报告查询。</w:t>
      </w:r>
    </w:p>
    <w:p w14:paraId="2B17DC4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0" distR="0" simplePos="0" relativeHeight="251663360" behindDoc="0" locked="0" layoutInCell="1" allowOverlap="1">
            <wp:simplePos x="0" y="0"/>
            <wp:positionH relativeFrom="column">
              <wp:posOffset>1341755</wp:posOffset>
            </wp:positionH>
            <wp:positionV relativeFrom="paragraph">
              <wp:posOffset>74930</wp:posOffset>
            </wp:positionV>
            <wp:extent cx="2480310" cy="3555365"/>
            <wp:effectExtent l="0" t="0" r="15240" b="6985"/>
            <wp:wrapSquare wrapText="bothSides"/>
            <wp:docPr id="4463648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4811"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80310" cy="3555365"/>
                    </a:xfrm>
                    <a:prstGeom prst="rect">
                      <a:avLst/>
                    </a:prstGeom>
                    <a:noFill/>
                    <a:ln>
                      <a:noFill/>
                    </a:ln>
                  </pic:spPr>
                </pic:pic>
              </a:graphicData>
            </a:graphic>
          </wp:anchor>
        </w:drawing>
      </w:r>
    </w:p>
    <w:p w14:paraId="19B0AB5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rPr>
      </w:pPr>
    </w:p>
    <w:p w14:paraId="050467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059A9A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1B4146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6CA7E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7C5C4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22E6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0D5A4A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19AD12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F0277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0" distR="0" simplePos="0" relativeHeight="251664384" behindDoc="0" locked="0" layoutInCell="1" allowOverlap="1">
            <wp:simplePos x="0" y="0"/>
            <wp:positionH relativeFrom="column">
              <wp:posOffset>1876425</wp:posOffset>
            </wp:positionH>
            <wp:positionV relativeFrom="paragraph">
              <wp:posOffset>656590</wp:posOffset>
            </wp:positionV>
            <wp:extent cx="1616710" cy="2665730"/>
            <wp:effectExtent l="0" t="0" r="2540" b="1270"/>
            <wp:wrapSquare wrapText="bothSides"/>
            <wp:docPr id="18262416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41692"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16710" cy="2665730"/>
                    </a:xfrm>
                    <a:prstGeom prst="rect">
                      <a:avLst/>
                    </a:prstGeom>
                    <a:noFill/>
                    <a:ln>
                      <a:noFill/>
                    </a:ln>
                  </pic:spPr>
                </pic:pic>
              </a:graphicData>
            </a:graphic>
          </wp:anchor>
        </w:drawing>
      </w:r>
      <w:r>
        <w:rPr>
          <w:rFonts w:hint="eastAsia" w:ascii="仿宋_GB2312" w:hAnsi="仿宋_GB2312" w:eastAsia="仿宋_GB2312" w:cs="仿宋_GB2312"/>
          <w:sz w:val="32"/>
          <w:szCs w:val="32"/>
        </w:rPr>
        <w:t>3.进入检验报告模块，即可查询到检验报告。</w:t>
      </w:r>
    </w:p>
    <w:p w14:paraId="79E7B99C">
      <w:pPr>
        <w:jc w:val="center"/>
        <w:rPr>
          <w:rFonts w:hint="eastAsia" w:ascii="仿宋_GB2312" w:hAnsi="仿宋_GB2312" w:eastAsia="仿宋_GB2312" w:cs="仿宋_GB2312"/>
          <w:sz w:val="32"/>
          <w:szCs w:val="32"/>
        </w:rPr>
      </w:pPr>
    </w:p>
    <w:p w14:paraId="37A79876">
      <w:pPr>
        <w:rPr>
          <w:rFonts w:hint="eastAsia" w:ascii="仿宋_GB2312" w:hAnsi="仿宋_GB2312" w:eastAsia="仿宋_GB2312" w:cs="仿宋_GB2312"/>
          <w:sz w:val="32"/>
          <w:szCs w:val="32"/>
        </w:rPr>
      </w:pPr>
    </w:p>
    <w:p w14:paraId="616F4AA3">
      <w:pPr>
        <w:rPr>
          <w:rFonts w:hint="eastAsia" w:ascii="仿宋_GB2312" w:hAnsi="仿宋_GB2312" w:eastAsia="仿宋_GB2312" w:cs="仿宋_GB2312"/>
          <w:sz w:val="32"/>
          <w:szCs w:val="32"/>
        </w:rPr>
      </w:pPr>
    </w:p>
    <w:p w14:paraId="633EF3C6">
      <w:pPr>
        <w:rPr>
          <w:rFonts w:hint="eastAsia" w:ascii="仿宋_GB2312" w:hAnsi="仿宋_GB2312" w:eastAsia="仿宋_GB2312" w:cs="仿宋_GB2312"/>
          <w:sz w:val="32"/>
          <w:szCs w:val="32"/>
        </w:rPr>
      </w:pPr>
    </w:p>
    <w:p w14:paraId="6492C2DB">
      <w:pPr>
        <w:rPr>
          <w:rFonts w:hint="eastAsia" w:ascii="仿宋_GB2312" w:hAnsi="仿宋_GB2312" w:eastAsia="仿宋_GB2312" w:cs="仿宋_GB2312"/>
          <w:sz w:val="32"/>
          <w:szCs w:val="32"/>
        </w:rPr>
      </w:pPr>
    </w:p>
    <w:p w14:paraId="665D02EF">
      <w:pPr>
        <w:rPr>
          <w:rFonts w:hint="eastAsia" w:ascii="仿宋_GB2312" w:hAnsi="仿宋_GB2312" w:eastAsia="仿宋_GB2312" w:cs="仿宋_GB2312"/>
          <w:sz w:val="32"/>
          <w:szCs w:val="32"/>
        </w:rPr>
      </w:pPr>
    </w:p>
    <w:p w14:paraId="21EAEC6E">
      <w:pPr>
        <w:rPr>
          <w:rFonts w:hint="eastAsia" w:ascii="仿宋_GB2312" w:hAnsi="仿宋_GB2312" w:eastAsia="仿宋_GB2312" w:cs="仿宋_GB2312"/>
          <w:sz w:val="32"/>
          <w:szCs w:val="32"/>
        </w:rPr>
      </w:pPr>
    </w:p>
    <w:p w14:paraId="2561329A">
      <w:pPr>
        <w:rPr>
          <w:rFonts w:hint="eastAsia" w:ascii="仿宋_GB2312" w:hAnsi="仿宋_GB2312" w:eastAsia="仿宋_GB2312" w:cs="仿宋_GB2312"/>
          <w:sz w:val="32"/>
          <w:szCs w:val="32"/>
        </w:rPr>
      </w:pPr>
    </w:p>
    <w:p w14:paraId="7F7662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自助打印纸质版报告方式为：患者凭借采血指引单到门诊大厅自助打印机上打印即可。</w:t>
      </w:r>
    </w:p>
    <w:p w14:paraId="6BFCFD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超声科：</w:t>
      </w:r>
    </w:p>
    <w:p w14:paraId="7A9D50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一）检查</w:t>
      </w:r>
      <w:r>
        <w:rPr>
          <w:rFonts w:hint="eastAsia" w:ascii="仿宋_GB2312" w:hAnsi="仿宋_GB2312" w:eastAsia="仿宋_GB2312" w:cs="仿宋_GB2312"/>
          <w:sz w:val="32"/>
          <w:szCs w:val="32"/>
        </w:rPr>
        <w:t>流程：需要在相关临床科室开具申请单，缴费，再到超声科预约或检查。</w:t>
      </w:r>
    </w:p>
    <w:p w14:paraId="59322A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二）检查</w:t>
      </w:r>
      <w:r>
        <w:rPr>
          <w:rFonts w:hint="eastAsia" w:ascii="仿宋_GB2312" w:hAnsi="仿宋_GB2312" w:eastAsia="仿宋_GB2312" w:cs="仿宋_GB2312"/>
          <w:sz w:val="32"/>
          <w:szCs w:val="32"/>
        </w:rPr>
        <w:t>须知：</w:t>
      </w:r>
    </w:p>
    <w:p w14:paraId="285945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检查四肢血管需要提前预约</w:t>
      </w:r>
    </w:p>
    <w:p w14:paraId="5E97A7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检查四维和NT需要提前预约</w:t>
      </w:r>
    </w:p>
    <w:p w14:paraId="0E7F83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检查心脏和颈动脉，每周周一～周五和周六上午，其他时间和节假日不检查</w:t>
      </w:r>
    </w:p>
    <w:p w14:paraId="6C077A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注意事项：</w:t>
      </w:r>
    </w:p>
    <w:p w14:paraId="05B069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检查腹部，需要当日禁食水，前一天晚上清淡饮食。</w:t>
      </w:r>
    </w:p>
    <w:p w14:paraId="65A636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检查泌尿系及经腹妇科需要憋尿。</w:t>
      </w:r>
    </w:p>
    <w:p w14:paraId="5704A7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孕12周之前经腹检查需要憋尿。</w:t>
      </w:r>
    </w:p>
    <w:p w14:paraId="523351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sz w:val="28"/>
          <w:szCs w:val="36"/>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报告获取时间：常规检查半小时内出具纸质报告。</w:t>
      </w:r>
    </w:p>
    <w:p w14:paraId="7B1028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影像科：</w:t>
      </w:r>
    </w:p>
    <w:p w14:paraId="376DC44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CT检查流程图</w:t>
      </w:r>
    </w:p>
    <w:p w14:paraId="1BD2DDC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b w:val="0"/>
          <w:bCs/>
          <w:color w:val="auto"/>
          <w:sz w:val="32"/>
          <w:szCs w:val="32"/>
          <w:highlight w:val="none"/>
          <w:lang w:val="en-US" w:eastAsia="zh-CN"/>
        </w:rPr>
      </w:pPr>
      <w:r>
        <w:drawing>
          <wp:anchor distT="0" distB="0" distL="114300" distR="114300" simplePos="0" relativeHeight="251670528" behindDoc="0" locked="0" layoutInCell="1" allowOverlap="1">
            <wp:simplePos x="0" y="0"/>
            <wp:positionH relativeFrom="column">
              <wp:posOffset>158115</wp:posOffset>
            </wp:positionH>
            <wp:positionV relativeFrom="paragraph">
              <wp:posOffset>67945</wp:posOffset>
            </wp:positionV>
            <wp:extent cx="5034280" cy="4947285"/>
            <wp:effectExtent l="0" t="0" r="13970" b="5715"/>
            <wp:wrapTopAndBottom/>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13"/>
                    <a:stretch>
                      <a:fillRect/>
                    </a:stretch>
                  </pic:blipFill>
                  <pic:spPr>
                    <a:xfrm>
                      <a:off x="0" y="0"/>
                      <a:ext cx="5034280" cy="4947285"/>
                    </a:xfrm>
                    <a:prstGeom prst="rect">
                      <a:avLst/>
                    </a:prstGeom>
                    <a:noFill/>
                    <a:ln>
                      <a:noFill/>
                    </a:ln>
                  </pic:spPr>
                </pic:pic>
              </a:graphicData>
            </a:graphic>
          </wp:anchor>
        </w:drawing>
      </w:r>
    </w:p>
    <w:p w14:paraId="43C7940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420" w:firstLine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DR检查流程图</w:t>
      </w:r>
    </w:p>
    <w:p w14:paraId="13C914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Times New Roman" w:hAnsi="Times New Roman" w:eastAsia="仿宋_GB2312" w:cs="Times New Roman"/>
          <w:b w:val="0"/>
          <w:bCs/>
          <w:color w:val="FF0000"/>
          <w:sz w:val="32"/>
          <w:szCs w:val="32"/>
          <w:highlight w:val="none"/>
          <w:lang w:val="en-US" w:eastAsia="zh-CN"/>
        </w:rPr>
      </w:pPr>
      <w:r>
        <w:drawing>
          <wp:anchor distT="0" distB="0" distL="114300" distR="114300" simplePos="0" relativeHeight="251669504" behindDoc="0" locked="0" layoutInCell="1" allowOverlap="1">
            <wp:simplePos x="0" y="0"/>
            <wp:positionH relativeFrom="column">
              <wp:posOffset>142875</wp:posOffset>
            </wp:positionH>
            <wp:positionV relativeFrom="paragraph">
              <wp:posOffset>331470</wp:posOffset>
            </wp:positionV>
            <wp:extent cx="5274310" cy="5340350"/>
            <wp:effectExtent l="0" t="0" r="2540" b="12700"/>
            <wp:wrapTopAndBottom/>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4"/>
                    <a:stretch>
                      <a:fillRect/>
                    </a:stretch>
                  </pic:blipFill>
                  <pic:spPr>
                    <a:xfrm>
                      <a:off x="0" y="0"/>
                      <a:ext cx="5274310" cy="5340350"/>
                    </a:xfrm>
                    <a:prstGeom prst="rect">
                      <a:avLst/>
                    </a:prstGeom>
                    <a:noFill/>
                    <a:ln>
                      <a:noFill/>
                    </a:ln>
                  </pic:spPr>
                </pic:pic>
              </a:graphicData>
            </a:graphic>
          </wp:anchor>
        </w:drawing>
      </w:r>
      <w:r>
        <w:rPr>
          <w:rFonts w:hint="eastAsia" w:ascii="Times New Roman" w:hAnsi="Times New Roman" w:eastAsia="仿宋_GB2312" w:cs="Times New Roman"/>
          <w:b w:val="0"/>
          <w:bCs/>
          <w:color w:val="FF0000"/>
          <w:sz w:val="32"/>
          <w:szCs w:val="32"/>
          <w:highlight w:val="none"/>
          <w:lang w:val="en-US" w:eastAsia="zh-CN"/>
        </w:rPr>
        <w:t xml:space="preserve"> </w:t>
      </w:r>
    </w:p>
    <w:p w14:paraId="091140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color w:val="FF0000"/>
          <w:sz w:val="32"/>
          <w:szCs w:val="32"/>
          <w:highlight w:val="none"/>
          <w:lang w:val="en-US" w:eastAsia="zh-CN"/>
        </w:rPr>
      </w:pPr>
    </w:p>
    <w:p w14:paraId="0E9DC3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bCs/>
          <w:color w:val="FF0000"/>
          <w:sz w:val="32"/>
          <w:szCs w:val="32"/>
          <w:highlight w:val="none"/>
          <w:lang w:val="en-US" w:eastAsia="zh-CN"/>
        </w:rPr>
      </w:pPr>
    </w:p>
    <w:p w14:paraId="306C94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（三）核磁共振（MRI）检查流程图</w:t>
      </w:r>
    </w:p>
    <w:p w14:paraId="71B043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216ACE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4ED33E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drawing>
          <wp:anchor distT="0" distB="0" distL="114300" distR="114300" simplePos="0" relativeHeight="251671552" behindDoc="0" locked="0" layoutInCell="1" allowOverlap="1">
            <wp:simplePos x="0" y="0"/>
            <wp:positionH relativeFrom="column">
              <wp:posOffset>47625</wp:posOffset>
            </wp:positionH>
            <wp:positionV relativeFrom="paragraph">
              <wp:posOffset>-170180</wp:posOffset>
            </wp:positionV>
            <wp:extent cx="5267960" cy="4771390"/>
            <wp:effectExtent l="0" t="0" r="8890" b="10160"/>
            <wp:wrapTopAndBottom/>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15"/>
                    <a:stretch>
                      <a:fillRect/>
                    </a:stretch>
                  </pic:blipFill>
                  <pic:spPr>
                    <a:xfrm>
                      <a:off x="0" y="0"/>
                      <a:ext cx="5267960" cy="4771390"/>
                    </a:xfrm>
                    <a:prstGeom prst="rect">
                      <a:avLst/>
                    </a:prstGeom>
                    <a:noFill/>
                    <a:ln>
                      <a:noFill/>
                    </a:ln>
                  </pic:spPr>
                </pic:pic>
              </a:graphicData>
            </a:graphic>
          </wp:anchor>
        </w:drawing>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（四）检查注意事项</w:t>
      </w:r>
    </w:p>
    <w:p w14:paraId="738201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磁共振</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MRI</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检查注意事项</w:t>
      </w:r>
    </w:p>
    <w:p w14:paraId="3688E4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尊敬的患者，为了更好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为您服务，请您仔细阅读以下注意事项</w:t>
      </w:r>
      <w:r>
        <w:rPr>
          <w:rFonts w:hint="eastAsia" w:ascii="仿宋_GB2312" w:hAnsi="仿宋_GB2312" w:eastAsia="仿宋_GB2312" w:cs="仿宋_GB2312"/>
          <w:sz w:val="32"/>
          <w:szCs w:val="32"/>
          <w:lang w:eastAsia="zh-CN"/>
        </w:rPr>
        <w:t>：</w:t>
      </w:r>
    </w:p>
    <w:p w14:paraId="5891D6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安装有心脏起搏器者、人工耳蜗者，禁止进入MRI扫描间内。</w:t>
      </w:r>
    </w:p>
    <w:p w14:paraId="448EFA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严禁平车、轮椅、担架、氧气瓶等金属物品进入扫描间。</w:t>
      </w:r>
    </w:p>
    <w:p w14:paraId="1C92C0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严禁各种抢救设备进入扫描间。</w:t>
      </w:r>
    </w:p>
    <w:p w14:paraId="78B94D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请您检查前去掉所有含金属的物品，如助听器、银行卡、手表、硬币、发卡、项链、胸罩、腰带等。</w:t>
      </w:r>
    </w:p>
    <w:p w14:paraId="72BF43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如您佩戴皮下胰岛素泵，请由临床医生在检查前摘除。</w:t>
      </w:r>
    </w:p>
    <w:p w14:paraId="75981A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如您曾因各种原</w:t>
      </w:r>
      <w:r>
        <w:rPr>
          <w:rFonts w:hint="eastAsia" w:ascii="仿宋_GB2312" w:hAnsi="仿宋_GB2312" w:eastAsia="仿宋_GB2312" w:cs="仿宋_GB2312"/>
          <w:sz w:val="32"/>
          <w:szCs w:val="32"/>
          <w:lang w:eastAsia="zh-CN"/>
        </w:rPr>
        <w:t>因导</w:t>
      </w:r>
      <w:r>
        <w:rPr>
          <w:rFonts w:hint="eastAsia" w:ascii="仿宋_GB2312" w:hAnsi="仿宋_GB2312" w:eastAsia="仿宋_GB2312" w:cs="仿宋_GB2312"/>
          <w:sz w:val="32"/>
          <w:szCs w:val="32"/>
        </w:rPr>
        <w:t>致身体内有金属植入物或异物，请在检查前告知工作人员。检查前需要签署《金属植入物MRI扫描知情同意书》。</w:t>
      </w:r>
    </w:p>
    <w:p w14:paraId="5B14BD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怀孕3个月以内患者，勿行此项检查，并请检查前告知扫描医生。</w:t>
      </w:r>
    </w:p>
    <w:p w14:paraId="3AEDA9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高热患者、病情危重患者慎用磁共振扫描。</w:t>
      </w:r>
    </w:p>
    <w:p w14:paraId="2E0CD7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需要MRI增强检查者，请您持检查申请单先到“静脉穿刺室”扎好“静脉留置针”，然后到磁共振室，等候检查。</w:t>
      </w:r>
    </w:p>
    <w:p w14:paraId="7F008F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增强MRI检查需要家属陪同并签署增强MRI检查知情同意书。</w:t>
      </w:r>
    </w:p>
    <w:p w14:paraId="789600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腹部MRI检查前建议禁食、水4小时。</w:t>
      </w:r>
    </w:p>
    <w:p w14:paraId="08D424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MRI检查时间较长，请您耐心等待，如有问题，请咨询工作人员。</w:t>
      </w:r>
    </w:p>
    <w:p w14:paraId="56AFD0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如果遇到MRI设备发生故障，不能进行检查，请您听从工作人员安排。</w:t>
      </w:r>
    </w:p>
    <w:p w14:paraId="71BCEB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检查完毕后请携带好您的随身物品。</w:t>
      </w:r>
    </w:p>
    <w:p w14:paraId="46A0327E">
      <w:pPr>
        <w:keepNext w:val="0"/>
        <w:keepLines w:val="0"/>
        <w:pageBreakBefore w:val="0"/>
        <w:widowControl w:val="0"/>
        <w:kinsoku/>
        <w:wordWrap/>
        <w:overflowPunct/>
        <w:topLinePunct w:val="0"/>
        <w:autoSpaceDE/>
        <w:autoSpaceDN/>
        <w:bidi w:val="0"/>
        <w:adjustRightInd/>
        <w:snapToGrid/>
        <w:spacing w:line="560" w:lineRule="exact"/>
        <w:ind w:firstLine="422" w:firstLineChars="200"/>
        <w:textAlignment w:val="auto"/>
        <w:rPr>
          <w:rFonts w:hint="eastAsia" w:eastAsia="宋体"/>
          <w:b/>
          <w:bCs/>
          <w:lang w:val="en-US" w:eastAsia="zh-CN"/>
        </w:rPr>
      </w:pPr>
    </w:p>
    <w:p w14:paraId="25F506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平扫CT检查注意事项</w:t>
      </w:r>
    </w:p>
    <w:p w14:paraId="35C05B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尊敬的患者，为了更好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为您服务，请您仔细阅读以下注意事项</w:t>
      </w:r>
      <w:r>
        <w:rPr>
          <w:rFonts w:hint="eastAsia" w:ascii="仿宋_GB2312" w:hAnsi="仿宋_GB2312" w:eastAsia="仿宋_GB2312" w:cs="仿宋_GB2312"/>
          <w:sz w:val="32"/>
          <w:szCs w:val="32"/>
          <w:lang w:eastAsia="zh-CN"/>
        </w:rPr>
        <w:t>：</w:t>
      </w:r>
    </w:p>
    <w:p w14:paraId="4D5139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请您持CT检查申请单先到“登记室”登记，然后到CT室门前，等候检查。</w:t>
      </w:r>
    </w:p>
    <w:p w14:paraId="239BB8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请您按序排号并听到呼叫提示后进行检查，过号需重新预约。</w:t>
      </w:r>
    </w:p>
    <w:p w14:paraId="2ACCA3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请您检查前去掉检查区域除衣服之外的所有物品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如项链、纽扣、拉链、胸罩、腰带等。</w:t>
      </w:r>
    </w:p>
    <w:p w14:paraId="7EFAC5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鉴于怀孕期间应尽量避免接触放射线，故需权衡CT检查的利弊关系。除非医生认为必要，否则孕妇应禁用此项检查。</w:t>
      </w:r>
    </w:p>
    <w:p w14:paraId="25AB6F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腹部CT检查前建议禁食4小时。腹部CT检查会按照临床医生的要求在检查前饮水800-1500毫升，工作人员会在检查前告知您。</w:t>
      </w:r>
    </w:p>
    <w:p w14:paraId="62D828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腹部CT检查前7日内不能做消化道钡剂造影。</w:t>
      </w:r>
    </w:p>
    <w:p w14:paraId="77299E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盆腔CT检查前患者需要憋尿，请提前告知</w:t>
      </w:r>
    </w:p>
    <w:p w14:paraId="53DD36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工作人员并请憋尿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符合要求后及时告知工作人员。</w:t>
      </w:r>
    </w:p>
    <w:p w14:paraId="3332E7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如果遇到CT设备发生故障，不能进行</w:t>
      </w:r>
      <w:r>
        <w:rPr>
          <w:rFonts w:hint="eastAsia" w:ascii="仿宋_GB2312" w:hAnsi="仿宋_GB2312" w:eastAsia="仿宋_GB2312" w:cs="仿宋_GB2312"/>
          <w:sz w:val="32"/>
          <w:szCs w:val="32"/>
          <w:lang w:eastAsia="zh-CN"/>
        </w:rPr>
        <w:t>检</w:t>
      </w:r>
      <w:r>
        <w:rPr>
          <w:rFonts w:hint="eastAsia" w:ascii="仿宋_GB2312" w:hAnsi="仿宋_GB2312" w:eastAsia="仿宋_GB2312" w:cs="仿宋_GB2312"/>
          <w:sz w:val="32"/>
          <w:szCs w:val="32"/>
        </w:rPr>
        <w:t>查，请您听从工作人员安排。</w:t>
      </w:r>
    </w:p>
    <w:p w14:paraId="7B46C6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检查完毕后请携带好您的随身物品。</w:t>
      </w:r>
    </w:p>
    <w:p w14:paraId="70B6E11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p>
    <w:p w14:paraId="435646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增强CT检查前特别提示</w:t>
      </w:r>
    </w:p>
    <w:p w14:paraId="19EC6C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如果您有以下情况，预约增强CT检查时请告知工作人员</w:t>
      </w:r>
      <w:r>
        <w:rPr>
          <w:rFonts w:hint="eastAsia" w:ascii="仿宋_GB2312" w:hAnsi="仿宋_GB2312" w:eastAsia="仿宋_GB2312" w:cs="仿宋_GB2312"/>
          <w:sz w:val="32"/>
          <w:szCs w:val="32"/>
          <w:lang w:eastAsia="zh-CN"/>
        </w:rPr>
        <w:t>：</w:t>
      </w:r>
    </w:p>
    <w:p w14:paraId="310221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碘过敏</w:t>
      </w:r>
      <w:r>
        <w:rPr>
          <w:rFonts w:hint="eastAsia" w:ascii="仿宋_GB2312" w:hAnsi="仿宋_GB2312" w:eastAsia="仿宋_GB2312" w:cs="仿宋_GB2312"/>
          <w:sz w:val="32"/>
          <w:szCs w:val="32"/>
          <w:lang w:eastAsia="zh-CN"/>
        </w:rPr>
        <w:t>或其他</w:t>
      </w:r>
      <w:r>
        <w:rPr>
          <w:rFonts w:hint="eastAsia" w:ascii="仿宋_GB2312" w:hAnsi="仿宋_GB2312" w:eastAsia="仿宋_GB2312" w:cs="仿宋_GB2312"/>
          <w:sz w:val="32"/>
          <w:szCs w:val="32"/>
        </w:rPr>
        <w:t>过敏史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既往碘造影剂过敏者禁止此项检查。</w:t>
      </w:r>
    </w:p>
    <w:p w14:paraId="5B12FB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有明显的甲状腺病症患者禁止此项检查。</w:t>
      </w:r>
    </w:p>
    <w:p w14:paraId="4000C0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肾功能不全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有肾功能不全且没有治愈禁止此项检查。</w:t>
      </w:r>
    </w:p>
    <w:p w14:paraId="4E2E7C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鉴于怀孕期间应尽量避免接触放射线，故需权衡CT检查的利弊关系。除非医生认为必要，否则孕妇应禁用此项检查。</w:t>
      </w:r>
    </w:p>
    <w:p w14:paraId="4805BD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糖尿病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有糖尿病且口服二甲双胍类药物，告知工作人员。</w:t>
      </w:r>
    </w:p>
    <w:p w14:paraId="756437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哮喘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有哮喘病史且近期多次发病，请告知工作人员。</w:t>
      </w:r>
    </w:p>
    <w:p w14:paraId="03B298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哺乳期慎用增强扫描，请检查前告知工作人员。</w:t>
      </w:r>
    </w:p>
    <w:p w14:paraId="3B2C6A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4E338A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4BE54B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128823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21A63B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1161D0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79AE41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080AF7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lang w:eastAsia="zh-CN"/>
        </w:rPr>
      </w:pPr>
    </w:p>
    <w:p w14:paraId="429EC75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030E066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7A5B34E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56DA26A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423720E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41A9B70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4429E05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3555F4B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32"/>
          <w:szCs w:val="32"/>
          <w:lang w:eastAsia="zh-CN"/>
        </w:rPr>
      </w:pPr>
    </w:p>
    <w:p w14:paraId="139CC1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auto"/>
          <w:sz w:val="32"/>
          <w:szCs w:val="32"/>
          <w:lang w:eastAsia="zh-CN"/>
        </w:rPr>
        <w:t>七、</w:t>
      </w:r>
      <w:r>
        <w:rPr>
          <w:rFonts w:hint="eastAsia" w:ascii="仿宋_GB2312" w:hAnsi="仿宋_GB2312" w:eastAsia="仿宋_GB2312" w:cs="仿宋_GB2312"/>
          <w:b w:val="0"/>
          <w:bCs/>
          <w:color w:val="auto"/>
          <w:sz w:val="32"/>
          <w:szCs w:val="32"/>
        </w:rPr>
        <w:t>分级诊疗</w:t>
      </w:r>
      <w:r>
        <w:rPr>
          <w:rFonts w:hint="eastAsia" w:ascii="仿宋_GB2312" w:hAnsi="仿宋_GB2312" w:eastAsia="仿宋_GB2312" w:cs="仿宋_GB2312"/>
          <w:b w:val="0"/>
          <w:bCs/>
          <w:color w:val="auto"/>
          <w:sz w:val="32"/>
          <w:szCs w:val="32"/>
          <w:lang w:eastAsia="zh-CN"/>
        </w:rPr>
        <w:t>：</w:t>
      </w:r>
    </w:p>
    <w:p w14:paraId="49DB34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东丽医院社区卫生服务中心双向转诊流程图</w:t>
      </w:r>
    </w:p>
    <w:p w14:paraId="60E51C93">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mc:AlternateContent>
          <mc:Choice Requires="wpg">
            <w:drawing>
              <wp:anchor distT="0" distB="0" distL="114300" distR="114300" simplePos="0" relativeHeight="251665408" behindDoc="0" locked="0" layoutInCell="1" allowOverlap="1">
                <wp:simplePos x="0" y="0"/>
                <wp:positionH relativeFrom="column">
                  <wp:posOffset>-196215</wp:posOffset>
                </wp:positionH>
                <wp:positionV relativeFrom="paragraph">
                  <wp:posOffset>323850</wp:posOffset>
                </wp:positionV>
                <wp:extent cx="5798820" cy="6886575"/>
                <wp:effectExtent l="4445" t="5080" r="6985" b="4445"/>
                <wp:wrapNone/>
                <wp:docPr id="38" name="组合 67"/>
                <wp:cNvGraphicFramePr/>
                <a:graphic xmlns:a="http://schemas.openxmlformats.org/drawingml/2006/main">
                  <a:graphicData uri="http://schemas.microsoft.com/office/word/2010/wordprocessingGroup">
                    <wpg:wgp>
                      <wpg:cNvGrpSpPr/>
                      <wpg:grpSpPr>
                        <a:xfrm>
                          <a:off x="0" y="0"/>
                          <a:ext cx="5798820" cy="6886575"/>
                          <a:chOff x="1449" y="3105"/>
                          <a:chExt cx="9132" cy="11115"/>
                        </a:xfrm>
                      </wpg:grpSpPr>
                      <wps:wsp>
                        <wps:cNvPr id="7" name="文本框 44"/>
                        <wps:cNvSpPr txBox="1"/>
                        <wps:spPr>
                          <a:xfrm>
                            <a:off x="6315" y="8085"/>
                            <a:ext cx="3705"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F2856D">
                              <w:pPr>
                                <w:spacing w:line="276" w:lineRule="auto"/>
                                <w:jc w:val="center"/>
                                <w:rPr>
                                  <w:rFonts w:asciiTheme="minorEastAsia" w:hAnsiTheme="minorEastAsia"/>
                                  <w:szCs w:val="21"/>
                                </w:rPr>
                              </w:pPr>
                              <w:r>
                                <w:rPr>
                                  <w:rFonts w:hint="eastAsia" w:asciiTheme="minorEastAsia" w:hAnsiTheme="minorEastAsia"/>
                                  <w:szCs w:val="21"/>
                                </w:rPr>
                                <w:t>安排医生接诊</w:t>
                              </w:r>
                            </w:p>
                          </w:txbxContent>
                        </wps:txbx>
                        <wps:bodyPr upright="1"/>
                      </wps:wsp>
                      <wps:wsp>
                        <wps:cNvPr id="8" name="文本框 45"/>
                        <wps:cNvSpPr txBox="1"/>
                        <wps:spPr>
                          <a:xfrm>
                            <a:off x="5577" y="9434"/>
                            <a:ext cx="2253"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534BB">
                              <w:pPr>
                                <w:spacing w:line="276" w:lineRule="auto"/>
                                <w:jc w:val="center"/>
                                <w:rPr>
                                  <w:rFonts w:asciiTheme="minorEastAsia" w:hAnsiTheme="minorEastAsia"/>
                                  <w:szCs w:val="21"/>
                                </w:rPr>
                              </w:pPr>
                              <w:r>
                                <w:rPr>
                                  <w:rFonts w:hint="eastAsia" w:asciiTheme="minorEastAsia" w:hAnsiTheme="minorEastAsia"/>
                                  <w:szCs w:val="21"/>
                                </w:rPr>
                                <w:t>患者需门诊诊治</w:t>
                              </w:r>
                            </w:p>
                          </w:txbxContent>
                        </wps:txbx>
                        <wps:bodyPr upright="1"/>
                      </wps:wsp>
                      <wps:wsp>
                        <wps:cNvPr id="9" name="文本框 46"/>
                        <wps:cNvSpPr txBox="1"/>
                        <wps:spPr>
                          <a:xfrm>
                            <a:off x="5577" y="10425"/>
                            <a:ext cx="2253" cy="8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2C6D12">
                              <w:pPr>
                                <w:spacing w:line="276" w:lineRule="auto"/>
                                <w:jc w:val="center"/>
                                <w:rPr>
                                  <w:rFonts w:asciiTheme="minorEastAsia" w:hAnsiTheme="minorEastAsia"/>
                                  <w:szCs w:val="21"/>
                                </w:rPr>
                              </w:pPr>
                              <w:r>
                                <w:rPr>
                                  <w:rFonts w:hint="eastAsia" w:asciiTheme="minorEastAsia" w:hAnsiTheme="minorEastAsia"/>
                                  <w:szCs w:val="21"/>
                                </w:rPr>
                                <w:t>患者进行门诊</w:t>
                              </w:r>
                            </w:p>
                            <w:p w14:paraId="5F10ADBD">
                              <w:pPr>
                                <w:spacing w:line="276" w:lineRule="auto"/>
                                <w:jc w:val="center"/>
                                <w:rPr>
                                  <w:rFonts w:asciiTheme="minorEastAsia" w:hAnsiTheme="minorEastAsia"/>
                                  <w:szCs w:val="21"/>
                                </w:rPr>
                              </w:pPr>
                              <w:r>
                                <w:rPr>
                                  <w:rFonts w:hint="eastAsia" w:asciiTheme="minorEastAsia" w:hAnsiTheme="minorEastAsia"/>
                                  <w:szCs w:val="21"/>
                                </w:rPr>
                                <w:t>诊治</w:t>
                              </w:r>
                            </w:p>
                          </w:txbxContent>
                        </wps:txbx>
                        <wps:bodyPr anchor="ctr" anchorCtr="0" upright="1"/>
                      </wps:wsp>
                      <wps:wsp>
                        <wps:cNvPr id="10" name="文本框 47"/>
                        <wps:cNvSpPr txBox="1"/>
                        <wps:spPr>
                          <a:xfrm>
                            <a:off x="5577" y="11655"/>
                            <a:ext cx="2253"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9851E">
                              <w:pPr>
                                <w:spacing w:line="276" w:lineRule="auto"/>
                                <w:jc w:val="left"/>
                                <w:rPr>
                                  <w:rFonts w:asciiTheme="minorEastAsia" w:hAnsiTheme="minorEastAsia"/>
                                  <w:szCs w:val="21"/>
                                </w:rPr>
                              </w:pPr>
                              <w:r>
                                <w:rPr>
                                  <w:rFonts w:hint="eastAsia" w:asciiTheme="minorEastAsia" w:hAnsiTheme="minorEastAsia"/>
                                  <w:szCs w:val="21"/>
                                </w:rPr>
                                <w:t>明确诊断，确定治疗</w:t>
                              </w:r>
                            </w:p>
                            <w:p w14:paraId="23CD557E">
                              <w:pPr>
                                <w:spacing w:line="276" w:lineRule="auto"/>
                                <w:jc w:val="left"/>
                                <w:rPr>
                                  <w:rFonts w:asciiTheme="minorEastAsia" w:hAnsiTheme="minorEastAsia"/>
                                  <w:szCs w:val="21"/>
                                </w:rPr>
                              </w:pPr>
                              <w:r>
                                <w:rPr>
                                  <w:rFonts w:hint="eastAsia" w:asciiTheme="minorEastAsia" w:hAnsiTheme="minorEastAsia"/>
                                  <w:szCs w:val="21"/>
                                </w:rPr>
                                <w:t>方案，完成门诊转诊</w:t>
                              </w:r>
                            </w:p>
                          </w:txbxContent>
                        </wps:txbx>
                        <wps:bodyPr upright="1">
                          <a:noAutofit/>
                        </wps:bodyPr>
                      </wps:wsp>
                      <wps:wsp>
                        <wps:cNvPr id="11" name="文本框 48"/>
                        <wps:cNvSpPr txBox="1"/>
                        <wps:spPr>
                          <a:xfrm>
                            <a:off x="5577" y="12953"/>
                            <a:ext cx="2253" cy="1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CEEDF">
                              <w:pPr>
                                <w:spacing w:line="276" w:lineRule="auto"/>
                                <w:jc w:val="left"/>
                                <w:rPr>
                                  <w:rFonts w:asciiTheme="minorEastAsia" w:hAnsiTheme="minorEastAsia"/>
                                  <w:szCs w:val="21"/>
                                </w:rPr>
                              </w:pPr>
                              <w:r>
                                <w:rPr>
                                  <w:rFonts w:hint="eastAsia" w:asciiTheme="minorEastAsia" w:hAnsiTheme="minorEastAsia"/>
                                  <w:szCs w:val="21"/>
                                </w:rPr>
                                <w:t>门诊医生填写双向转</w:t>
                              </w:r>
                            </w:p>
                            <w:p w14:paraId="30519F0A">
                              <w:pPr>
                                <w:spacing w:line="276" w:lineRule="auto"/>
                                <w:jc w:val="left"/>
                                <w:rPr>
                                  <w:rFonts w:asciiTheme="minorEastAsia" w:hAnsiTheme="minorEastAsia"/>
                                  <w:szCs w:val="21"/>
                                </w:rPr>
                              </w:pPr>
                              <w:r>
                                <w:rPr>
                                  <w:rFonts w:hint="eastAsia" w:asciiTheme="minorEastAsia" w:hAnsiTheme="minorEastAsia"/>
                                  <w:szCs w:val="21"/>
                                </w:rPr>
                                <w:t>诊下转单，提出治疗</w:t>
                              </w:r>
                            </w:p>
                            <w:p w14:paraId="1BD65894">
                              <w:pPr>
                                <w:spacing w:line="276" w:lineRule="auto"/>
                                <w:jc w:val="left"/>
                                <w:rPr>
                                  <w:rFonts w:asciiTheme="minorEastAsia" w:hAnsiTheme="minorEastAsia"/>
                                  <w:szCs w:val="21"/>
                                </w:rPr>
                              </w:pPr>
                              <w:r>
                                <w:rPr>
                                  <w:rFonts w:hint="eastAsia" w:asciiTheme="minorEastAsia" w:hAnsiTheme="minorEastAsia"/>
                                  <w:szCs w:val="21"/>
                                </w:rPr>
                                <w:t>意见及建议上交社区</w:t>
                              </w:r>
                            </w:p>
                          </w:txbxContent>
                        </wps:txbx>
                        <wps:bodyPr upright="1"/>
                      </wps:wsp>
                      <wps:wsp>
                        <wps:cNvPr id="12" name="文本框 49"/>
                        <wps:cNvSpPr txBox="1"/>
                        <wps:spPr>
                          <a:xfrm>
                            <a:off x="8394" y="9434"/>
                            <a:ext cx="2166"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9DD5C7">
                              <w:pPr>
                                <w:spacing w:line="276" w:lineRule="auto"/>
                                <w:jc w:val="center"/>
                              </w:pPr>
                              <w:r>
                                <w:rPr>
                                  <w:rFonts w:hint="eastAsia" w:asciiTheme="minorEastAsia" w:hAnsiTheme="minorEastAsia"/>
                                  <w:szCs w:val="21"/>
                                </w:rPr>
                                <w:t>患者需住院</w:t>
                              </w:r>
                            </w:p>
                          </w:txbxContent>
                        </wps:txbx>
                        <wps:bodyPr upright="1"/>
                      </wps:wsp>
                      <wps:wsp>
                        <wps:cNvPr id="13" name="文本框 50"/>
                        <wps:cNvSpPr txBox="1"/>
                        <wps:spPr>
                          <a:xfrm>
                            <a:off x="8442" y="10425"/>
                            <a:ext cx="2139" cy="8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3F810">
                              <w:pPr>
                                <w:spacing w:line="276" w:lineRule="auto"/>
                                <w:jc w:val="center"/>
                                <w:rPr>
                                  <w:rFonts w:asciiTheme="minorEastAsia" w:hAnsiTheme="minorEastAsia"/>
                                  <w:szCs w:val="21"/>
                                </w:rPr>
                              </w:pPr>
                              <w:r>
                                <w:rPr>
                                  <w:rFonts w:hint="eastAsia" w:asciiTheme="minorEastAsia" w:hAnsiTheme="minorEastAsia"/>
                                  <w:szCs w:val="21"/>
                                </w:rPr>
                                <w:t>安排转诊患者</w:t>
                              </w:r>
                            </w:p>
                            <w:p w14:paraId="61E2CE73">
                              <w:pPr>
                                <w:spacing w:line="276" w:lineRule="auto"/>
                                <w:jc w:val="center"/>
                                <w:rPr>
                                  <w:rFonts w:asciiTheme="minorEastAsia" w:hAnsiTheme="minorEastAsia"/>
                                  <w:szCs w:val="21"/>
                                </w:rPr>
                              </w:pPr>
                              <w:r>
                                <w:rPr>
                                  <w:rFonts w:hint="eastAsia" w:asciiTheme="minorEastAsia" w:hAnsiTheme="minorEastAsia"/>
                                  <w:szCs w:val="21"/>
                                </w:rPr>
                                <w:t>住院治疗</w:t>
                              </w:r>
                            </w:p>
                          </w:txbxContent>
                        </wps:txbx>
                        <wps:bodyPr anchor="ctr" anchorCtr="0" upright="1"/>
                      </wps:wsp>
                      <wps:wsp>
                        <wps:cNvPr id="14" name="文本框 51"/>
                        <wps:cNvSpPr txBox="1"/>
                        <wps:spPr>
                          <a:xfrm>
                            <a:off x="8394" y="11655"/>
                            <a:ext cx="2166"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82DCA9">
                              <w:pPr>
                                <w:spacing w:line="276" w:lineRule="auto"/>
                                <w:jc w:val="center"/>
                                <w:rPr>
                                  <w:rFonts w:asciiTheme="minorEastAsia" w:hAnsiTheme="minorEastAsia"/>
                                  <w:szCs w:val="21"/>
                                </w:rPr>
                              </w:pPr>
                              <w:r>
                                <w:rPr>
                                  <w:rFonts w:hint="eastAsia" w:asciiTheme="minorEastAsia" w:hAnsiTheme="minorEastAsia"/>
                                  <w:szCs w:val="21"/>
                                </w:rPr>
                                <w:t>患者病情稳定符</w:t>
                              </w:r>
                            </w:p>
                            <w:p w14:paraId="0A3DD125">
                              <w:pPr>
                                <w:spacing w:line="276" w:lineRule="auto"/>
                                <w:jc w:val="center"/>
                                <w:rPr>
                                  <w:rFonts w:asciiTheme="minorEastAsia" w:hAnsiTheme="minorEastAsia"/>
                                  <w:szCs w:val="21"/>
                                </w:rPr>
                              </w:pPr>
                              <w:r>
                                <w:rPr>
                                  <w:rFonts w:hint="eastAsia" w:asciiTheme="minorEastAsia" w:hAnsiTheme="minorEastAsia"/>
                                  <w:szCs w:val="21"/>
                                </w:rPr>
                                <w:t>合转回社区指征</w:t>
                              </w:r>
                            </w:p>
                          </w:txbxContent>
                        </wps:txbx>
                        <wps:bodyPr upright="1">
                          <a:noAutofit/>
                        </wps:bodyPr>
                      </wps:wsp>
                      <wps:wsp>
                        <wps:cNvPr id="15" name="文本框 52"/>
                        <wps:cNvSpPr txBox="1"/>
                        <wps:spPr>
                          <a:xfrm>
                            <a:off x="8378" y="12953"/>
                            <a:ext cx="2182"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D035E">
                              <w:pPr>
                                <w:spacing w:line="276" w:lineRule="auto"/>
                                <w:jc w:val="left"/>
                                <w:rPr>
                                  <w:rFonts w:asciiTheme="minorEastAsia" w:hAnsiTheme="minorEastAsia"/>
                                  <w:szCs w:val="21"/>
                                </w:rPr>
                              </w:pPr>
                              <w:r>
                                <w:rPr>
                                  <w:rFonts w:hint="eastAsia" w:asciiTheme="minorEastAsia" w:hAnsiTheme="minorEastAsia"/>
                                  <w:szCs w:val="21"/>
                                </w:rPr>
                                <w:t>住院医生填写出院</w:t>
                              </w:r>
                            </w:p>
                            <w:p w14:paraId="6CAAF5A2">
                              <w:pPr>
                                <w:spacing w:line="276" w:lineRule="auto"/>
                                <w:jc w:val="left"/>
                                <w:rPr>
                                  <w:rFonts w:asciiTheme="minorEastAsia" w:hAnsiTheme="minorEastAsia"/>
                                  <w:szCs w:val="21"/>
                                </w:rPr>
                              </w:pPr>
                              <w:r>
                                <w:rPr>
                                  <w:rFonts w:hint="eastAsia" w:asciiTheme="minorEastAsia" w:hAnsiTheme="minorEastAsia"/>
                                  <w:szCs w:val="21"/>
                                </w:rPr>
                                <w:t>小结，提出治疗意</w:t>
                              </w:r>
                            </w:p>
                            <w:p w14:paraId="699E3CAB">
                              <w:pPr>
                                <w:spacing w:line="276" w:lineRule="auto"/>
                                <w:jc w:val="left"/>
                                <w:rPr>
                                  <w:rFonts w:asciiTheme="minorEastAsia" w:hAnsiTheme="minorEastAsia"/>
                                  <w:szCs w:val="21"/>
                                </w:rPr>
                              </w:pPr>
                              <w:r>
                                <w:rPr>
                                  <w:rFonts w:hint="eastAsia" w:asciiTheme="minorEastAsia" w:hAnsiTheme="minorEastAsia"/>
                                  <w:szCs w:val="21"/>
                                </w:rPr>
                                <w:t>见及建议上交社区</w:t>
                              </w:r>
                            </w:p>
                          </w:txbxContent>
                        </wps:txbx>
                        <wps:bodyPr upright="1">
                          <a:noAutofit/>
                        </wps:bodyPr>
                      </wps:wsp>
                      <wps:wsp>
                        <wps:cNvPr id="16" name="文本框 22"/>
                        <wps:cNvSpPr txBox="1"/>
                        <wps:spPr>
                          <a:xfrm>
                            <a:off x="1470" y="7095"/>
                            <a:ext cx="9111" cy="5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7CF0E1">
                              <w:pPr>
                                <w:spacing w:line="276" w:lineRule="auto"/>
                                <w:jc w:val="center"/>
                                <w:rPr>
                                  <w:rFonts w:asciiTheme="minorEastAsia" w:hAnsiTheme="minorEastAsia"/>
                                  <w:szCs w:val="21"/>
                                </w:rPr>
                              </w:pPr>
                              <w:r>
                                <w:rPr>
                                  <w:rFonts w:hint="eastAsia" w:asciiTheme="minorEastAsia" w:hAnsiTheme="minorEastAsia"/>
                                  <w:b/>
                                  <w:color w:val="FF0000"/>
                                  <w:szCs w:val="21"/>
                                </w:rPr>
                                <w:t xml:space="preserve">                  </w:t>
                              </w:r>
                              <w:r>
                                <w:rPr>
                                  <w:rFonts w:hint="eastAsia" w:asciiTheme="minorEastAsia" w:hAnsiTheme="minorEastAsia"/>
                                  <w:b w:val="0"/>
                                  <w:bCs/>
                                  <w:color w:val="FF0000"/>
                                  <w:szCs w:val="21"/>
                                </w:rPr>
                                <w:t xml:space="preserve">   </w:t>
                              </w:r>
                              <w:r>
                                <w:rPr>
                                  <w:rFonts w:hint="eastAsia" w:asciiTheme="minorEastAsia" w:hAnsiTheme="minorEastAsia"/>
                                  <w:b w:val="0"/>
                                  <w:bCs/>
                                  <w:color w:val="auto"/>
                                  <w:szCs w:val="21"/>
                                </w:rPr>
                                <w:t xml:space="preserve"> 东丽医院双向转诊接待处（门诊大厅一楼一站式服务台）  </w:t>
                              </w:r>
                              <w:r>
                                <w:rPr>
                                  <w:rFonts w:hint="eastAsia" w:asciiTheme="minorEastAsia" w:hAnsiTheme="minorEastAsia"/>
                                  <w:szCs w:val="21"/>
                                </w:rPr>
                                <w:t xml:space="preserve">                                                                                                                                                                                                                                                                                                                                                                                                                                                                                                                                                        </w:t>
                              </w:r>
                            </w:p>
                          </w:txbxContent>
                        </wps:txbx>
                        <wps:bodyPr upright="1">
                          <a:noAutofit/>
                        </wps:bodyPr>
                      </wps:wsp>
                      <wps:wsp>
                        <wps:cNvPr id="17" name="自选图形 39"/>
                        <wps:cNvCnPr/>
                        <wps:spPr>
                          <a:xfrm>
                            <a:off x="8244" y="6623"/>
                            <a:ext cx="6" cy="472"/>
                          </a:xfrm>
                          <a:prstGeom prst="straightConnector1">
                            <a:avLst/>
                          </a:prstGeom>
                          <a:ln w="9525" cap="flat" cmpd="sng">
                            <a:solidFill>
                              <a:srgbClr val="000000"/>
                            </a:solidFill>
                            <a:prstDash val="solid"/>
                            <a:headEnd type="none" w="med" len="med"/>
                            <a:tailEnd type="triangle" w="med" len="med"/>
                          </a:ln>
                        </wps:spPr>
                        <wps:bodyPr/>
                      </wps:wsp>
                      <wps:wsp>
                        <wps:cNvPr id="18" name="自选图形 42"/>
                        <wps:cNvCnPr/>
                        <wps:spPr>
                          <a:xfrm flipV="1">
                            <a:off x="3094" y="4860"/>
                            <a:ext cx="1" cy="2235"/>
                          </a:xfrm>
                          <a:prstGeom prst="straightConnector1">
                            <a:avLst/>
                          </a:prstGeom>
                          <a:ln w="3175" cap="flat" cmpd="sng">
                            <a:solidFill>
                              <a:srgbClr val="000000"/>
                            </a:solidFill>
                            <a:prstDash val="dashDot"/>
                            <a:headEnd type="none" w="med" len="med"/>
                            <a:tailEnd type="triangle" w="med" len="med"/>
                          </a:ln>
                        </wps:spPr>
                        <wps:bodyPr/>
                      </wps:wsp>
                      <wps:wsp>
                        <wps:cNvPr id="19" name="文本框 16"/>
                        <wps:cNvSpPr txBox="1"/>
                        <wps:spPr>
                          <a:xfrm>
                            <a:off x="5745" y="6105"/>
                            <a:ext cx="4836" cy="5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C729A3">
                              <w:pPr>
                                <w:spacing w:line="276" w:lineRule="auto"/>
                                <w:jc w:val="center"/>
                                <w:rPr>
                                  <w:rFonts w:asciiTheme="minorEastAsia" w:hAnsiTheme="minorEastAsia"/>
                                  <w:szCs w:val="21"/>
                                </w:rPr>
                              </w:pPr>
                              <w:r>
                                <w:rPr>
                                  <w:rFonts w:hint="eastAsia" w:asciiTheme="minorEastAsia" w:hAnsiTheme="minorEastAsia"/>
                                  <w:szCs w:val="21"/>
                                </w:rPr>
                                <w:t>患者持双向转诊单到东丽医院就诊</w:t>
                              </w:r>
                            </w:p>
                          </w:txbxContent>
                        </wps:txbx>
                        <wps:bodyPr upright="1">
                          <a:noAutofit/>
                        </wps:bodyPr>
                      </wps:wsp>
                      <wps:wsp>
                        <wps:cNvPr id="20" name="自选图形 17"/>
                        <wps:cNvCnPr/>
                        <wps:spPr>
                          <a:xfrm>
                            <a:off x="8259" y="5607"/>
                            <a:ext cx="15" cy="498"/>
                          </a:xfrm>
                          <a:prstGeom prst="straightConnector1">
                            <a:avLst/>
                          </a:prstGeom>
                          <a:ln w="9525" cap="flat" cmpd="sng">
                            <a:solidFill>
                              <a:srgbClr val="000000"/>
                            </a:solidFill>
                            <a:prstDash val="solid"/>
                            <a:headEnd type="none" w="med" len="med"/>
                            <a:tailEnd type="triangle" w="med" len="med"/>
                          </a:ln>
                        </wps:spPr>
                        <wps:bodyPr/>
                      </wps:wsp>
                      <wpg:grpSp>
                        <wpg:cNvPr id="25" name="组合 53"/>
                        <wpg:cNvGrpSpPr/>
                        <wpg:grpSpPr>
                          <a:xfrm>
                            <a:off x="1449" y="3105"/>
                            <a:ext cx="9105" cy="2815"/>
                            <a:chOff x="1449" y="3105"/>
                            <a:chExt cx="9105" cy="2815"/>
                          </a:xfrm>
                        </wpg:grpSpPr>
                        <wps:wsp>
                          <wps:cNvPr id="21" name="文本框 2"/>
                          <wps:cNvSpPr txBox="1"/>
                          <wps:spPr>
                            <a:xfrm>
                              <a:off x="1449" y="3975"/>
                              <a:ext cx="306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79D22">
                                <w:pPr>
                                  <w:spacing w:line="276" w:lineRule="auto"/>
                                  <w:jc w:val="center"/>
                                  <w:rPr>
                                    <w:rFonts w:asciiTheme="minorEastAsia" w:hAnsiTheme="minorEastAsia"/>
                                    <w:szCs w:val="21"/>
                                  </w:rPr>
                                </w:pPr>
                                <w:r>
                                  <w:rPr>
                                    <w:rFonts w:hint="eastAsia" w:asciiTheme="minorEastAsia" w:hAnsiTheme="minorEastAsia"/>
                                    <w:szCs w:val="21"/>
                                  </w:rPr>
                                  <w:t>社区卫生服务中心</w:t>
                                </w:r>
                              </w:p>
                              <w:p w14:paraId="16DA5658">
                                <w:pPr>
                                  <w:spacing w:line="276" w:lineRule="auto"/>
                                  <w:jc w:val="center"/>
                                  <w:rPr>
                                    <w:rFonts w:asciiTheme="minorEastAsia" w:hAnsiTheme="minorEastAsia"/>
                                    <w:szCs w:val="21"/>
                                  </w:rPr>
                                </w:pPr>
                                <w:r>
                                  <w:rPr>
                                    <w:rFonts w:hint="eastAsia" w:asciiTheme="minorEastAsia" w:hAnsiTheme="minorEastAsia"/>
                                    <w:szCs w:val="21"/>
                                  </w:rPr>
                                  <w:t>责任医生</w:t>
                                </w:r>
                              </w:p>
                            </w:txbxContent>
                          </wps:txbx>
                          <wps:bodyPr upright="1"/>
                        </wps:wsp>
                        <wps:wsp>
                          <wps:cNvPr id="22" name="文本框 3"/>
                          <wps:cNvSpPr txBox="1"/>
                          <wps:spPr>
                            <a:xfrm>
                              <a:off x="5718" y="3105"/>
                              <a:ext cx="4836"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16DF0">
                                <w:pPr>
                                  <w:spacing w:line="276" w:lineRule="auto"/>
                                  <w:jc w:val="center"/>
                                  <w:rPr>
                                    <w:rFonts w:asciiTheme="minorEastAsia" w:hAnsiTheme="minorEastAsia"/>
                                    <w:szCs w:val="21"/>
                                  </w:rPr>
                                </w:pPr>
                                <w:r>
                                  <w:rPr>
                                    <w:rFonts w:hint="eastAsia" w:asciiTheme="minorEastAsia" w:hAnsiTheme="minorEastAsia"/>
                                    <w:szCs w:val="21"/>
                                  </w:rPr>
                                  <w:t>接诊符合双向转诊指征的患者</w:t>
                                </w:r>
                              </w:p>
                            </w:txbxContent>
                          </wps:txbx>
                          <wps:bodyPr anchor="ctr" anchorCtr="0" upright="1"/>
                        </wps:wsp>
                        <wps:wsp>
                          <wps:cNvPr id="23" name="文本框 4"/>
                          <wps:cNvSpPr txBox="1"/>
                          <wps:spPr>
                            <a:xfrm>
                              <a:off x="5718" y="4115"/>
                              <a:ext cx="4836" cy="5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707EB">
                                <w:pPr>
                                  <w:spacing w:line="276" w:lineRule="auto"/>
                                  <w:jc w:val="center"/>
                                  <w:rPr>
                                    <w:rFonts w:asciiTheme="minorEastAsia" w:hAnsiTheme="minorEastAsia"/>
                                    <w:sz w:val="26"/>
                                    <w:szCs w:val="26"/>
                                  </w:rPr>
                                </w:pPr>
                                <w:r>
                                  <w:rPr>
                                    <w:rFonts w:hint="eastAsia" w:asciiTheme="minorEastAsia" w:hAnsiTheme="minorEastAsia"/>
                                    <w:szCs w:val="21"/>
                                  </w:rPr>
                                  <w:t>填写双向转诊上转单</w:t>
                                </w:r>
                              </w:p>
                            </w:txbxContent>
                          </wps:txbx>
                          <wps:bodyPr upright="1"/>
                        </wps:wsp>
                        <wps:wsp>
                          <wps:cNvPr id="24" name="自选图形 5"/>
                          <wps:cNvCnPr/>
                          <wps:spPr>
                            <a:xfrm>
                              <a:off x="8244" y="3630"/>
                              <a:ext cx="15" cy="485"/>
                            </a:xfrm>
                            <a:prstGeom prst="straightConnector1">
                              <a:avLst/>
                            </a:prstGeom>
                            <a:ln w="9525" cap="flat" cmpd="sng">
                              <a:solidFill>
                                <a:srgbClr val="000000"/>
                              </a:solidFill>
                              <a:prstDash val="solid"/>
                              <a:headEnd type="none" w="med" len="med"/>
                              <a:tailEnd type="triangle" w="med" len="med"/>
                            </a:ln>
                          </wps:spPr>
                          <wps:bodyPr/>
                        </wps:wsp>
                        <wps:wsp>
                          <wps:cNvPr id="26" name="文本框 6"/>
                          <wps:cNvSpPr txBox="1"/>
                          <wps:spPr>
                            <a:xfrm>
                              <a:off x="5724" y="5135"/>
                              <a:ext cx="4830" cy="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596006">
                                <w:pPr>
                                  <w:snapToGrid w:val="0"/>
                                  <w:spacing w:line="276" w:lineRule="auto"/>
                                  <w:jc w:val="center"/>
                                  <w:rPr>
                                    <w:rFonts w:asciiTheme="minorEastAsia" w:hAnsiTheme="minorEastAsia"/>
                                    <w:szCs w:val="21"/>
                                  </w:rPr>
                                </w:pPr>
                                <w:r>
                                  <w:rPr>
                                    <w:rFonts w:hint="eastAsia" w:asciiTheme="minorEastAsia" w:hAnsiTheme="minorEastAsia"/>
                                    <w:szCs w:val="21"/>
                                  </w:rPr>
                                  <w:t>向患者交待双向转诊注意事项:请患者尽量预约就诊</w:t>
                                </w:r>
                              </w:p>
                            </w:txbxContent>
                          </wps:txbx>
                          <wps:bodyPr upright="1">
                            <a:noAutofit/>
                          </wps:bodyPr>
                        </wps:wsp>
                        <wps:wsp>
                          <wps:cNvPr id="27" name="自选图形 8"/>
                          <wps:cNvCnPr/>
                          <wps:spPr>
                            <a:xfrm>
                              <a:off x="8274" y="4620"/>
                              <a:ext cx="0" cy="515"/>
                            </a:xfrm>
                            <a:prstGeom prst="straightConnector1">
                              <a:avLst/>
                            </a:prstGeom>
                            <a:ln w="9525" cap="flat" cmpd="sng">
                              <a:solidFill>
                                <a:srgbClr val="000000"/>
                              </a:solidFill>
                              <a:prstDash val="solid"/>
                              <a:headEnd type="none" w="med" len="med"/>
                              <a:tailEnd type="triangle" w="med" len="med"/>
                            </a:ln>
                          </wps:spPr>
                          <wps:bodyPr/>
                        </wps:wsp>
                        <wps:wsp>
                          <wps:cNvPr id="28" name="自选图形 9"/>
                          <wps:cNvCnPr/>
                          <wps:spPr>
                            <a:xfrm>
                              <a:off x="5274" y="3411"/>
                              <a:ext cx="444" cy="1"/>
                            </a:xfrm>
                            <a:prstGeom prst="straightConnector1">
                              <a:avLst/>
                            </a:prstGeom>
                            <a:ln w="9525" cap="flat" cmpd="sng">
                              <a:solidFill>
                                <a:srgbClr val="000000"/>
                              </a:solidFill>
                              <a:prstDash val="solid"/>
                              <a:headEnd type="none" w="med" len="med"/>
                              <a:tailEnd type="none" w="med" len="med"/>
                            </a:ln>
                          </wps:spPr>
                          <wps:bodyPr/>
                        </wps:wsp>
                        <wps:wsp>
                          <wps:cNvPr id="29" name="自选图形 10"/>
                          <wps:cNvCnPr/>
                          <wps:spPr>
                            <a:xfrm>
                              <a:off x="5274" y="5384"/>
                              <a:ext cx="444" cy="1"/>
                            </a:xfrm>
                            <a:prstGeom prst="straightConnector1">
                              <a:avLst/>
                            </a:prstGeom>
                            <a:ln w="9525" cap="flat" cmpd="sng">
                              <a:solidFill>
                                <a:srgbClr val="000000"/>
                              </a:solidFill>
                              <a:prstDash val="solid"/>
                              <a:headEnd type="none" w="med" len="med"/>
                              <a:tailEnd type="none" w="med" len="med"/>
                            </a:ln>
                          </wps:spPr>
                          <wps:bodyPr/>
                        </wps:wsp>
                        <wps:wsp>
                          <wps:cNvPr id="30" name="自选图形 11"/>
                          <wps:cNvCnPr/>
                          <wps:spPr>
                            <a:xfrm>
                              <a:off x="5280" y="3412"/>
                              <a:ext cx="6" cy="1972"/>
                            </a:xfrm>
                            <a:prstGeom prst="straightConnector1">
                              <a:avLst/>
                            </a:prstGeom>
                            <a:ln w="9525" cap="flat" cmpd="sng">
                              <a:solidFill>
                                <a:srgbClr val="000000"/>
                              </a:solidFill>
                              <a:prstDash val="solid"/>
                              <a:headEnd type="none" w="med" len="med"/>
                              <a:tailEnd type="none" w="med" len="med"/>
                            </a:ln>
                          </wps:spPr>
                          <wps:bodyPr/>
                        </wps:wsp>
                        <wps:wsp>
                          <wps:cNvPr id="31" name="自选图形 12"/>
                          <wps:cNvCnPr/>
                          <wps:spPr>
                            <a:xfrm>
                              <a:off x="4530" y="4350"/>
                              <a:ext cx="1215" cy="0"/>
                            </a:xfrm>
                            <a:prstGeom prst="straightConnector1">
                              <a:avLst/>
                            </a:prstGeom>
                            <a:ln w="9525" cap="flat" cmpd="sng">
                              <a:solidFill>
                                <a:srgbClr val="000000"/>
                              </a:solidFill>
                              <a:prstDash val="solid"/>
                              <a:headEnd type="none" w="med" len="med"/>
                              <a:tailEnd type="none" w="med" len="med"/>
                            </a:ln>
                          </wps:spPr>
                          <wps:bodyPr/>
                        </wps:wsp>
                      </wpg:grpSp>
                      <wps:wsp>
                        <wps:cNvPr id="32" name="自选图形 54"/>
                        <wps:cNvCnPr/>
                        <wps:spPr>
                          <a:xfrm>
                            <a:off x="8244" y="7613"/>
                            <a:ext cx="0" cy="472"/>
                          </a:xfrm>
                          <a:prstGeom prst="straightConnector1">
                            <a:avLst/>
                          </a:prstGeom>
                          <a:ln w="9525" cap="flat" cmpd="sng">
                            <a:solidFill>
                              <a:srgbClr val="000000"/>
                            </a:solidFill>
                            <a:prstDash val="solid"/>
                            <a:headEnd type="none" w="med" len="med"/>
                            <a:tailEnd type="triangle" w="med" len="med"/>
                          </a:ln>
                        </wps:spPr>
                        <wps:bodyPr/>
                      </wps:wsp>
                      <wpg:grpSp>
                        <wpg:cNvPr id="33" name="组合 60"/>
                        <wpg:cNvGrpSpPr/>
                        <wpg:grpSpPr>
                          <a:xfrm>
                            <a:off x="6675" y="8610"/>
                            <a:ext cx="2985" cy="824"/>
                            <a:chOff x="6495" y="8850"/>
                            <a:chExt cx="3315" cy="824"/>
                          </a:xfrm>
                        </wpg:grpSpPr>
                        <wps:wsp>
                          <wps:cNvPr id="34" name="自选图形 55"/>
                          <wps:cNvCnPr/>
                          <wps:spPr>
                            <a:xfrm>
                              <a:off x="8244" y="8850"/>
                              <a:ext cx="0" cy="547"/>
                            </a:xfrm>
                            <a:prstGeom prst="straightConnector1">
                              <a:avLst/>
                            </a:prstGeom>
                            <a:ln w="9525" cap="flat" cmpd="sng">
                              <a:solidFill>
                                <a:srgbClr val="000000"/>
                              </a:solidFill>
                              <a:prstDash val="solid"/>
                              <a:headEnd type="none" w="med" len="med"/>
                              <a:tailEnd type="triangle" w="med" len="med"/>
                            </a:ln>
                          </wps:spPr>
                          <wps:bodyPr/>
                        </wps:wsp>
                        <wps:wsp>
                          <wps:cNvPr id="35" name="自选图形 57"/>
                          <wps:cNvCnPr/>
                          <wps:spPr>
                            <a:xfrm>
                              <a:off x="6495" y="9397"/>
                              <a:ext cx="3315" cy="0"/>
                            </a:xfrm>
                            <a:prstGeom prst="straightConnector1">
                              <a:avLst/>
                            </a:prstGeom>
                            <a:ln w="9525" cap="flat" cmpd="sng">
                              <a:solidFill>
                                <a:srgbClr val="000000"/>
                              </a:solidFill>
                              <a:prstDash val="solid"/>
                              <a:headEnd type="none" w="med" len="med"/>
                              <a:tailEnd type="none" w="med" len="med"/>
                            </a:ln>
                          </wps:spPr>
                          <wps:bodyPr/>
                        </wps:wsp>
                        <wps:wsp>
                          <wps:cNvPr id="36" name="自选图形 58"/>
                          <wps:cNvCnPr/>
                          <wps:spPr>
                            <a:xfrm>
                              <a:off x="6495" y="9397"/>
                              <a:ext cx="0" cy="277"/>
                            </a:xfrm>
                            <a:prstGeom prst="straightConnector1">
                              <a:avLst/>
                            </a:prstGeom>
                            <a:ln w="9525" cap="flat" cmpd="sng">
                              <a:solidFill>
                                <a:srgbClr val="000000"/>
                              </a:solidFill>
                              <a:prstDash val="solid"/>
                              <a:headEnd type="none" w="med" len="med"/>
                              <a:tailEnd type="triangle" w="med" len="med"/>
                            </a:ln>
                          </wps:spPr>
                          <wps:bodyPr/>
                        </wps:wsp>
                        <wps:wsp>
                          <wps:cNvPr id="37" name="自选图形 59"/>
                          <wps:cNvCnPr/>
                          <wps:spPr>
                            <a:xfrm>
                              <a:off x="9810" y="9397"/>
                              <a:ext cx="0" cy="277"/>
                            </a:xfrm>
                            <a:prstGeom prst="straightConnector1">
                              <a:avLst/>
                            </a:prstGeom>
                            <a:ln w="9525" cap="flat" cmpd="sng">
                              <a:solidFill>
                                <a:srgbClr val="000000"/>
                              </a:solidFill>
                              <a:prstDash val="solid"/>
                              <a:headEnd type="none" w="med" len="med"/>
                              <a:tailEnd type="triangle" w="med" len="med"/>
                            </a:ln>
                          </wps:spPr>
                          <wps:bodyPr/>
                        </wps:wsp>
                      </wpg:grpSp>
                      <wps:wsp>
                        <wps:cNvPr id="39" name="自选图形 61"/>
                        <wps:cNvCnPr/>
                        <wps:spPr>
                          <a:xfrm>
                            <a:off x="9660" y="9915"/>
                            <a:ext cx="0" cy="510"/>
                          </a:xfrm>
                          <a:prstGeom prst="straightConnector1">
                            <a:avLst/>
                          </a:prstGeom>
                          <a:ln w="9525" cap="flat" cmpd="sng">
                            <a:solidFill>
                              <a:srgbClr val="000000"/>
                            </a:solidFill>
                            <a:prstDash val="solid"/>
                            <a:headEnd type="none" w="med" len="med"/>
                            <a:tailEnd type="triangle" w="med" len="med"/>
                          </a:ln>
                        </wps:spPr>
                        <wps:bodyPr/>
                      </wps:wsp>
                      <wps:wsp>
                        <wps:cNvPr id="40" name="自选图形 62"/>
                        <wps:cNvCnPr/>
                        <wps:spPr>
                          <a:xfrm>
                            <a:off x="6675" y="9915"/>
                            <a:ext cx="1" cy="510"/>
                          </a:xfrm>
                          <a:prstGeom prst="straightConnector1">
                            <a:avLst/>
                          </a:prstGeom>
                          <a:ln w="9525" cap="flat" cmpd="sng">
                            <a:solidFill>
                              <a:srgbClr val="000000"/>
                            </a:solidFill>
                            <a:prstDash val="solid"/>
                            <a:headEnd type="none" w="med" len="med"/>
                            <a:tailEnd type="triangle" w="med" len="med"/>
                          </a:ln>
                        </wps:spPr>
                        <wps:bodyPr/>
                      </wps:wsp>
                      <wps:wsp>
                        <wps:cNvPr id="41" name="自选图形 63"/>
                        <wps:cNvCnPr/>
                        <wps:spPr>
                          <a:xfrm>
                            <a:off x="9702" y="11234"/>
                            <a:ext cx="0" cy="421"/>
                          </a:xfrm>
                          <a:prstGeom prst="straightConnector1">
                            <a:avLst/>
                          </a:prstGeom>
                          <a:ln w="9525" cap="flat" cmpd="sng">
                            <a:solidFill>
                              <a:srgbClr val="000000"/>
                            </a:solidFill>
                            <a:prstDash val="solid"/>
                            <a:headEnd type="none" w="med" len="med"/>
                            <a:tailEnd type="triangle" w="med" len="med"/>
                          </a:ln>
                        </wps:spPr>
                        <wps:bodyPr/>
                      </wps:wsp>
                      <wps:wsp>
                        <wps:cNvPr id="42" name="自选图形 64"/>
                        <wps:cNvCnPr/>
                        <wps:spPr>
                          <a:xfrm>
                            <a:off x="6675" y="11234"/>
                            <a:ext cx="0" cy="421"/>
                          </a:xfrm>
                          <a:prstGeom prst="straightConnector1">
                            <a:avLst/>
                          </a:prstGeom>
                          <a:ln w="9525" cap="flat" cmpd="sng">
                            <a:solidFill>
                              <a:srgbClr val="000000"/>
                            </a:solidFill>
                            <a:prstDash val="solid"/>
                            <a:headEnd type="none" w="med" len="med"/>
                            <a:tailEnd type="triangle" w="med" len="med"/>
                          </a:ln>
                        </wps:spPr>
                        <wps:bodyPr/>
                      </wps:wsp>
                      <wps:wsp>
                        <wps:cNvPr id="43" name="自选图形 65"/>
                        <wps:cNvCnPr/>
                        <wps:spPr>
                          <a:xfrm>
                            <a:off x="6675" y="12532"/>
                            <a:ext cx="0" cy="421"/>
                          </a:xfrm>
                          <a:prstGeom prst="straightConnector1">
                            <a:avLst/>
                          </a:prstGeom>
                          <a:ln w="9525" cap="flat" cmpd="sng">
                            <a:solidFill>
                              <a:srgbClr val="000000"/>
                            </a:solidFill>
                            <a:prstDash val="solid"/>
                            <a:headEnd type="none" w="med" len="med"/>
                            <a:tailEnd type="triangle" w="med" len="med"/>
                          </a:ln>
                        </wps:spPr>
                        <wps:bodyPr/>
                      </wps:wsp>
                      <wps:wsp>
                        <wps:cNvPr id="44" name="自选图形 66"/>
                        <wps:cNvCnPr/>
                        <wps:spPr>
                          <a:xfrm>
                            <a:off x="9660" y="12532"/>
                            <a:ext cx="0" cy="42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7" o:spid="_x0000_s1026" o:spt="203" style="position:absolute;left:0pt;margin-left:-15.45pt;margin-top:25.5pt;height:542.25pt;width:456.6pt;z-index:251665408;mso-width-relative:page;mso-height-relative:page;" coordorigin="1449,3105" coordsize="9132,11115" o:gfxdata="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H1XZP3aAAAACwEAAA8AAAAAAAAAAQAgAAAAIgAAAGRycy9kb3ducmV2Lnht&#10;bFBLAQIUABQAAAAIAIdO4kB66n9P+gcAALVSAAAOAAAAAAAAAAEAIAAAACkBAABkcnMvZTJvRG9j&#10;LnhtbFBLBQYAAAAABgAGAFkBAACVCwAAAAA=&#10;">
                <o:lock v:ext="edit" aspectratio="f"/>
                <v:shape id="文本框 44" o:spid="_x0000_s1026" o:spt="202" type="#_x0000_t202" style="position:absolute;left:6315;top:8085;height:525;width:3705;"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F2856D">
                        <w:pPr>
                          <w:spacing w:line="276" w:lineRule="auto"/>
                          <w:jc w:val="center"/>
                          <w:rPr>
                            <w:rFonts w:asciiTheme="minorEastAsia" w:hAnsiTheme="minorEastAsia"/>
                            <w:szCs w:val="21"/>
                          </w:rPr>
                        </w:pPr>
                        <w:r>
                          <w:rPr>
                            <w:rFonts w:hint="eastAsia" w:asciiTheme="minorEastAsia" w:hAnsiTheme="minorEastAsia"/>
                            <w:szCs w:val="21"/>
                          </w:rPr>
                          <w:t>安排医生接诊</w:t>
                        </w:r>
                      </w:p>
                    </w:txbxContent>
                  </v:textbox>
                </v:shape>
                <v:shape id="文本框 45" o:spid="_x0000_s1026" o:spt="202" type="#_x0000_t202" style="position:absolute;left:5577;top:9434;height:481;width:2253;"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7534BB">
                        <w:pPr>
                          <w:spacing w:line="276" w:lineRule="auto"/>
                          <w:jc w:val="center"/>
                          <w:rPr>
                            <w:rFonts w:asciiTheme="minorEastAsia" w:hAnsiTheme="minorEastAsia"/>
                            <w:szCs w:val="21"/>
                          </w:rPr>
                        </w:pPr>
                        <w:r>
                          <w:rPr>
                            <w:rFonts w:hint="eastAsia" w:asciiTheme="minorEastAsia" w:hAnsiTheme="minorEastAsia"/>
                            <w:szCs w:val="21"/>
                          </w:rPr>
                          <w:t>患者需门诊诊治</w:t>
                        </w:r>
                      </w:p>
                    </w:txbxContent>
                  </v:textbox>
                </v:shape>
                <v:shape id="文本框 46" o:spid="_x0000_s1026" o:spt="202" type="#_x0000_t202" style="position:absolute;left:5577;top:10425;height:809;width:2253;v-text-anchor:middle;" fillcolor="#FFFFFF" filled="t" stroked="t" coordsize="21600,21600" o:gfxdata="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17M2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42C6D12">
                        <w:pPr>
                          <w:spacing w:line="276" w:lineRule="auto"/>
                          <w:jc w:val="center"/>
                          <w:rPr>
                            <w:rFonts w:asciiTheme="minorEastAsia" w:hAnsiTheme="minorEastAsia"/>
                            <w:szCs w:val="21"/>
                          </w:rPr>
                        </w:pPr>
                        <w:r>
                          <w:rPr>
                            <w:rFonts w:hint="eastAsia" w:asciiTheme="minorEastAsia" w:hAnsiTheme="minorEastAsia"/>
                            <w:szCs w:val="21"/>
                          </w:rPr>
                          <w:t>患者进行门诊</w:t>
                        </w:r>
                      </w:p>
                      <w:p w14:paraId="5F10ADBD">
                        <w:pPr>
                          <w:spacing w:line="276" w:lineRule="auto"/>
                          <w:jc w:val="center"/>
                          <w:rPr>
                            <w:rFonts w:asciiTheme="minorEastAsia" w:hAnsiTheme="minorEastAsia"/>
                            <w:szCs w:val="21"/>
                          </w:rPr>
                        </w:pPr>
                        <w:r>
                          <w:rPr>
                            <w:rFonts w:hint="eastAsia" w:asciiTheme="minorEastAsia" w:hAnsiTheme="minorEastAsia"/>
                            <w:szCs w:val="21"/>
                          </w:rPr>
                          <w:t>诊治</w:t>
                        </w:r>
                      </w:p>
                    </w:txbxContent>
                  </v:textbox>
                </v:shape>
                <v:shape id="文本框 47" o:spid="_x0000_s1026" o:spt="202" type="#_x0000_t202" style="position:absolute;left:5577;top:11655;height:877;width:2253;"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39851E">
                        <w:pPr>
                          <w:spacing w:line="276" w:lineRule="auto"/>
                          <w:jc w:val="left"/>
                          <w:rPr>
                            <w:rFonts w:asciiTheme="minorEastAsia" w:hAnsiTheme="minorEastAsia"/>
                            <w:szCs w:val="21"/>
                          </w:rPr>
                        </w:pPr>
                        <w:r>
                          <w:rPr>
                            <w:rFonts w:hint="eastAsia" w:asciiTheme="minorEastAsia" w:hAnsiTheme="minorEastAsia"/>
                            <w:szCs w:val="21"/>
                          </w:rPr>
                          <w:t>明确诊断，确定治疗</w:t>
                        </w:r>
                      </w:p>
                      <w:p w14:paraId="23CD557E">
                        <w:pPr>
                          <w:spacing w:line="276" w:lineRule="auto"/>
                          <w:jc w:val="left"/>
                          <w:rPr>
                            <w:rFonts w:asciiTheme="minorEastAsia" w:hAnsiTheme="minorEastAsia"/>
                            <w:szCs w:val="21"/>
                          </w:rPr>
                        </w:pPr>
                        <w:r>
                          <w:rPr>
                            <w:rFonts w:hint="eastAsia" w:asciiTheme="minorEastAsia" w:hAnsiTheme="minorEastAsia"/>
                            <w:szCs w:val="21"/>
                          </w:rPr>
                          <w:t>方案，完成门诊转诊</w:t>
                        </w:r>
                      </w:p>
                    </w:txbxContent>
                  </v:textbox>
                </v:shape>
                <v:shape id="文本框 48" o:spid="_x0000_s1026" o:spt="202" type="#_x0000_t202" style="position:absolute;left:5577;top:12953;height:1267;width:2253;"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B2CEEDF">
                        <w:pPr>
                          <w:spacing w:line="276" w:lineRule="auto"/>
                          <w:jc w:val="left"/>
                          <w:rPr>
                            <w:rFonts w:asciiTheme="minorEastAsia" w:hAnsiTheme="minorEastAsia"/>
                            <w:szCs w:val="21"/>
                          </w:rPr>
                        </w:pPr>
                        <w:r>
                          <w:rPr>
                            <w:rFonts w:hint="eastAsia" w:asciiTheme="minorEastAsia" w:hAnsiTheme="minorEastAsia"/>
                            <w:szCs w:val="21"/>
                          </w:rPr>
                          <w:t>门诊医生填写双向转</w:t>
                        </w:r>
                      </w:p>
                      <w:p w14:paraId="30519F0A">
                        <w:pPr>
                          <w:spacing w:line="276" w:lineRule="auto"/>
                          <w:jc w:val="left"/>
                          <w:rPr>
                            <w:rFonts w:asciiTheme="minorEastAsia" w:hAnsiTheme="minorEastAsia"/>
                            <w:szCs w:val="21"/>
                          </w:rPr>
                        </w:pPr>
                        <w:r>
                          <w:rPr>
                            <w:rFonts w:hint="eastAsia" w:asciiTheme="minorEastAsia" w:hAnsiTheme="minorEastAsia"/>
                            <w:szCs w:val="21"/>
                          </w:rPr>
                          <w:t>诊下转单，提出治疗</w:t>
                        </w:r>
                      </w:p>
                      <w:p w14:paraId="1BD65894">
                        <w:pPr>
                          <w:spacing w:line="276" w:lineRule="auto"/>
                          <w:jc w:val="left"/>
                          <w:rPr>
                            <w:rFonts w:asciiTheme="minorEastAsia" w:hAnsiTheme="minorEastAsia"/>
                            <w:szCs w:val="21"/>
                          </w:rPr>
                        </w:pPr>
                        <w:r>
                          <w:rPr>
                            <w:rFonts w:hint="eastAsia" w:asciiTheme="minorEastAsia" w:hAnsiTheme="minorEastAsia"/>
                            <w:szCs w:val="21"/>
                          </w:rPr>
                          <w:t>意见及建议上交社区</w:t>
                        </w:r>
                      </w:p>
                    </w:txbxContent>
                  </v:textbox>
                </v:shape>
                <v:shape id="文本框 49" o:spid="_x0000_s1026" o:spt="202" type="#_x0000_t202" style="position:absolute;left:8394;top:9434;height:481;width:2166;"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F9DD5C7">
                        <w:pPr>
                          <w:spacing w:line="276" w:lineRule="auto"/>
                          <w:jc w:val="center"/>
                        </w:pPr>
                        <w:r>
                          <w:rPr>
                            <w:rFonts w:hint="eastAsia" w:asciiTheme="minorEastAsia" w:hAnsiTheme="minorEastAsia"/>
                            <w:szCs w:val="21"/>
                          </w:rPr>
                          <w:t>患者需住院</w:t>
                        </w:r>
                      </w:p>
                    </w:txbxContent>
                  </v:textbox>
                </v:shape>
                <v:shape id="文本框 50" o:spid="_x0000_s1026" o:spt="202" type="#_x0000_t202" style="position:absolute;left:8442;top:10425;height:809;width:2139;v-text-anchor:middle;" fillcolor="#FFFFFF" filled="t" stroked="t" coordsize="21600,21600" o:gfxdata="UEsDBAoAAAAAAIdO4kAAAAAAAAAAAAAAAAAEAAAAZHJzL1BLAwQUAAAACACHTuJAdrG6C7gAAADb&#10;AAAADwAAAGRycy9kb3ducmV2LnhtbEVPTWsCMRC9F/wPYQRvNbGC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rG6C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3C3F810">
                        <w:pPr>
                          <w:spacing w:line="276" w:lineRule="auto"/>
                          <w:jc w:val="center"/>
                          <w:rPr>
                            <w:rFonts w:asciiTheme="minorEastAsia" w:hAnsiTheme="minorEastAsia"/>
                            <w:szCs w:val="21"/>
                          </w:rPr>
                        </w:pPr>
                        <w:r>
                          <w:rPr>
                            <w:rFonts w:hint="eastAsia" w:asciiTheme="minorEastAsia" w:hAnsiTheme="minorEastAsia"/>
                            <w:szCs w:val="21"/>
                          </w:rPr>
                          <w:t>安排转诊患者</w:t>
                        </w:r>
                      </w:p>
                      <w:p w14:paraId="61E2CE73">
                        <w:pPr>
                          <w:spacing w:line="276" w:lineRule="auto"/>
                          <w:jc w:val="center"/>
                          <w:rPr>
                            <w:rFonts w:asciiTheme="minorEastAsia" w:hAnsiTheme="minorEastAsia"/>
                            <w:szCs w:val="21"/>
                          </w:rPr>
                        </w:pPr>
                        <w:r>
                          <w:rPr>
                            <w:rFonts w:hint="eastAsia" w:asciiTheme="minorEastAsia" w:hAnsiTheme="minorEastAsia"/>
                            <w:szCs w:val="21"/>
                          </w:rPr>
                          <w:t>住院治疗</w:t>
                        </w:r>
                      </w:p>
                    </w:txbxContent>
                  </v:textbox>
                </v:shape>
                <v:shape id="文本框 51" o:spid="_x0000_s1026" o:spt="202" type="#_x0000_t202" style="position:absolute;left:8394;top:11655;height:877;width:2166;"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C82DCA9">
                        <w:pPr>
                          <w:spacing w:line="276" w:lineRule="auto"/>
                          <w:jc w:val="center"/>
                          <w:rPr>
                            <w:rFonts w:asciiTheme="minorEastAsia" w:hAnsiTheme="minorEastAsia"/>
                            <w:szCs w:val="21"/>
                          </w:rPr>
                        </w:pPr>
                        <w:r>
                          <w:rPr>
                            <w:rFonts w:hint="eastAsia" w:asciiTheme="minorEastAsia" w:hAnsiTheme="minorEastAsia"/>
                            <w:szCs w:val="21"/>
                          </w:rPr>
                          <w:t>患者病情稳定符</w:t>
                        </w:r>
                      </w:p>
                      <w:p w14:paraId="0A3DD125">
                        <w:pPr>
                          <w:spacing w:line="276" w:lineRule="auto"/>
                          <w:jc w:val="center"/>
                          <w:rPr>
                            <w:rFonts w:asciiTheme="minorEastAsia" w:hAnsiTheme="minorEastAsia"/>
                            <w:szCs w:val="21"/>
                          </w:rPr>
                        </w:pPr>
                        <w:r>
                          <w:rPr>
                            <w:rFonts w:hint="eastAsia" w:asciiTheme="minorEastAsia" w:hAnsiTheme="minorEastAsia"/>
                            <w:szCs w:val="21"/>
                          </w:rPr>
                          <w:t>合转回社区指征</w:t>
                        </w:r>
                      </w:p>
                    </w:txbxContent>
                  </v:textbox>
                </v:shape>
                <v:shape id="文本框 52" o:spid="_x0000_s1026" o:spt="202" type="#_x0000_t202" style="position:absolute;left:8378;top:12953;height:1235;width:2182;"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ED035E">
                        <w:pPr>
                          <w:spacing w:line="276" w:lineRule="auto"/>
                          <w:jc w:val="left"/>
                          <w:rPr>
                            <w:rFonts w:asciiTheme="minorEastAsia" w:hAnsiTheme="minorEastAsia"/>
                            <w:szCs w:val="21"/>
                          </w:rPr>
                        </w:pPr>
                        <w:r>
                          <w:rPr>
                            <w:rFonts w:hint="eastAsia" w:asciiTheme="minorEastAsia" w:hAnsiTheme="minorEastAsia"/>
                            <w:szCs w:val="21"/>
                          </w:rPr>
                          <w:t>住院医生填写出院</w:t>
                        </w:r>
                      </w:p>
                      <w:p w14:paraId="6CAAF5A2">
                        <w:pPr>
                          <w:spacing w:line="276" w:lineRule="auto"/>
                          <w:jc w:val="left"/>
                          <w:rPr>
                            <w:rFonts w:asciiTheme="minorEastAsia" w:hAnsiTheme="minorEastAsia"/>
                            <w:szCs w:val="21"/>
                          </w:rPr>
                        </w:pPr>
                        <w:r>
                          <w:rPr>
                            <w:rFonts w:hint="eastAsia" w:asciiTheme="minorEastAsia" w:hAnsiTheme="minorEastAsia"/>
                            <w:szCs w:val="21"/>
                          </w:rPr>
                          <w:t>小结，提出治疗意</w:t>
                        </w:r>
                      </w:p>
                      <w:p w14:paraId="699E3CAB">
                        <w:pPr>
                          <w:spacing w:line="276" w:lineRule="auto"/>
                          <w:jc w:val="left"/>
                          <w:rPr>
                            <w:rFonts w:asciiTheme="minorEastAsia" w:hAnsiTheme="minorEastAsia"/>
                            <w:szCs w:val="21"/>
                          </w:rPr>
                        </w:pPr>
                        <w:r>
                          <w:rPr>
                            <w:rFonts w:hint="eastAsia" w:asciiTheme="minorEastAsia" w:hAnsiTheme="minorEastAsia"/>
                            <w:szCs w:val="21"/>
                          </w:rPr>
                          <w:t>见及建议上交社区</w:t>
                        </w:r>
                      </w:p>
                    </w:txbxContent>
                  </v:textbox>
                </v:shape>
                <v:shape id="文本框 22" o:spid="_x0000_s1026" o:spt="202" type="#_x0000_t202" style="position:absolute;left:1470;top:7095;height:518;width:9111;"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17CF0E1">
                        <w:pPr>
                          <w:spacing w:line="276" w:lineRule="auto"/>
                          <w:jc w:val="center"/>
                          <w:rPr>
                            <w:rFonts w:asciiTheme="minorEastAsia" w:hAnsiTheme="minorEastAsia"/>
                            <w:szCs w:val="21"/>
                          </w:rPr>
                        </w:pPr>
                        <w:r>
                          <w:rPr>
                            <w:rFonts w:hint="eastAsia" w:asciiTheme="minorEastAsia" w:hAnsiTheme="minorEastAsia"/>
                            <w:b/>
                            <w:color w:val="FF0000"/>
                            <w:szCs w:val="21"/>
                          </w:rPr>
                          <w:t xml:space="preserve">                  </w:t>
                        </w:r>
                        <w:r>
                          <w:rPr>
                            <w:rFonts w:hint="eastAsia" w:asciiTheme="minorEastAsia" w:hAnsiTheme="minorEastAsia"/>
                            <w:b w:val="0"/>
                            <w:bCs/>
                            <w:color w:val="FF0000"/>
                            <w:szCs w:val="21"/>
                          </w:rPr>
                          <w:t xml:space="preserve">   </w:t>
                        </w:r>
                        <w:r>
                          <w:rPr>
                            <w:rFonts w:hint="eastAsia" w:asciiTheme="minorEastAsia" w:hAnsiTheme="minorEastAsia"/>
                            <w:b w:val="0"/>
                            <w:bCs/>
                            <w:color w:val="auto"/>
                            <w:szCs w:val="21"/>
                          </w:rPr>
                          <w:t xml:space="preserve"> 东丽医院双向转诊接待处（门诊大厅一楼一站式服务台）  </w:t>
                        </w:r>
                        <w:r>
                          <w:rPr>
                            <w:rFonts w:hint="eastAsia" w:asciiTheme="minorEastAsia" w:hAnsiTheme="minorEastAsia"/>
                            <w:szCs w:val="21"/>
                          </w:rPr>
                          <w:t xml:space="preserve">                                                                                                                                                                                                                                                                                                                                                                                                                                                                                                                                                        </w:t>
                        </w:r>
                      </w:p>
                    </w:txbxContent>
                  </v:textbox>
                </v:shape>
                <v:shape id="自选图形 39" o:spid="_x0000_s1026" o:spt="32" type="#_x0000_t32" style="position:absolute;left:8244;top:6623;height:472;width:6;"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2" o:spid="_x0000_s1026" o:spt="32" type="#_x0000_t32" style="position:absolute;left:3094;top:4860;flip:y;height:2235;width:1;" filled="f" stroked="t" coordsize="21600,21600" o:gfxdata="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mpqvQAA&#10;ANsAAAAPAAAAAAAAAAEAIAAAACIAAABkcnMvZG93bnJldi54bWxQSwECFAAUAAAACACHTuJAMy8F&#10;njsAAAA5AAAAEAAAAAAAAAABACAAAAAMAQAAZHJzL3NoYXBleG1sLnhtbFBLBQYAAAAABgAGAFsB&#10;AAC2AwAAAAA=&#10;">
                  <v:fill on="f" focussize="0,0"/>
                  <v:stroke weight="0.25pt" color="#000000" joinstyle="round" dashstyle="dashDot" endarrow="block"/>
                  <v:imagedata o:title=""/>
                  <o:lock v:ext="edit" aspectratio="f"/>
                </v:shape>
                <v:shape id="文本框 16" o:spid="_x0000_s1026" o:spt="202" type="#_x0000_t202" style="position:absolute;left:5745;top:6105;height:518;width:4836;"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5C729A3">
                        <w:pPr>
                          <w:spacing w:line="276" w:lineRule="auto"/>
                          <w:jc w:val="center"/>
                          <w:rPr>
                            <w:rFonts w:asciiTheme="minorEastAsia" w:hAnsiTheme="minorEastAsia"/>
                            <w:szCs w:val="21"/>
                          </w:rPr>
                        </w:pPr>
                        <w:r>
                          <w:rPr>
                            <w:rFonts w:hint="eastAsia" w:asciiTheme="minorEastAsia" w:hAnsiTheme="minorEastAsia"/>
                            <w:szCs w:val="21"/>
                          </w:rPr>
                          <w:t>患者持双向转诊单到东丽医院就诊</w:t>
                        </w:r>
                      </w:p>
                    </w:txbxContent>
                  </v:textbox>
                </v:shape>
                <v:shape id="自选图形 17" o:spid="_x0000_s1026" o:spt="32" type="#_x0000_t32" style="position:absolute;left:8259;top:5607;height:498;width:15;"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id="组合 53" o:spid="_x0000_s1026" o:spt="203" style="position:absolute;left:1449;top:3105;height:2815;width:9105;" coordorigin="1449,3105" coordsize="9105,281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1449;top:3975;height:885;width:306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5B79D22">
                          <w:pPr>
                            <w:spacing w:line="276" w:lineRule="auto"/>
                            <w:jc w:val="center"/>
                            <w:rPr>
                              <w:rFonts w:asciiTheme="minorEastAsia" w:hAnsiTheme="minorEastAsia"/>
                              <w:szCs w:val="21"/>
                            </w:rPr>
                          </w:pPr>
                          <w:r>
                            <w:rPr>
                              <w:rFonts w:hint="eastAsia" w:asciiTheme="minorEastAsia" w:hAnsiTheme="minorEastAsia"/>
                              <w:szCs w:val="21"/>
                            </w:rPr>
                            <w:t>社区卫生服务中心</w:t>
                          </w:r>
                        </w:p>
                        <w:p w14:paraId="16DA5658">
                          <w:pPr>
                            <w:spacing w:line="276" w:lineRule="auto"/>
                            <w:jc w:val="center"/>
                            <w:rPr>
                              <w:rFonts w:asciiTheme="minorEastAsia" w:hAnsiTheme="minorEastAsia"/>
                              <w:szCs w:val="21"/>
                            </w:rPr>
                          </w:pPr>
                          <w:r>
                            <w:rPr>
                              <w:rFonts w:hint="eastAsia" w:asciiTheme="minorEastAsia" w:hAnsiTheme="minorEastAsia"/>
                              <w:szCs w:val="21"/>
                            </w:rPr>
                            <w:t>责任医生</w:t>
                          </w:r>
                        </w:p>
                      </w:txbxContent>
                    </v:textbox>
                  </v:shape>
                  <v:shape id="文本框 3" o:spid="_x0000_s1026" o:spt="202" type="#_x0000_t202" style="position:absolute;left:5718;top:3105;height:525;width:4836;v-text-anchor:middle;" fillcolor="#FFFFFF" filled="t" stroked="t" coordsize="21600,21600" o:gfxdata="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HVL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6216DF0">
                          <w:pPr>
                            <w:spacing w:line="276" w:lineRule="auto"/>
                            <w:jc w:val="center"/>
                            <w:rPr>
                              <w:rFonts w:asciiTheme="minorEastAsia" w:hAnsiTheme="minorEastAsia"/>
                              <w:szCs w:val="21"/>
                            </w:rPr>
                          </w:pPr>
                          <w:r>
                            <w:rPr>
                              <w:rFonts w:hint="eastAsia" w:asciiTheme="minorEastAsia" w:hAnsiTheme="minorEastAsia"/>
                              <w:szCs w:val="21"/>
                            </w:rPr>
                            <w:t>接诊符合双向转诊指征的患者</w:t>
                          </w:r>
                        </w:p>
                      </w:txbxContent>
                    </v:textbox>
                  </v:shape>
                  <v:shape id="文本框 4" o:spid="_x0000_s1026" o:spt="202" type="#_x0000_t202" style="position:absolute;left:5718;top:4115;height:505;width:4836;"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93707EB">
                          <w:pPr>
                            <w:spacing w:line="276" w:lineRule="auto"/>
                            <w:jc w:val="center"/>
                            <w:rPr>
                              <w:rFonts w:asciiTheme="minorEastAsia" w:hAnsiTheme="minorEastAsia"/>
                              <w:sz w:val="26"/>
                              <w:szCs w:val="26"/>
                            </w:rPr>
                          </w:pPr>
                          <w:r>
                            <w:rPr>
                              <w:rFonts w:hint="eastAsia" w:asciiTheme="minorEastAsia" w:hAnsiTheme="minorEastAsia"/>
                              <w:szCs w:val="21"/>
                            </w:rPr>
                            <w:t>填写双向转诊上转单</w:t>
                          </w:r>
                        </w:p>
                      </w:txbxContent>
                    </v:textbox>
                  </v:shape>
                  <v:shape id="自选图形 5" o:spid="_x0000_s1026" o:spt="32" type="#_x0000_t32" style="position:absolute;left:8244;top:3630;height:485;width:15;"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6" o:spid="_x0000_s1026" o:spt="202" type="#_x0000_t202" style="position:absolute;left:5724;top:5135;height:785;width:4830;"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596006">
                          <w:pPr>
                            <w:snapToGrid w:val="0"/>
                            <w:spacing w:line="276" w:lineRule="auto"/>
                            <w:jc w:val="center"/>
                            <w:rPr>
                              <w:rFonts w:asciiTheme="minorEastAsia" w:hAnsiTheme="minorEastAsia"/>
                              <w:szCs w:val="21"/>
                            </w:rPr>
                          </w:pPr>
                          <w:r>
                            <w:rPr>
                              <w:rFonts w:hint="eastAsia" w:asciiTheme="minorEastAsia" w:hAnsiTheme="minorEastAsia"/>
                              <w:szCs w:val="21"/>
                            </w:rPr>
                            <w:t>向患者交待双向转诊注意事项:请患者尽量预约就诊</w:t>
                          </w:r>
                        </w:p>
                      </w:txbxContent>
                    </v:textbox>
                  </v:shape>
                  <v:shape id="自选图形 8" o:spid="_x0000_s1026" o:spt="32" type="#_x0000_t32" style="position:absolute;left:8274;top:4620;height:515;width:0;"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9" o:spid="_x0000_s1026" o:spt="32" type="#_x0000_t32" style="position:absolute;left:5274;top:3411;height:1;width:444;"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0" o:spid="_x0000_s1026" o:spt="32" type="#_x0000_t32" style="position:absolute;left:5274;top:5384;height:1;width:444;" filled="f" stroked="t" coordsize="21600,21600" o:gfxdata="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rV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1" o:spid="_x0000_s1026" o:spt="32" type="#_x0000_t32" style="position:absolute;left:5280;top:3412;height:1972;width:6;" filled="f" stroked="t" coordsize="21600,21600" o:gfxdata="UEsDBAoAAAAAAIdO4kAAAAAAAAAAAAAAAAAEAAAAZHJzL1BLAwQUAAAACACHTuJAB/2KALoAAADb&#10;AAAADwAAAGRycy9kb3ducmV2LnhtbEVPz2vCMBS+D/wfwhN2GZpU2d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o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12" o:spid="_x0000_s1026" o:spt="32" type="#_x0000_t32" style="position:absolute;left:4530;top:4350;height:0;width:1215;" filled="f" stroked="t" coordsize="21600,21600" o:gfxdata="UEsDBAoAAAAAAIdO4kAAAAAAAAAAAAAAAAAEAAAAZHJzL1BLAwQUAAAACACHTuJAaLEvm7wAAADb&#10;AAAADwAAAGRycy9kb3ducmV2LnhtbEWPQYvCMBSE78L+h/AW9iKaVFG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L5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自选图形 54" o:spid="_x0000_s1026" o:spt="32" type="#_x0000_t32" style="position:absolute;left:8244;top:7613;height:472;width: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60" o:spid="_x0000_s1026" o:spt="203" style="position:absolute;left:6675;top:8610;height:824;width:2985;" coordorigin="6495,8850" coordsize="3315,82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自选图形 55" o:spid="_x0000_s1026" o:spt="32" type="#_x0000_t32" style="position:absolute;left:8244;top:8850;height:547;width:0;"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57" o:spid="_x0000_s1026" o:spt="32" type="#_x0000_t32" style="position:absolute;left:6495;top:9397;height:0;width:3315;" filled="f" stroked="t" coordsize="21600,21600" o:gfxdata="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im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8" o:spid="_x0000_s1026" o:spt="32" type="#_x0000_t32" style="position:absolute;left:6495;top:9397;height:277;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59" o:spid="_x0000_s1026" o:spt="32" type="#_x0000_t32" style="position:absolute;left:9810;top:9397;height:277;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自选图形 61" o:spid="_x0000_s1026" o:spt="32" type="#_x0000_t32" style="position:absolute;left:9660;top:9915;height:510;width:0;"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2" o:spid="_x0000_s1026" o:spt="32" type="#_x0000_t32" style="position:absolute;left:6675;top:9915;height:510;width:1;"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63" o:spid="_x0000_s1026" o:spt="32" type="#_x0000_t32" style="position:absolute;left:9702;top:11234;height:421;width: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4" o:spid="_x0000_s1026" o:spt="32" type="#_x0000_t32" style="position:absolute;left:6675;top:11234;height:421;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5" o:spid="_x0000_s1026" o:spt="32" type="#_x0000_t32" style="position:absolute;left:6675;top:12532;height:421;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6" o:spid="_x0000_s1026" o:spt="32" type="#_x0000_t32" style="position:absolute;left:9660;top:12532;height:421;width: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70F97B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2D2882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095493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09000D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787808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0AD5C8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7D575C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75FDE4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005515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5AB8A3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32FA3A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2E9DEB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35CBE9C5">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rPr>
          <w:rFonts w:asciiTheme="minorEastAsia" w:hAnsiTheme="minorEastAsia"/>
          <w:szCs w:val="21"/>
        </w:rPr>
        <mc:AlternateContent>
          <mc:Choice Requires="wpg">
            <w:drawing>
              <wp:anchor distT="0" distB="0" distL="114300" distR="114300" simplePos="0" relativeHeight="251666432" behindDoc="0" locked="0" layoutInCell="1" allowOverlap="1">
                <wp:simplePos x="0" y="0"/>
                <wp:positionH relativeFrom="column">
                  <wp:posOffset>820420</wp:posOffset>
                </wp:positionH>
                <wp:positionV relativeFrom="paragraph">
                  <wp:posOffset>-1528445</wp:posOffset>
                </wp:positionV>
                <wp:extent cx="4196715" cy="4643120"/>
                <wp:effectExtent l="38100" t="0" r="13335" b="5080"/>
                <wp:wrapNone/>
                <wp:docPr id="45" name="组合 76"/>
                <wp:cNvGraphicFramePr/>
                <a:graphic xmlns:a="http://schemas.openxmlformats.org/drawingml/2006/main">
                  <a:graphicData uri="http://schemas.microsoft.com/office/word/2010/wordprocessingGroup">
                    <wpg:wgp>
                      <wpg:cNvGrpSpPr/>
                      <wpg:grpSpPr>
                        <a:xfrm>
                          <a:off x="0" y="0"/>
                          <a:ext cx="4196715" cy="4643120"/>
                          <a:chOff x="3095" y="7613"/>
                          <a:chExt cx="6609" cy="7312"/>
                        </a:xfrm>
                      </wpg:grpSpPr>
                      <wps:wsp>
                        <wps:cNvPr id="46" name="自选图形 68"/>
                        <wps:cNvCnPr/>
                        <wps:spPr>
                          <a:xfrm>
                            <a:off x="6676" y="14220"/>
                            <a:ext cx="0" cy="345"/>
                          </a:xfrm>
                          <a:prstGeom prst="straightConnector1">
                            <a:avLst/>
                          </a:prstGeom>
                          <a:ln w="9525" cap="flat" cmpd="sng">
                            <a:solidFill>
                              <a:srgbClr val="000000"/>
                            </a:solidFill>
                            <a:prstDash val="dashDot"/>
                            <a:headEnd type="none" w="med" len="med"/>
                            <a:tailEnd type="none" w="med" len="med"/>
                          </a:ln>
                        </wps:spPr>
                        <wps:bodyPr/>
                      </wps:wsp>
                      <wps:wsp>
                        <wps:cNvPr id="47" name="自选图形 69"/>
                        <wps:cNvCnPr/>
                        <wps:spPr>
                          <a:xfrm>
                            <a:off x="9703" y="14188"/>
                            <a:ext cx="1" cy="345"/>
                          </a:xfrm>
                          <a:prstGeom prst="straightConnector1">
                            <a:avLst/>
                          </a:prstGeom>
                          <a:ln w="9525" cap="flat" cmpd="sng">
                            <a:solidFill>
                              <a:srgbClr val="000000"/>
                            </a:solidFill>
                            <a:prstDash val="dashDot"/>
                            <a:headEnd type="none" w="med" len="med"/>
                            <a:tailEnd type="none" w="med" len="med"/>
                          </a:ln>
                        </wps:spPr>
                        <wps:bodyPr/>
                      </wps:wsp>
                      <wps:wsp>
                        <wps:cNvPr id="48" name="自选图形 70"/>
                        <wps:cNvCnPr/>
                        <wps:spPr>
                          <a:xfrm>
                            <a:off x="6676" y="14565"/>
                            <a:ext cx="3028" cy="0"/>
                          </a:xfrm>
                          <a:prstGeom prst="straightConnector1">
                            <a:avLst/>
                          </a:prstGeom>
                          <a:ln w="9525" cap="flat" cmpd="sng">
                            <a:solidFill>
                              <a:srgbClr val="000000"/>
                            </a:solidFill>
                            <a:prstDash val="dashDot"/>
                            <a:headEnd type="none" w="med" len="med"/>
                            <a:tailEnd type="none" w="med" len="med"/>
                          </a:ln>
                        </wps:spPr>
                        <wps:bodyPr/>
                      </wps:wsp>
                      <wps:wsp>
                        <wps:cNvPr id="49" name="自选图形 71"/>
                        <wps:cNvCnPr/>
                        <wps:spPr>
                          <a:xfrm>
                            <a:off x="8274" y="14565"/>
                            <a:ext cx="0" cy="360"/>
                          </a:xfrm>
                          <a:prstGeom prst="straightConnector1">
                            <a:avLst/>
                          </a:prstGeom>
                          <a:ln w="9525" cap="flat" cmpd="sng">
                            <a:solidFill>
                              <a:srgbClr val="000000"/>
                            </a:solidFill>
                            <a:prstDash val="dashDot"/>
                            <a:headEnd type="none" w="med" len="med"/>
                            <a:tailEnd type="none" w="med" len="med"/>
                          </a:ln>
                        </wps:spPr>
                        <wps:bodyPr/>
                      </wps:wsp>
                      <wps:wsp>
                        <wps:cNvPr id="50" name="自选图形 73"/>
                        <wps:cNvCnPr/>
                        <wps:spPr>
                          <a:xfrm>
                            <a:off x="3095" y="14925"/>
                            <a:ext cx="5179" cy="0"/>
                          </a:xfrm>
                          <a:prstGeom prst="straightConnector1">
                            <a:avLst/>
                          </a:prstGeom>
                          <a:ln w="9525" cap="flat" cmpd="sng">
                            <a:solidFill>
                              <a:srgbClr val="000000"/>
                            </a:solidFill>
                            <a:prstDash val="dashDot"/>
                            <a:headEnd type="none" w="med" len="med"/>
                            <a:tailEnd type="none" w="med" len="med"/>
                          </a:ln>
                        </wps:spPr>
                        <wps:bodyPr/>
                      </wps:wsp>
                      <wps:wsp>
                        <wps:cNvPr id="51" name="自选图形 74"/>
                        <wps:cNvCnPr/>
                        <wps:spPr>
                          <a:xfrm flipV="1">
                            <a:off x="3095" y="7613"/>
                            <a:ext cx="0" cy="7312"/>
                          </a:xfrm>
                          <a:prstGeom prst="straightConnector1">
                            <a:avLst/>
                          </a:prstGeom>
                          <a:ln w="9525" cap="flat" cmpd="sng">
                            <a:solidFill>
                              <a:srgbClr val="000000"/>
                            </a:solidFill>
                            <a:prstDash val="dashDot"/>
                            <a:headEnd type="none" w="med" len="med"/>
                            <a:tailEnd type="triangle" w="med" len="med"/>
                          </a:ln>
                        </wps:spPr>
                        <wps:bodyPr/>
                      </wps:wsp>
                    </wpg:wgp>
                  </a:graphicData>
                </a:graphic>
              </wp:anchor>
            </w:drawing>
          </mc:Choice>
          <mc:Fallback>
            <w:pict>
              <v:group id="组合 76" o:spid="_x0000_s1026" o:spt="203" style="position:absolute;left:0pt;margin-left:64.6pt;margin-top:-120.35pt;height:365.6pt;width:330.45pt;z-index:251666432;mso-width-relative:page;mso-height-relative:page;" coordorigin="3095,7613" coordsize="6609,7312" o:gfxdata="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HdI2sXcAAAADAEAAA8AAAAAAAAAAQAgAAAAIgAAAGRycy9kb3ducmV2LnhtbFBLAQIUABQAAAAI&#10;AIdO4kCvlukYPwMAAGkPAAAOAAAAAAAAAAEAIAAAACsBAABkcnMvZTJvRG9jLnhtbFBLBQYAAAAA&#10;BgAGAFkBAADcBgAAAAA=&#10;">
                <o:lock v:ext="edit" aspectratio="f"/>
                <v:shape id="自选图形 68" o:spid="_x0000_s1026" o:spt="32" type="#_x0000_t32" style="position:absolute;left:6676;top:14220;height:345;width:0;" filled="f" stroked="t" coordsize="21600,21600" o:gfxdata="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A1TS8AAAA&#10;2wAAAA8AAAAAAAAAAQAgAAAAIgAAAGRycy9kb3ducmV2LnhtbFBLAQIUABQAAAAIAIdO4kAzLwWe&#10;OwAAADkAAAAQAAAAAAAAAAEAIAAAAAsBAABkcnMvc2hhcGV4bWwueG1sUEsFBgAAAAAGAAYAWwEA&#10;ALUDAAAAAA==&#10;">
                  <v:fill on="f" focussize="0,0"/>
                  <v:stroke color="#000000" joinstyle="round" dashstyle="dashDot"/>
                  <v:imagedata o:title=""/>
                  <o:lock v:ext="edit" aspectratio="f"/>
                </v:shape>
                <v:shape id="自选图形 69" o:spid="_x0000_s1026" o:spt="32" type="#_x0000_t32" style="position:absolute;left:9703;top:14188;height:345;width:1;" filled="f" stroked="t" coordsize="21600,21600" o:gfxdata="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HCvvQAA&#10;ANsAAAAPAAAAAAAAAAEAIAAAACIAAABkcnMvZG93bnJldi54bWxQSwECFAAUAAAACACHTuJAMy8F&#10;njsAAAA5AAAAEAAAAAAAAAABACAAAAAMAQAAZHJzL3NoYXBleG1sLnhtbFBLBQYAAAAABgAGAFsB&#10;AAC2AwAAAAA=&#10;">
                  <v:fill on="f" focussize="0,0"/>
                  <v:stroke color="#000000" joinstyle="round" dashstyle="dashDot"/>
                  <v:imagedata o:title=""/>
                  <o:lock v:ext="edit" aspectratio="f"/>
                </v:shape>
                <v:shape id="自选图形 70" o:spid="_x0000_s1026" o:spt="32" type="#_x0000_t32" style="position:absolute;left:6676;top:14565;height:0;width:3028;" filled="f" stroked="t" coordsize="21600,21600" o:gfxdata="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k+TdugAAANsA&#10;AAAPAAAAAAAAAAEAIAAAACIAAABkcnMvZG93bnJldi54bWxQSwECFAAUAAAACACHTuJAMy8FnjsA&#10;AAA5AAAAEAAAAAAAAAABACAAAAAJAQAAZHJzL3NoYXBleG1sLnhtbFBLBQYAAAAABgAGAFsBAACz&#10;AwAAAAA=&#10;">
                  <v:fill on="f" focussize="0,0"/>
                  <v:stroke color="#000000" joinstyle="round" dashstyle="dashDot"/>
                  <v:imagedata o:title=""/>
                  <o:lock v:ext="edit" aspectratio="f"/>
                </v:shape>
                <v:shape id="自选图形 71" o:spid="_x0000_s1026" o:spt="32" type="#_x0000_t32" style="position:absolute;left:8274;top:14565;height:360;width:0;" filled="f" stroked="t" coordsize="21600,21600" o:gfxdata="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30FGvQAA&#10;ANsAAAAPAAAAAAAAAAEAIAAAACIAAABkcnMvZG93bnJldi54bWxQSwECFAAUAAAACACHTuJAMy8F&#10;njsAAAA5AAAAEAAAAAAAAAABACAAAAAMAQAAZHJzL3NoYXBleG1sLnhtbFBLBQYAAAAABgAGAFsB&#10;AAC2AwAAAAA=&#10;">
                  <v:fill on="f" focussize="0,0"/>
                  <v:stroke color="#000000" joinstyle="round" dashstyle="dashDot"/>
                  <v:imagedata o:title=""/>
                  <o:lock v:ext="edit" aspectratio="f"/>
                </v:shape>
                <v:shape id="自选图形 73" o:spid="_x0000_s1026" o:spt="32" type="#_x0000_t32" style="position:absolute;left:3095;top:14925;height:0;width:5179;" filled="f" stroked="t" coordsize="21600,21600" o:gfxdata="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H4GugAAANsA&#10;AAAPAAAAAAAAAAEAIAAAACIAAABkcnMvZG93bnJldi54bWxQSwECFAAUAAAACACHTuJAMy8FnjsA&#10;AAA5AAAAEAAAAAAAAAABACAAAAAJAQAAZHJzL3NoYXBleG1sLnhtbFBLBQYAAAAABgAGAFsBAACz&#10;AwAAAAA=&#10;">
                  <v:fill on="f" focussize="0,0"/>
                  <v:stroke color="#000000" joinstyle="round" dashstyle="dashDot"/>
                  <v:imagedata o:title=""/>
                  <o:lock v:ext="edit" aspectratio="f"/>
                </v:shape>
                <v:shape id="自选图形 74" o:spid="_x0000_s1026" o:spt="32" type="#_x0000_t32" style="position:absolute;left:3095;top:7613;flip:y;height:7312;width:0;" filled="f" stroked="t" coordsize="21600,21600" o:gfxdata="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Xe5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shape>
              </v:group>
            </w:pict>
          </mc:Fallback>
        </mc:AlternateContent>
      </w:r>
    </w:p>
    <w:p w14:paraId="2D6968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3394AB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78AD6C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77F00D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1609F0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384754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413DD6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6AC755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p>
    <w:p w14:paraId="0966F010">
      <w:pPr>
        <w:spacing w:line="360" w:lineRule="auto"/>
        <w:jc w:val="left"/>
        <w:rPr>
          <w:rFonts w:asciiTheme="minorEastAsia" w:hAnsiTheme="minorEastAsia"/>
          <w:sz w:val="30"/>
          <w:szCs w:val="30"/>
        </w:rPr>
      </w:pPr>
      <w:r>
        <w:rPr>
          <w:rFonts w:hint="eastAsia" w:ascii="仿宋_GB2312" w:hAnsi="仿宋_GB2312" w:eastAsia="仿宋_GB2312" w:cs="仿宋_GB2312"/>
          <w:b w:val="0"/>
          <w:bCs/>
          <w:color w:val="000000" w:themeColor="text1"/>
          <w:sz w:val="32"/>
          <w:szCs w:val="32"/>
          <w14:textFill>
            <w14:solidFill>
              <w14:schemeClr w14:val="tx1"/>
            </w14:solidFill>
          </w14:textFill>
        </w:rPr>
        <w:t>实线表示上转过程；虚线表示下转过程。</w:t>
      </w:r>
    </w:p>
    <w:p w14:paraId="177F2B62">
      <w:pPr>
        <w:spacing w:line="360" w:lineRule="auto"/>
        <w:ind w:firstLine="640" w:firstLineChars="200"/>
        <w:jc w:val="left"/>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 w:val="0"/>
          <w:bCs/>
          <w:color w:val="000000" w:themeColor="text1"/>
          <w:sz w:val="32"/>
          <w:szCs w:val="32"/>
          <w14:textFill>
            <w14:solidFill>
              <w14:schemeClr w14:val="tx1"/>
            </w14:solidFill>
          </w14:textFill>
        </w:rPr>
        <w:t>东丽医院双向转诊流程</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p>
    <w:p w14:paraId="2884DE68">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门诊患者持双向转诊单到双向转诊接待处（门诊大厅一楼一站式服务台）</w:t>
      </w:r>
    </w:p>
    <w:p w14:paraId="5416AF9F">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5831EAAF">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服务台人员见转诊单</w:t>
      </w:r>
    </w:p>
    <w:p w14:paraId="063E5FB1">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374400B6">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安排患者挂号</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14:textFill>
            <w14:solidFill>
              <w14:schemeClr w14:val="tx1"/>
            </w14:solidFill>
          </w14:textFill>
        </w:rPr>
        <w:t>并到相应科室就诊</w:t>
      </w:r>
    </w:p>
    <w:p w14:paraId="5FCB0A20">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7BDBED10">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就诊完毕</w:t>
      </w:r>
    </w:p>
    <w:p w14:paraId="3074C292">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2106E627">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接诊医师填写双向转诊单接诊医师在门诊病历中告知患者需要回到社区卫生服务中心完成后续治疗和康复，并提出比较详细的后</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续</w:t>
      </w:r>
      <w:r>
        <w:rPr>
          <w:rFonts w:hint="eastAsia" w:ascii="仿宋_GB2312" w:hAnsi="仿宋_GB2312" w:eastAsia="仿宋_GB2312" w:cs="仿宋_GB2312"/>
          <w:b w:val="0"/>
          <w:bCs/>
          <w:color w:val="000000" w:themeColor="text1"/>
          <w:sz w:val="32"/>
          <w:szCs w:val="32"/>
          <w14:textFill>
            <w14:solidFill>
              <w14:schemeClr w14:val="tx1"/>
            </w14:solidFill>
          </w14:textFill>
        </w:rPr>
        <w:t>治疗和康复方案；填写“双向转诊单” 患者将下传单交回社区卫生服务中心</w:t>
      </w:r>
    </w:p>
    <w:p w14:paraId="5D62E249">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1614C21E">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一站式服务台人员（门诊办公室）将上传单收取、统计存档</w:t>
      </w:r>
    </w:p>
    <w:p w14:paraId="49CD6CDD">
      <w:pPr>
        <w:spacing w:line="360" w:lineRule="auto"/>
        <w:ind w:firstLine="640" w:firstLineChars="200"/>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 w:val="0"/>
          <w:bCs/>
          <w:color w:val="000000" w:themeColor="text1"/>
          <w:sz w:val="32"/>
          <w:szCs w:val="32"/>
          <w14:textFill>
            <w14:solidFill>
              <w14:schemeClr w14:val="tx1"/>
            </w14:solidFill>
          </w14:textFill>
        </w:rPr>
        <w:t>（若夜间患者就诊）患者持双向转诊单到急诊预检分诊台→急诊科预检分诊台护士见转诊单安排患者优先挂号并到相应科室就诊</w:t>
      </w:r>
    </w:p>
    <w:p w14:paraId="175D09E2">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324FB14D">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就诊完毕</w:t>
      </w:r>
    </w:p>
    <w:p w14:paraId="7B700D8B">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5562ADC6">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接诊医师填写双向转诊单（接诊医师在急诊病历中告知患者需要回到社区卫生服务中心完成后续治疗和康复，并提出比较详细的后</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续</w:t>
      </w:r>
      <w:r>
        <w:rPr>
          <w:rFonts w:hint="eastAsia" w:ascii="仿宋_GB2312" w:hAnsi="仿宋_GB2312" w:eastAsia="仿宋_GB2312" w:cs="仿宋_GB2312"/>
          <w:b w:val="0"/>
          <w:bCs/>
          <w:color w:val="000000" w:themeColor="text1"/>
          <w:sz w:val="32"/>
          <w:szCs w:val="32"/>
          <w14:textFill>
            <w14:solidFill>
              <w14:schemeClr w14:val="tx1"/>
            </w14:solidFill>
          </w14:textFill>
        </w:rPr>
        <w:t>治疗和康复方案；填写“双向转诊单” 患者将下传单交回社区卫生服务中心）</w:t>
      </w:r>
    </w:p>
    <w:p w14:paraId="177885A9">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77F08EDD">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门诊办公室将上传单收取、统计存档</w:t>
      </w:r>
    </w:p>
    <w:p w14:paraId="28097A87">
      <w:pPr>
        <w:spacing w:line="360" w:lineRule="auto"/>
        <w:ind w:firstLine="640" w:firstLineChars="200"/>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val="0"/>
          <w:bCs/>
          <w:color w:val="000000" w:themeColor="text1"/>
          <w:sz w:val="32"/>
          <w:szCs w:val="32"/>
          <w14:textFill>
            <w14:solidFill>
              <w14:schemeClr w14:val="tx1"/>
            </w14:solidFill>
          </w14:textFill>
        </w:rPr>
        <w:t>需住院患者持双向转诊单到双向转诊接待处（门诊大厅一楼一站式服务台）</w:t>
      </w:r>
    </w:p>
    <w:p w14:paraId="716CFEF6">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3DB8767A">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服务台人员见转诊单，安排相应科室进行病情评估</w:t>
      </w:r>
    </w:p>
    <w:p w14:paraId="30D44183">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66BA8282">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符合住院指证，协助办理住院手续（符合门诊治疗的，协助进行门诊治疗流程）</w:t>
      </w:r>
    </w:p>
    <w:p w14:paraId="1AAE7722">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46A931B9">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住院患者病情稳定符合转回社区指征</w:t>
      </w:r>
    </w:p>
    <w:p w14:paraId="704D7776">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101FB89D">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患者出院</w:t>
      </w:r>
    </w:p>
    <w:p w14:paraId="0FDB5E5E">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4C36CA27">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住院医师填写双向转诊单（住院医师在出院小结中告知患者需要回到社区卫生服务中心完成后续治疗和康复，并提出比较详细的后</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续</w:t>
      </w:r>
      <w:r>
        <w:rPr>
          <w:rFonts w:hint="eastAsia" w:ascii="仿宋_GB2312" w:hAnsi="仿宋_GB2312" w:eastAsia="仿宋_GB2312" w:cs="仿宋_GB2312"/>
          <w:b w:val="0"/>
          <w:bCs/>
          <w:color w:val="000000" w:themeColor="text1"/>
          <w:sz w:val="32"/>
          <w:szCs w:val="32"/>
          <w14:textFill>
            <w14:solidFill>
              <w14:schemeClr w14:val="tx1"/>
            </w14:solidFill>
          </w14:textFill>
        </w:rPr>
        <w:t>治疗和康复方案；填写“双向转诊单” 患者将下传单交回社区卫生服务中心。）</w:t>
      </w:r>
    </w:p>
    <w:p w14:paraId="3507290F">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w:t>
      </w:r>
    </w:p>
    <w:p w14:paraId="025D5D94">
      <w:pPr>
        <w:spacing w:line="360" w:lineRule="auto"/>
        <w:jc w:val="center"/>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门诊办公室将上传单收取、统计存档</w:t>
      </w:r>
    </w:p>
    <w:p w14:paraId="7D797768">
      <w:pPr>
        <w:spacing w:line="360" w:lineRule="auto"/>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双向转诊咨询电话 ：</w:t>
      </w:r>
    </w:p>
    <w:p w14:paraId="0E8F5485">
      <w:pPr>
        <w:spacing w:line="360" w:lineRule="auto"/>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柴慈红：15522892338</w:t>
      </w:r>
    </w:p>
    <w:p w14:paraId="2AE52A30">
      <w:pPr>
        <w:spacing w:line="360" w:lineRule="auto"/>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一楼一站式服务台：24966267</w:t>
      </w:r>
    </w:p>
    <w:p w14:paraId="54F17A4F">
      <w:pPr>
        <w:spacing w:line="360" w:lineRule="auto"/>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 xml:space="preserve">         </w:t>
      </w:r>
    </w:p>
    <w:p w14:paraId="17C158A7">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开展</w:t>
      </w:r>
      <w:r>
        <w:rPr>
          <w:rFonts w:hint="eastAsia" w:ascii="仿宋_GB2312" w:hAnsi="仿宋_GB2312" w:eastAsia="仿宋_GB2312" w:cs="仿宋_GB2312"/>
          <w:b w:val="0"/>
          <w:bCs/>
          <w:color w:val="000000" w:themeColor="text1"/>
          <w:sz w:val="32"/>
          <w:szCs w:val="32"/>
          <w14:textFill>
            <w14:solidFill>
              <w14:schemeClr w14:val="tx1"/>
            </w14:solidFill>
          </w14:textFill>
        </w:rPr>
        <w:t>分级诊疗医院：</w:t>
      </w:r>
    </w:p>
    <w:p w14:paraId="565D4870">
      <w:pPr>
        <w:spacing w:line="360" w:lineRule="auto"/>
        <w:ind w:firstLine="640" w:firstLineChars="200"/>
        <w:jc w:val="left"/>
        <w:rPr>
          <w:rFonts w:hint="eastAsia" w:ascii="仿宋_GB2312" w:hAnsi="仿宋_GB2312" w:eastAsia="仿宋_GB2312" w:cs="仿宋_GB2312"/>
          <w:b w:val="0"/>
          <w:bCs/>
          <w:color w:val="FF0000"/>
          <w:sz w:val="32"/>
          <w:szCs w:val="32"/>
          <w:lang w:eastAsia="zh-CN"/>
        </w:rPr>
      </w:pPr>
      <w:r>
        <w:rPr>
          <w:rFonts w:hint="eastAsia" w:ascii="仿宋_GB2312" w:hAnsi="仿宋_GB2312" w:eastAsia="仿宋_GB2312" w:cs="仿宋_GB2312"/>
          <w:b w:val="0"/>
          <w:bCs/>
          <w:color w:val="000000" w:themeColor="text1"/>
          <w:sz w:val="32"/>
          <w:szCs w:val="32"/>
          <w14:textFill>
            <w14:solidFill>
              <w14:schemeClr w14:val="tx1"/>
            </w14:solidFill>
          </w14:textFill>
        </w:rPr>
        <w:t>天津市东丽医院与东丽区11家社区卫生服务中心、东丽区中医医院、东丽区妇幼保健计划生育服务中心组建</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紧密型城市医疗集团</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p>
    <w:p w14:paraId="248AB6C6">
      <w:pPr>
        <w:spacing w:line="360" w:lineRule="auto"/>
        <w:ind w:firstLine="640" w:firstLineChars="200"/>
        <w:jc w:val="left"/>
        <w:rPr>
          <w:rFonts w:hint="default"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社区卫生服务中心联系电话：</w:t>
      </w:r>
    </w:p>
    <w:p w14:paraId="451C1004">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丰年村</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街社区卫生服务中心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：24954210</w:t>
      </w:r>
    </w:p>
    <w:p w14:paraId="267E39BC">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新立街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：24964245</w:t>
      </w:r>
    </w:p>
    <w:p w14:paraId="1739DFA1">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万新街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：84726826</w:t>
      </w:r>
    </w:p>
    <w:p w14:paraId="45B4DA09">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无瑕街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：24362092</w:t>
      </w:r>
    </w:p>
    <w:p w14:paraId="058107FE">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金钟街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26794594</w:t>
      </w:r>
    </w:p>
    <w:p w14:paraId="45A8B5B4">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华明街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：58093228</w:t>
      </w:r>
    </w:p>
    <w:p w14:paraId="7D0C59CD">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东丽湖</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：84977568</w:t>
      </w:r>
    </w:p>
    <w:p w14:paraId="7B8B9CB1">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张贵庄</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街社区卫生服务中心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：17695879896</w:t>
      </w:r>
    </w:p>
    <w:p w14:paraId="6DB409D2">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金桥街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：84893516</w:t>
      </w:r>
    </w:p>
    <w:p w14:paraId="4F77887A">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华新街</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：18526136571</w:t>
      </w:r>
    </w:p>
    <w:p w14:paraId="4800B7E9">
      <w:pPr>
        <w:spacing w:line="360" w:lineRule="auto"/>
        <w:ind w:firstLine="640" w:firstLineChars="200"/>
        <w:jc w:val="left"/>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军粮城</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社区卫生服务中心</w:t>
      </w:r>
      <w:r>
        <w:rPr>
          <w:rFonts w:hint="eastAsia" w:ascii="仿宋_GB2312" w:hAnsi="仿宋_GB2312" w:eastAsia="仿宋_GB2312" w:cs="仿宋_GB2312"/>
          <w:b w:val="0"/>
          <w:bCs/>
          <w:color w:val="000000" w:themeColor="text1"/>
          <w:sz w:val="32"/>
          <w:szCs w:val="32"/>
          <w14:textFill>
            <w14:solidFill>
              <w14:schemeClr w14:val="tx1"/>
            </w14:solidFill>
          </w14:textFill>
        </w:rPr>
        <w:t>：18526686322</w:t>
      </w:r>
    </w:p>
    <w:p w14:paraId="2597F5FC">
      <w:pPr>
        <w:spacing w:line="360" w:lineRule="auto"/>
        <w:ind w:firstLine="640" w:firstLineChars="200"/>
        <w:jc w:val="left"/>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天津市东丽区中医院：24964259</w:t>
      </w:r>
    </w:p>
    <w:p w14:paraId="3582082D">
      <w:pPr>
        <w:spacing w:line="360" w:lineRule="auto"/>
        <w:ind w:firstLine="640" w:firstLineChars="200"/>
        <w:jc w:val="left"/>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东丽区妇幼保健计划生育服务中心</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：24960692</w:t>
      </w:r>
    </w:p>
    <w:p w14:paraId="209E15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八、</w:t>
      </w:r>
      <w:r>
        <w:rPr>
          <w:rFonts w:hint="eastAsia" w:ascii="仿宋_GB2312" w:hAnsi="仿宋_GB2312" w:eastAsia="仿宋_GB2312" w:cs="仿宋_GB2312"/>
          <w:b w:val="0"/>
          <w:bCs/>
          <w:color w:val="auto"/>
          <w:sz w:val="32"/>
          <w:szCs w:val="32"/>
          <w:highlight w:val="none"/>
          <w:lang w:eastAsia="zh-CN"/>
        </w:rPr>
        <w:t>远程医疗（远程医疗、互联网医疗服务项目、流程、收费等）</w:t>
      </w:r>
      <w:r>
        <w:rPr>
          <w:rFonts w:hint="eastAsia" w:ascii="仿宋_GB2312" w:hAnsi="仿宋_GB2312" w:eastAsia="仿宋_GB2312" w:cs="仿宋_GB2312"/>
          <w:b w:val="0"/>
          <w:bCs/>
          <w:color w:val="auto"/>
          <w:sz w:val="32"/>
          <w:szCs w:val="32"/>
          <w:highlight w:val="none"/>
          <w:lang w:val="en-US" w:eastAsia="zh-CN"/>
        </w:rPr>
        <w:t>无</w:t>
      </w:r>
    </w:p>
    <w:p w14:paraId="2FE105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九、</w:t>
      </w:r>
      <w:r>
        <w:rPr>
          <w:rFonts w:hint="eastAsia" w:ascii="仿宋_GB2312" w:hAnsi="仿宋_GB2312" w:eastAsia="仿宋_GB2312" w:cs="仿宋_GB2312"/>
          <w:b w:val="0"/>
          <w:bCs/>
          <w:color w:val="000000" w:themeColor="text1"/>
          <w:sz w:val="32"/>
          <w:szCs w:val="32"/>
          <w:highlight w:val="none"/>
          <w14:textFill>
            <w14:solidFill>
              <w14:schemeClr w14:val="tx1"/>
            </w14:solidFill>
          </w14:textFill>
        </w:rPr>
        <w:t>服务时间</w:t>
      </w:r>
    </w:p>
    <w:p w14:paraId="3CBC87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（一）门诊诊疗时间：</w:t>
      </w:r>
    </w:p>
    <w:p w14:paraId="27F96B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早间诊疗：晨检门诊  周一至周五7:00—9:00 节假日除外              </w:t>
      </w:r>
    </w:p>
    <w:p w14:paraId="7EDEA94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午间诊疗：动物咬伤门诊、口腔科，周一至周五中午不休息，节假日除外。</w:t>
      </w:r>
    </w:p>
    <w:p w14:paraId="0B8CAD5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其他科室：周一至周日，上午8:00—12:00，下午13:30—16:30。</w:t>
      </w:r>
    </w:p>
    <w:p w14:paraId="379952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firstLine="640" w:firstLineChars="200"/>
        <w:jc w:val="both"/>
        <w:textAlignment w:val="auto"/>
        <w:rPr>
          <w:rFonts w:hint="eastAsia" w:ascii="仿宋_GB2312" w:hAnsi="仿宋_GB2312" w:eastAsia="仿宋_GB2312" w:cs="仿宋_GB2312"/>
          <w:b w:val="0"/>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十、</w:t>
      </w:r>
      <w:r>
        <w:rPr>
          <w:rFonts w:hint="eastAsia" w:ascii="仿宋_GB2312" w:hAnsi="仿宋_GB2312" w:eastAsia="仿宋_GB2312" w:cs="仿宋_GB2312"/>
          <w:b w:val="0"/>
          <w:bCs/>
          <w:color w:val="000000" w:themeColor="text1"/>
          <w:sz w:val="32"/>
          <w:szCs w:val="32"/>
          <w14:textFill>
            <w14:solidFill>
              <w14:schemeClr w14:val="tx1"/>
            </w14:solidFill>
          </w14:textFill>
        </w:rPr>
        <w:t>交通</w:t>
      </w:r>
      <w:r>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t>情况</w:t>
      </w:r>
    </w:p>
    <w:p w14:paraId="51F313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张贵庄公交站：185路、679路、690路西线、716路、806路、830路、856路、857路</w:t>
      </w:r>
    </w:p>
    <w:p w14:paraId="57718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津滨轻轨9号线：新立（地铁站）换乘830路、185路、806路、716路、679路、856路、690路到达张贵庄公交站。</w:t>
      </w:r>
    </w:p>
    <w:p w14:paraId="0E027583">
      <w:pPr>
        <w:rPr>
          <w:rFonts w:hint="default"/>
          <w:lang w:val="en-US" w:eastAsia="zh-CN"/>
        </w:rPr>
      </w:pPr>
    </w:p>
    <w:sectPr>
      <w:footerReference r:id="rId3" w:type="default"/>
      <w:pgSz w:w="11906" w:h="16838"/>
      <w:pgMar w:top="2098" w:right="1474" w:bottom="1984" w:left="1587" w:header="851" w:footer="1587"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5A4779-4077-4DA9-AE8E-6804A548E58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0344688-904B-4C2C-ACD5-493F30C8CA8C}"/>
  </w:font>
  <w:font w:name="仿宋_GB2312">
    <w:panose1 w:val="02010609030101010101"/>
    <w:charset w:val="86"/>
    <w:family w:val="auto"/>
    <w:pitch w:val="default"/>
    <w:sig w:usb0="00000001" w:usb1="080E0000" w:usb2="00000000" w:usb3="00000000" w:csb0="00040000" w:csb1="00000000"/>
    <w:embedRegular r:id="rId3" w:fontKey="{69242503-C59A-48ED-8C23-1CFE2A8B5FB5}"/>
  </w:font>
  <w:font w:name="Arial Unicode MS">
    <w:panose1 w:val="020B0604020202020204"/>
    <w:charset w:val="86"/>
    <w:family w:val="auto"/>
    <w:pitch w:val="default"/>
    <w:sig w:usb0="FFFFFFFF" w:usb1="E9FFFFFF" w:usb2="0000003F" w:usb3="00000000" w:csb0="603F01FF" w:csb1="FFFF0000"/>
    <w:embedRegular r:id="rId4" w:fontKey="{4CCA00D1-A2E2-4D98-9176-0CEAC39FA90D}"/>
  </w:font>
  <w:font w:name="华文仿宋">
    <w:panose1 w:val="02010600040101010101"/>
    <w:charset w:val="86"/>
    <w:family w:val="auto"/>
    <w:pitch w:val="default"/>
    <w:sig w:usb0="00000287" w:usb1="080F0000" w:usb2="00000000" w:usb3="00000000" w:csb0="0004009F" w:csb1="DFD70000"/>
    <w:embedRegular r:id="rId5" w:fontKey="{2C221AAB-ED7E-435F-9FAC-1C67A6BA4B57}"/>
  </w:font>
  <w:font w:name="华文行楷">
    <w:panose1 w:val="02010800040101010101"/>
    <w:charset w:val="86"/>
    <w:family w:val="auto"/>
    <w:pitch w:val="default"/>
    <w:sig w:usb0="00000001" w:usb1="080F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1C83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F43FFD">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uhIZC5gEAAMcD&#10;AAAOAAAAAAAAAAEAIAAAAB8BAABkcnMvZTJvRG9jLnhtbFBLBQYAAAAABgAGAFkBAAB3BQAAAAA=&#10;">
              <v:fill on="f" focussize="0,0"/>
              <v:stroke on="f" weight="0.5pt"/>
              <v:imagedata o:title=""/>
              <o:lock v:ext="edit" aspectratio="f"/>
              <v:textbox inset="0mm,0mm,0mm,0mm" style="mso-fit-shape-to-text:t;">
                <w:txbxContent>
                  <w:p w14:paraId="7EF43FFD">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66C91"/>
    <w:multiLevelType w:val="singleLevel"/>
    <w:tmpl w:val="AF766C91"/>
    <w:lvl w:ilvl="0" w:tentative="0">
      <w:start w:val="1"/>
      <w:numFmt w:val="chineseCounting"/>
      <w:suff w:val="nothing"/>
      <w:lvlText w:val="（%1）"/>
      <w:lvlJc w:val="left"/>
      <w:rPr>
        <w:rFonts w:hint="eastAsia"/>
      </w:rPr>
    </w:lvl>
  </w:abstractNum>
  <w:abstractNum w:abstractNumId="1">
    <w:nsid w:val="53A523F1"/>
    <w:multiLevelType w:val="multilevel"/>
    <w:tmpl w:val="53A523F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B586B61"/>
    <w:multiLevelType w:val="singleLevel"/>
    <w:tmpl w:val="5B586B61"/>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1OWI5ZGQ2YjE4YzAyZWE0MTFkMTU2ZGZjOTBiZTIifQ=="/>
  </w:docVars>
  <w:rsids>
    <w:rsidRoot w:val="4E8E0D5D"/>
    <w:rsid w:val="003357D8"/>
    <w:rsid w:val="00494FFB"/>
    <w:rsid w:val="004F5239"/>
    <w:rsid w:val="008C7314"/>
    <w:rsid w:val="00A46689"/>
    <w:rsid w:val="010C299E"/>
    <w:rsid w:val="013C690E"/>
    <w:rsid w:val="01854DF6"/>
    <w:rsid w:val="01904F18"/>
    <w:rsid w:val="01E52B01"/>
    <w:rsid w:val="021224AA"/>
    <w:rsid w:val="02672DC5"/>
    <w:rsid w:val="027654C7"/>
    <w:rsid w:val="02866093"/>
    <w:rsid w:val="028B6241"/>
    <w:rsid w:val="028E13EB"/>
    <w:rsid w:val="02B250DA"/>
    <w:rsid w:val="02B41F9E"/>
    <w:rsid w:val="02F0175E"/>
    <w:rsid w:val="02F56D74"/>
    <w:rsid w:val="02F96864"/>
    <w:rsid w:val="031B7630"/>
    <w:rsid w:val="032338E1"/>
    <w:rsid w:val="03265180"/>
    <w:rsid w:val="03294BC4"/>
    <w:rsid w:val="03353D51"/>
    <w:rsid w:val="033835B9"/>
    <w:rsid w:val="033A6423"/>
    <w:rsid w:val="033D1DCF"/>
    <w:rsid w:val="036C617D"/>
    <w:rsid w:val="036D4CFA"/>
    <w:rsid w:val="03764359"/>
    <w:rsid w:val="037F1DDC"/>
    <w:rsid w:val="03E01910"/>
    <w:rsid w:val="03E601EE"/>
    <w:rsid w:val="040C0819"/>
    <w:rsid w:val="041E22FB"/>
    <w:rsid w:val="04267BE9"/>
    <w:rsid w:val="044163B3"/>
    <w:rsid w:val="04572F0C"/>
    <w:rsid w:val="04691DDD"/>
    <w:rsid w:val="04730898"/>
    <w:rsid w:val="047B7DC8"/>
    <w:rsid w:val="048D2738"/>
    <w:rsid w:val="04A668AD"/>
    <w:rsid w:val="04A7196A"/>
    <w:rsid w:val="04B74C29"/>
    <w:rsid w:val="04D94B9F"/>
    <w:rsid w:val="04ED08EF"/>
    <w:rsid w:val="04FC088E"/>
    <w:rsid w:val="04FC263C"/>
    <w:rsid w:val="05012DA7"/>
    <w:rsid w:val="051D49E5"/>
    <w:rsid w:val="054B711F"/>
    <w:rsid w:val="05542478"/>
    <w:rsid w:val="05690402"/>
    <w:rsid w:val="056D0835"/>
    <w:rsid w:val="05974724"/>
    <w:rsid w:val="05AF3B52"/>
    <w:rsid w:val="05CA03F8"/>
    <w:rsid w:val="05F16563"/>
    <w:rsid w:val="05F7322D"/>
    <w:rsid w:val="061816F7"/>
    <w:rsid w:val="06314567"/>
    <w:rsid w:val="0653264B"/>
    <w:rsid w:val="06787267"/>
    <w:rsid w:val="06AE3E0A"/>
    <w:rsid w:val="07613C0E"/>
    <w:rsid w:val="077F43DC"/>
    <w:rsid w:val="07966D78"/>
    <w:rsid w:val="07CB6F6E"/>
    <w:rsid w:val="07D16CD0"/>
    <w:rsid w:val="0881384D"/>
    <w:rsid w:val="08BF520D"/>
    <w:rsid w:val="08C43471"/>
    <w:rsid w:val="08C835F4"/>
    <w:rsid w:val="08D17D60"/>
    <w:rsid w:val="09021F6F"/>
    <w:rsid w:val="094C3466"/>
    <w:rsid w:val="096864F2"/>
    <w:rsid w:val="09756E61"/>
    <w:rsid w:val="09821693"/>
    <w:rsid w:val="09880942"/>
    <w:rsid w:val="099E26EF"/>
    <w:rsid w:val="09B72FD5"/>
    <w:rsid w:val="0A0D60C8"/>
    <w:rsid w:val="0AAA19CF"/>
    <w:rsid w:val="0ABB4D47"/>
    <w:rsid w:val="0ADE6740"/>
    <w:rsid w:val="0AEE2A27"/>
    <w:rsid w:val="0B071D3B"/>
    <w:rsid w:val="0B3F3282"/>
    <w:rsid w:val="0BA17A99"/>
    <w:rsid w:val="0BDE2D08"/>
    <w:rsid w:val="0C5059D0"/>
    <w:rsid w:val="0C594818"/>
    <w:rsid w:val="0C6B6869"/>
    <w:rsid w:val="0C6D2071"/>
    <w:rsid w:val="0C722836"/>
    <w:rsid w:val="0C92670B"/>
    <w:rsid w:val="0CAD246E"/>
    <w:rsid w:val="0CB67574"/>
    <w:rsid w:val="0CF54541"/>
    <w:rsid w:val="0D34791F"/>
    <w:rsid w:val="0D8B01D7"/>
    <w:rsid w:val="0DAA4EE9"/>
    <w:rsid w:val="0DC45CC1"/>
    <w:rsid w:val="0DE77F12"/>
    <w:rsid w:val="0DF52F7A"/>
    <w:rsid w:val="0DF77159"/>
    <w:rsid w:val="0E085A19"/>
    <w:rsid w:val="0E172295"/>
    <w:rsid w:val="0E277063"/>
    <w:rsid w:val="0E497933"/>
    <w:rsid w:val="0E8548DB"/>
    <w:rsid w:val="0ECC01AA"/>
    <w:rsid w:val="0F3D3F7D"/>
    <w:rsid w:val="0F653C89"/>
    <w:rsid w:val="0F732A0F"/>
    <w:rsid w:val="0FAE6C29"/>
    <w:rsid w:val="0FB71F81"/>
    <w:rsid w:val="0FC27101"/>
    <w:rsid w:val="0FDB5272"/>
    <w:rsid w:val="0FEB4EEA"/>
    <w:rsid w:val="0FF7237E"/>
    <w:rsid w:val="103F5AD3"/>
    <w:rsid w:val="1079567F"/>
    <w:rsid w:val="107C4FE0"/>
    <w:rsid w:val="108856CC"/>
    <w:rsid w:val="108B0D18"/>
    <w:rsid w:val="10B4201D"/>
    <w:rsid w:val="1132547A"/>
    <w:rsid w:val="1154554F"/>
    <w:rsid w:val="116021A5"/>
    <w:rsid w:val="11987B90"/>
    <w:rsid w:val="11A7392F"/>
    <w:rsid w:val="11B06C88"/>
    <w:rsid w:val="11CC10FB"/>
    <w:rsid w:val="11E22BBA"/>
    <w:rsid w:val="11F04423"/>
    <w:rsid w:val="120D005F"/>
    <w:rsid w:val="121C2B6E"/>
    <w:rsid w:val="121F5BBC"/>
    <w:rsid w:val="12525F91"/>
    <w:rsid w:val="12592FC4"/>
    <w:rsid w:val="12843C71"/>
    <w:rsid w:val="12B10F0A"/>
    <w:rsid w:val="130736EC"/>
    <w:rsid w:val="130A23C8"/>
    <w:rsid w:val="130C4392"/>
    <w:rsid w:val="132F3F4B"/>
    <w:rsid w:val="134F1DF4"/>
    <w:rsid w:val="13531FC1"/>
    <w:rsid w:val="13893C35"/>
    <w:rsid w:val="13C95DDF"/>
    <w:rsid w:val="13F6019C"/>
    <w:rsid w:val="1444190A"/>
    <w:rsid w:val="14B051F1"/>
    <w:rsid w:val="14E804E7"/>
    <w:rsid w:val="152D4306"/>
    <w:rsid w:val="154F079F"/>
    <w:rsid w:val="1585042C"/>
    <w:rsid w:val="1598015F"/>
    <w:rsid w:val="15D05608"/>
    <w:rsid w:val="15EA5FFB"/>
    <w:rsid w:val="15FF1F8C"/>
    <w:rsid w:val="16507050"/>
    <w:rsid w:val="169C5A2D"/>
    <w:rsid w:val="16B81863"/>
    <w:rsid w:val="16DE7DF3"/>
    <w:rsid w:val="17155F41"/>
    <w:rsid w:val="17364B64"/>
    <w:rsid w:val="173C0FBE"/>
    <w:rsid w:val="17604CAC"/>
    <w:rsid w:val="17DE07C9"/>
    <w:rsid w:val="182241ED"/>
    <w:rsid w:val="1875756F"/>
    <w:rsid w:val="187A3B4C"/>
    <w:rsid w:val="18910E95"/>
    <w:rsid w:val="18B2778A"/>
    <w:rsid w:val="18C272A1"/>
    <w:rsid w:val="18C949CE"/>
    <w:rsid w:val="18C94AD3"/>
    <w:rsid w:val="192E1A32"/>
    <w:rsid w:val="1941206D"/>
    <w:rsid w:val="19466124"/>
    <w:rsid w:val="194D1260"/>
    <w:rsid w:val="196D14A9"/>
    <w:rsid w:val="19766A09"/>
    <w:rsid w:val="19946E7F"/>
    <w:rsid w:val="19F33460"/>
    <w:rsid w:val="1A12131B"/>
    <w:rsid w:val="1ACF6C75"/>
    <w:rsid w:val="1AF72038"/>
    <w:rsid w:val="1B124510"/>
    <w:rsid w:val="1B245FF1"/>
    <w:rsid w:val="1B5B4B1C"/>
    <w:rsid w:val="1B6F0841"/>
    <w:rsid w:val="1BEC4D61"/>
    <w:rsid w:val="1BED0AD9"/>
    <w:rsid w:val="1C092910"/>
    <w:rsid w:val="1C205EFD"/>
    <w:rsid w:val="1C55110C"/>
    <w:rsid w:val="1C9A2A0F"/>
    <w:rsid w:val="1CD84995"/>
    <w:rsid w:val="1CFF0AC4"/>
    <w:rsid w:val="1D0E6F59"/>
    <w:rsid w:val="1D341120"/>
    <w:rsid w:val="1D3C1EC6"/>
    <w:rsid w:val="1D6A0633"/>
    <w:rsid w:val="1D7E5E8C"/>
    <w:rsid w:val="1DA8115B"/>
    <w:rsid w:val="1DC85359"/>
    <w:rsid w:val="1E09731E"/>
    <w:rsid w:val="1E2A6014"/>
    <w:rsid w:val="1E4531BB"/>
    <w:rsid w:val="1E6A2FD8"/>
    <w:rsid w:val="1E7C5560"/>
    <w:rsid w:val="1EA336D1"/>
    <w:rsid w:val="1EB15DEE"/>
    <w:rsid w:val="1F0514E0"/>
    <w:rsid w:val="1F1620F4"/>
    <w:rsid w:val="1F2667DB"/>
    <w:rsid w:val="1F43738D"/>
    <w:rsid w:val="1F6966C8"/>
    <w:rsid w:val="1F974FE3"/>
    <w:rsid w:val="1FA923BC"/>
    <w:rsid w:val="1FB7185B"/>
    <w:rsid w:val="1FDD539E"/>
    <w:rsid w:val="1FF00B97"/>
    <w:rsid w:val="1FF70178"/>
    <w:rsid w:val="20711CD8"/>
    <w:rsid w:val="20803CC9"/>
    <w:rsid w:val="20991CAD"/>
    <w:rsid w:val="20A63147"/>
    <w:rsid w:val="20B87907"/>
    <w:rsid w:val="20FA4B00"/>
    <w:rsid w:val="20FE1726"/>
    <w:rsid w:val="213F1DD6"/>
    <w:rsid w:val="2164183D"/>
    <w:rsid w:val="21954E35"/>
    <w:rsid w:val="21A67C4F"/>
    <w:rsid w:val="21EB3CFD"/>
    <w:rsid w:val="21EE56B5"/>
    <w:rsid w:val="222437EA"/>
    <w:rsid w:val="226B475F"/>
    <w:rsid w:val="226C6BFB"/>
    <w:rsid w:val="228F6446"/>
    <w:rsid w:val="22941CAE"/>
    <w:rsid w:val="229A36C5"/>
    <w:rsid w:val="22A00653"/>
    <w:rsid w:val="22A83CD5"/>
    <w:rsid w:val="22A86A93"/>
    <w:rsid w:val="22AE0FC2"/>
    <w:rsid w:val="22C630D1"/>
    <w:rsid w:val="22CC1448"/>
    <w:rsid w:val="22E06CA1"/>
    <w:rsid w:val="23103A2A"/>
    <w:rsid w:val="2318004D"/>
    <w:rsid w:val="232132C2"/>
    <w:rsid w:val="232F678F"/>
    <w:rsid w:val="23460410"/>
    <w:rsid w:val="234C6EB3"/>
    <w:rsid w:val="235A4CA6"/>
    <w:rsid w:val="238D1B0F"/>
    <w:rsid w:val="23A75A11"/>
    <w:rsid w:val="23AA1467"/>
    <w:rsid w:val="23C460BD"/>
    <w:rsid w:val="23DD3EED"/>
    <w:rsid w:val="244F0582"/>
    <w:rsid w:val="24555AEC"/>
    <w:rsid w:val="246071CE"/>
    <w:rsid w:val="247578BD"/>
    <w:rsid w:val="24B06F90"/>
    <w:rsid w:val="2533755C"/>
    <w:rsid w:val="2556695E"/>
    <w:rsid w:val="257638ED"/>
    <w:rsid w:val="25B35BEF"/>
    <w:rsid w:val="25D16D75"/>
    <w:rsid w:val="25F712C5"/>
    <w:rsid w:val="26051F50"/>
    <w:rsid w:val="26247A14"/>
    <w:rsid w:val="26306192"/>
    <w:rsid w:val="26794D50"/>
    <w:rsid w:val="26820B6A"/>
    <w:rsid w:val="26881B2A"/>
    <w:rsid w:val="26A56238"/>
    <w:rsid w:val="26B368B9"/>
    <w:rsid w:val="272F01F7"/>
    <w:rsid w:val="273D2914"/>
    <w:rsid w:val="274A7F66"/>
    <w:rsid w:val="275D6109"/>
    <w:rsid w:val="276C144B"/>
    <w:rsid w:val="27993E70"/>
    <w:rsid w:val="27AC35F6"/>
    <w:rsid w:val="27B9633B"/>
    <w:rsid w:val="27BA3F65"/>
    <w:rsid w:val="27E2170E"/>
    <w:rsid w:val="27FC457D"/>
    <w:rsid w:val="282560F4"/>
    <w:rsid w:val="284521C2"/>
    <w:rsid w:val="2854771D"/>
    <w:rsid w:val="2896248B"/>
    <w:rsid w:val="28A075FF"/>
    <w:rsid w:val="28AB7D51"/>
    <w:rsid w:val="28AD3ACA"/>
    <w:rsid w:val="28DA74B8"/>
    <w:rsid w:val="29053906"/>
    <w:rsid w:val="290D27BA"/>
    <w:rsid w:val="291875E1"/>
    <w:rsid w:val="29245BFC"/>
    <w:rsid w:val="29567CBD"/>
    <w:rsid w:val="296543A4"/>
    <w:rsid w:val="29BF3AB4"/>
    <w:rsid w:val="29C63095"/>
    <w:rsid w:val="29FF77DC"/>
    <w:rsid w:val="2A0A7B30"/>
    <w:rsid w:val="2A187669"/>
    <w:rsid w:val="2A5A37DD"/>
    <w:rsid w:val="2A662182"/>
    <w:rsid w:val="2A6D12F8"/>
    <w:rsid w:val="2A856A1C"/>
    <w:rsid w:val="2A9B6575"/>
    <w:rsid w:val="2AB17BAD"/>
    <w:rsid w:val="2AC2171C"/>
    <w:rsid w:val="2ACA2711"/>
    <w:rsid w:val="2ADA2EDA"/>
    <w:rsid w:val="2B0A07D4"/>
    <w:rsid w:val="2B37791C"/>
    <w:rsid w:val="2B4A3852"/>
    <w:rsid w:val="2B54647E"/>
    <w:rsid w:val="2B800589"/>
    <w:rsid w:val="2B8F5708"/>
    <w:rsid w:val="2BF5257A"/>
    <w:rsid w:val="2CA5739C"/>
    <w:rsid w:val="2CF577ED"/>
    <w:rsid w:val="2D0F08AF"/>
    <w:rsid w:val="2D340B63"/>
    <w:rsid w:val="2D3A16A4"/>
    <w:rsid w:val="2D524C40"/>
    <w:rsid w:val="2D5C161A"/>
    <w:rsid w:val="2D625F54"/>
    <w:rsid w:val="2D6D1A79"/>
    <w:rsid w:val="2DA1222C"/>
    <w:rsid w:val="2DE0049D"/>
    <w:rsid w:val="2DE610BC"/>
    <w:rsid w:val="2E051CB2"/>
    <w:rsid w:val="2E276A03"/>
    <w:rsid w:val="2E3706E6"/>
    <w:rsid w:val="2E61338C"/>
    <w:rsid w:val="2E9A77AF"/>
    <w:rsid w:val="2EC85340"/>
    <w:rsid w:val="2ED457CC"/>
    <w:rsid w:val="2EE713B8"/>
    <w:rsid w:val="2F367926"/>
    <w:rsid w:val="2F4B3ADA"/>
    <w:rsid w:val="2F866E22"/>
    <w:rsid w:val="2FBB034A"/>
    <w:rsid w:val="2FDD2BAB"/>
    <w:rsid w:val="30055F99"/>
    <w:rsid w:val="30442F65"/>
    <w:rsid w:val="30476D7A"/>
    <w:rsid w:val="30534132"/>
    <w:rsid w:val="306C7E5F"/>
    <w:rsid w:val="30AC4CE8"/>
    <w:rsid w:val="30B50BEA"/>
    <w:rsid w:val="30BD0622"/>
    <w:rsid w:val="30D45596"/>
    <w:rsid w:val="313510A1"/>
    <w:rsid w:val="31450434"/>
    <w:rsid w:val="315E56FD"/>
    <w:rsid w:val="31B22151"/>
    <w:rsid w:val="32222E32"/>
    <w:rsid w:val="3227669B"/>
    <w:rsid w:val="322A7F39"/>
    <w:rsid w:val="32456B21"/>
    <w:rsid w:val="325D20BC"/>
    <w:rsid w:val="32703D8D"/>
    <w:rsid w:val="327306FD"/>
    <w:rsid w:val="3289460C"/>
    <w:rsid w:val="328F1215"/>
    <w:rsid w:val="32BC2D35"/>
    <w:rsid w:val="32DE76C4"/>
    <w:rsid w:val="332B4462"/>
    <w:rsid w:val="33691AE3"/>
    <w:rsid w:val="338F274A"/>
    <w:rsid w:val="33A010E0"/>
    <w:rsid w:val="33AC2A88"/>
    <w:rsid w:val="33C148CD"/>
    <w:rsid w:val="34036C94"/>
    <w:rsid w:val="340F05A9"/>
    <w:rsid w:val="345117AD"/>
    <w:rsid w:val="345533DC"/>
    <w:rsid w:val="34841780"/>
    <w:rsid w:val="34F36D08"/>
    <w:rsid w:val="35185E76"/>
    <w:rsid w:val="35215623"/>
    <w:rsid w:val="35352FE9"/>
    <w:rsid w:val="35C506A4"/>
    <w:rsid w:val="35EB5C31"/>
    <w:rsid w:val="35FF348B"/>
    <w:rsid w:val="36193EBC"/>
    <w:rsid w:val="363745F6"/>
    <w:rsid w:val="36512587"/>
    <w:rsid w:val="366A2C0A"/>
    <w:rsid w:val="369D517D"/>
    <w:rsid w:val="36DE12F2"/>
    <w:rsid w:val="36E2005A"/>
    <w:rsid w:val="36F37BD5"/>
    <w:rsid w:val="3718765B"/>
    <w:rsid w:val="37304231"/>
    <w:rsid w:val="374775D7"/>
    <w:rsid w:val="374B6C62"/>
    <w:rsid w:val="37A12A4B"/>
    <w:rsid w:val="37BB3CBF"/>
    <w:rsid w:val="37FC2378"/>
    <w:rsid w:val="380D1562"/>
    <w:rsid w:val="381227EA"/>
    <w:rsid w:val="382A38D8"/>
    <w:rsid w:val="38314519"/>
    <w:rsid w:val="3846699B"/>
    <w:rsid w:val="385B709E"/>
    <w:rsid w:val="388C0703"/>
    <w:rsid w:val="389E1CF2"/>
    <w:rsid w:val="38B834B7"/>
    <w:rsid w:val="38BD1B07"/>
    <w:rsid w:val="38DB20AB"/>
    <w:rsid w:val="38DF3CD7"/>
    <w:rsid w:val="38E41D66"/>
    <w:rsid w:val="39697599"/>
    <w:rsid w:val="396D6ECE"/>
    <w:rsid w:val="397C0DCD"/>
    <w:rsid w:val="399C0723"/>
    <w:rsid w:val="39B50A30"/>
    <w:rsid w:val="39CC2FA3"/>
    <w:rsid w:val="39E11BE9"/>
    <w:rsid w:val="3A040CA6"/>
    <w:rsid w:val="3A0E4C4C"/>
    <w:rsid w:val="3A2D7253"/>
    <w:rsid w:val="3A36092A"/>
    <w:rsid w:val="3A576901"/>
    <w:rsid w:val="3A87397B"/>
    <w:rsid w:val="3B1C3C75"/>
    <w:rsid w:val="3B4D1648"/>
    <w:rsid w:val="3B616289"/>
    <w:rsid w:val="3B9031CD"/>
    <w:rsid w:val="3BBD597A"/>
    <w:rsid w:val="3BCE402B"/>
    <w:rsid w:val="3BD3519D"/>
    <w:rsid w:val="3BF03FA1"/>
    <w:rsid w:val="3BF75330"/>
    <w:rsid w:val="3C0B4B35"/>
    <w:rsid w:val="3C1A7D20"/>
    <w:rsid w:val="3C4764FA"/>
    <w:rsid w:val="3C4E0423"/>
    <w:rsid w:val="3C5502A8"/>
    <w:rsid w:val="3C5F1DD5"/>
    <w:rsid w:val="3CB9566C"/>
    <w:rsid w:val="3CCA65A0"/>
    <w:rsid w:val="3D015D3A"/>
    <w:rsid w:val="3D606F05"/>
    <w:rsid w:val="3D69577B"/>
    <w:rsid w:val="3D6B5628"/>
    <w:rsid w:val="3D93654B"/>
    <w:rsid w:val="3DDB1056"/>
    <w:rsid w:val="3DE43692"/>
    <w:rsid w:val="3DF00289"/>
    <w:rsid w:val="3E3068D7"/>
    <w:rsid w:val="3E446ED7"/>
    <w:rsid w:val="3E521EBC"/>
    <w:rsid w:val="3E6A012A"/>
    <w:rsid w:val="3E725142"/>
    <w:rsid w:val="3EB05C6A"/>
    <w:rsid w:val="3EC42962"/>
    <w:rsid w:val="3F316DAB"/>
    <w:rsid w:val="3F3348D1"/>
    <w:rsid w:val="3F3C5758"/>
    <w:rsid w:val="3F780536"/>
    <w:rsid w:val="3F895187"/>
    <w:rsid w:val="3FA255B3"/>
    <w:rsid w:val="3FAF1A7E"/>
    <w:rsid w:val="3FC62130"/>
    <w:rsid w:val="3FF80758"/>
    <w:rsid w:val="40153FD6"/>
    <w:rsid w:val="40363976"/>
    <w:rsid w:val="403A4AB5"/>
    <w:rsid w:val="407F76A2"/>
    <w:rsid w:val="40A41D7B"/>
    <w:rsid w:val="40BD2D00"/>
    <w:rsid w:val="40E57E4D"/>
    <w:rsid w:val="4133521D"/>
    <w:rsid w:val="414138D2"/>
    <w:rsid w:val="414B02DC"/>
    <w:rsid w:val="414F5751"/>
    <w:rsid w:val="418E2292"/>
    <w:rsid w:val="41931657"/>
    <w:rsid w:val="41C91AB7"/>
    <w:rsid w:val="41CA0DF1"/>
    <w:rsid w:val="41D754D6"/>
    <w:rsid w:val="41F71DD8"/>
    <w:rsid w:val="4201746D"/>
    <w:rsid w:val="42402E61"/>
    <w:rsid w:val="42593685"/>
    <w:rsid w:val="425F3C2F"/>
    <w:rsid w:val="426D00FA"/>
    <w:rsid w:val="42703746"/>
    <w:rsid w:val="42DE2DA6"/>
    <w:rsid w:val="43454BD3"/>
    <w:rsid w:val="4357358D"/>
    <w:rsid w:val="43594E0B"/>
    <w:rsid w:val="43A01E09"/>
    <w:rsid w:val="43AF029E"/>
    <w:rsid w:val="43CD6976"/>
    <w:rsid w:val="440D3CD6"/>
    <w:rsid w:val="440E76BA"/>
    <w:rsid w:val="4435614C"/>
    <w:rsid w:val="44D501D8"/>
    <w:rsid w:val="44E64193"/>
    <w:rsid w:val="454113CA"/>
    <w:rsid w:val="457D7633"/>
    <w:rsid w:val="45EA7CB3"/>
    <w:rsid w:val="46050F7F"/>
    <w:rsid w:val="460C7C2A"/>
    <w:rsid w:val="46477A59"/>
    <w:rsid w:val="465F614C"/>
    <w:rsid w:val="468123C6"/>
    <w:rsid w:val="46A41C10"/>
    <w:rsid w:val="46BC1650"/>
    <w:rsid w:val="470D1EAB"/>
    <w:rsid w:val="475D2C64"/>
    <w:rsid w:val="479C6D8B"/>
    <w:rsid w:val="47B642F1"/>
    <w:rsid w:val="47BE68A2"/>
    <w:rsid w:val="47C02A7A"/>
    <w:rsid w:val="47C50090"/>
    <w:rsid w:val="47DE1152"/>
    <w:rsid w:val="48111527"/>
    <w:rsid w:val="48231CFC"/>
    <w:rsid w:val="48CE7418"/>
    <w:rsid w:val="48D32483"/>
    <w:rsid w:val="49137521"/>
    <w:rsid w:val="49301E81"/>
    <w:rsid w:val="49393D21"/>
    <w:rsid w:val="493F20C4"/>
    <w:rsid w:val="49554EDB"/>
    <w:rsid w:val="4977360C"/>
    <w:rsid w:val="49793828"/>
    <w:rsid w:val="498B355B"/>
    <w:rsid w:val="498B66EB"/>
    <w:rsid w:val="49AB1508"/>
    <w:rsid w:val="49DB003F"/>
    <w:rsid w:val="49E07016"/>
    <w:rsid w:val="4A5D4EF8"/>
    <w:rsid w:val="4A6D4E4E"/>
    <w:rsid w:val="4A78588E"/>
    <w:rsid w:val="4AAD305D"/>
    <w:rsid w:val="4AD60806"/>
    <w:rsid w:val="4AE205A1"/>
    <w:rsid w:val="4B11724C"/>
    <w:rsid w:val="4B1A6945"/>
    <w:rsid w:val="4B310029"/>
    <w:rsid w:val="4B4340EE"/>
    <w:rsid w:val="4B5758A1"/>
    <w:rsid w:val="4B6E133E"/>
    <w:rsid w:val="4B6E6C91"/>
    <w:rsid w:val="4B955F8C"/>
    <w:rsid w:val="4BA60E50"/>
    <w:rsid w:val="4BA754D9"/>
    <w:rsid w:val="4BBF74EC"/>
    <w:rsid w:val="4BE11211"/>
    <w:rsid w:val="4BED4059"/>
    <w:rsid w:val="4BF43EA0"/>
    <w:rsid w:val="4C0B2731"/>
    <w:rsid w:val="4C141988"/>
    <w:rsid w:val="4C325FD8"/>
    <w:rsid w:val="4C46376A"/>
    <w:rsid w:val="4C465518"/>
    <w:rsid w:val="4C4A07A6"/>
    <w:rsid w:val="4C5252B3"/>
    <w:rsid w:val="4C561BFF"/>
    <w:rsid w:val="4C5E4611"/>
    <w:rsid w:val="4CDA2830"/>
    <w:rsid w:val="4CDA6B47"/>
    <w:rsid w:val="4CFB1928"/>
    <w:rsid w:val="4D312CA5"/>
    <w:rsid w:val="4D3735CE"/>
    <w:rsid w:val="4D616AAD"/>
    <w:rsid w:val="4D6B3488"/>
    <w:rsid w:val="4D6D5452"/>
    <w:rsid w:val="4D905AE9"/>
    <w:rsid w:val="4DC826E0"/>
    <w:rsid w:val="4DCB203A"/>
    <w:rsid w:val="4DF109D9"/>
    <w:rsid w:val="4DFA0CB0"/>
    <w:rsid w:val="4E4F1B9B"/>
    <w:rsid w:val="4E8741C6"/>
    <w:rsid w:val="4E8E0D5D"/>
    <w:rsid w:val="4EA97825"/>
    <w:rsid w:val="4ECE0172"/>
    <w:rsid w:val="4ED84B4D"/>
    <w:rsid w:val="4EDD6607"/>
    <w:rsid w:val="4EEB653A"/>
    <w:rsid w:val="4EFA7318"/>
    <w:rsid w:val="4F0C1D3E"/>
    <w:rsid w:val="4F0C63A5"/>
    <w:rsid w:val="4F31437C"/>
    <w:rsid w:val="4F6E4962"/>
    <w:rsid w:val="4F824AB9"/>
    <w:rsid w:val="4F8E0154"/>
    <w:rsid w:val="4F9F566B"/>
    <w:rsid w:val="4FB76E58"/>
    <w:rsid w:val="4FD95B8A"/>
    <w:rsid w:val="504D3DB0"/>
    <w:rsid w:val="505C7F65"/>
    <w:rsid w:val="509B22D6"/>
    <w:rsid w:val="512C5624"/>
    <w:rsid w:val="518F170F"/>
    <w:rsid w:val="51C969CF"/>
    <w:rsid w:val="521265C8"/>
    <w:rsid w:val="521F0CE5"/>
    <w:rsid w:val="52393C08"/>
    <w:rsid w:val="523F1387"/>
    <w:rsid w:val="524676E1"/>
    <w:rsid w:val="524D13AE"/>
    <w:rsid w:val="5257047F"/>
    <w:rsid w:val="5260529F"/>
    <w:rsid w:val="52633FEA"/>
    <w:rsid w:val="52662470"/>
    <w:rsid w:val="527728CF"/>
    <w:rsid w:val="527D0BB3"/>
    <w:rsid w:val="529139F4"/>
    <w:rsid w:val="52A42543"/>
    <w:rsid w:val="52D715BF"/>
    <w:rsid w:val="530A6B20"/>
    <w:rsid w:val="53402FC3"/>
    <w:rsid w:val="53422EDD"/>
    <w:rsid w:val="53615C83"/>
    <w:rsid w:val="5373753A"/>
    <w:rsid w:val="538434F5"/>
    <w:rsid w:val="538C3DBD"/>
    <w:rsid w:val="53994B4A"/>
    <w:rsid w:val="53B36EAB"/>
    <w:rsid w:val="53EE24D0"/>
    <w:rsid w:val="54267CA2"/>
    <w:rsid w:val="542E16B3"/>
    <w:rsid w:val="54344177"/>
    <w:rsid w:val="544140E5"/>
    <w:rsid w:val="54631F9D"/>
    <w:rsid w:val="54752E3E"/>
    <w:rsid w:val="548E0DEC"/>
    <w:rsid w:val="54907B68"/>
    <w:rsid w:val="54AC3462"/>
    <w:rsid w:val="54C17E31"/>
    <w:rsid w:val="54C94F38"/>
    <w:rsid w:val="55022203"/>
    <w:rsid w:val="55A17305"/>
    <w:rsid w:val="55AE1B1A"/>
    <w:rsid w:val="55EC0491"/>
    <w:rsid w:val="55F71430"/>
    <w:rsid w:val="562A0E65"/>
    <w:rsid w:val="56306A59"/>
    <w:rsid w:val="563F39B0"/>
    <w:rsid w:val="566E3FE9"/>
    <w:rsid w:val="567053AF"/>
    <w:rsid w:val="56824C41"/>
    <w:rsid w:val="57041A43"/>
    <w:rsid w:val="575E2B2D"/>
    <w:rsid w:val="577D2531"/>
    <w:rsid w:val="578259EC"/>
    <w:rsid w:val="57825F9E"/>
    <w:rsid w:val="578577C1"/>
    <w:rsid w:val="57CC0FC7"/>
    <w:rsid w:val="58051830"/>
    <w:rsid w:val="581D52FD"/>
    <w:rsid w:val="58296419"/>
    <w:rsid w:val="584E0089"/>
    <w:rsid w:val="58655923"/>
    <w:rsid w:val="586B4C84"/>
    <w:rsid w:val="587F6039"/>
    <w:rsid w:val="589D0BB5"/>
    <w:rsid w:val="58AE7AFC"/>
    <w:rsid w:val="58B008E9"/>
    <w:rsid w:val="58B52488"/>
    <w:rsid w:val="58DA6810"/>
    <w:rsid w:val="58DE25B5"/>
    <w:rsid w:val="58F46A27"/>
    <w:rsid w:val="596C0CB3"/>
    <w:rsid w:val="5980475F"/>
    <w:rsid w:val="599F088C"/>
    <w:rsid w:val="59C72A09"/>
    <w:rsid w:val="59C778E7"/>
    <w:rsid w:val="59CC2AAD"/>
    <w:rsid w:val="59E75CB2"/>
    <w:rsid w:val="5A0233C6"/>
    <w:rsid w:val="5A604280"/>
    <w:rsid w:val="5A74292E"/>
    <w:rsid w:val="5AC11897"/>
    <w:rsid w:val="5BF846A1"/>
    <w:rsid w:val="5C2A0B83"/>
    <w:rsid w:val="5C471564"/>
    <w:rsid w:val="5C8F0B8C"/>
    <w:rsid w:val="5C8F6A67"/>
    <w:rsid w:val="5CC11929"/>
    <w:rsid w:val="5CC2508E"/>
    <w:rsid w:val="5CDA72D3"/>
    <w:rsid w:val="5D2D2791"/>
    <w:rsid w:val="5D350482"/>
    <w:rsid w:val="5D435D1D"/>
    <w:rsid w:val="5D794F45"/>
    <w:rsid w:val="5D86262B"/>
    <w:rsid w:val="5DA70E69"/>
    <w:rsid w:val="5DAB687E"/>
    <w:rsid w:val="5DC32E6C"/>
    <w:rsid w:val="5DF1166D"/>
    <w:rsid w:val="5DFE16F5"/>
    <w:rsid w:val="5E1436C8"/>
    <w:rsid w:val="5E744A50"/>
    <w:rsid w:val="5EC41D86"/>
    <w:rsid w:val="5ECB647C"/>
    <w:rsid w:val="5ED56A95"/>
    <w:rsid w:val="5EDD61AF"/>
    <w:rsid w:val="5EF1163D"/>
    <w:rsid w:val="5F2B2A77"/>
    <w:rsid w:val="5F3523ED"/>
    <w:rsid w:val="5F612B5C"/>
    <w:rsid w:val="5F6917F1"/>
    <w:rsid w:val="5F872A58"/>
    <w:rsid w:val="5FBC7B73"/>
    <w:rsid w:val="603910DA"/>
    <w:rsid w:val="60681AA9"/>
    <w:rsid w:val="607322A7"/>
    <w:rsid w:val="60762418"/>
    <w:rsid w:val="614E0C9F"/>
    <w:rsid w:val="615C3ADA"/>
    <w:rsid w:val="6162299C"/>
    <w:rsid w:val="618E553F"/>
    <w:rsid w:val="61965AFD"/>
    <w:rsid w:val="61AB60F1"/>
    <w:rsid w:val="61BF0E4D"/>
    <w:rsid w:val="61F91536"/>
    <w:rsid w:val="62255EA3"/>
    <w:rsid w:val="62683FE2"/>
    <w:rsid w:val="62770B73"/>
    <w:rsid w:val="62885CA6"/>
    <w:rsid w:val="62A3501A"/>
    <w:rsid w:val="62C751AC"/>
    <w:rsid w:val="62D57C3F"/>
    <w:rsid w:val="63122F7C"/>
    <w:rsid w:val="63504565"/>
    <w:rsid w:val="63536F5B"/>
    <w:rsid w:val="636E721D"/>
    <w:rsid w:val="637D12DF"/>
    <w:rsid w:val="638135AD"/>
    <w:rsid w:val="63864720"/>
    <w:rsid w:val="638E1826"/>
    <w:rsid w:val="638E5F67"/>
    <w:rsid w:val="63C67B9A"/>
    <w:rsid w:val="63F52AA0"/>
    <w:rsid w:val="63FD1194"/>
    <w:rsid w:val="64407C88"/>
    <w:rsid w:val="644E3B55"/>
    <w:rsid w:val="64880A39"/>
    <w:rsid w:val="64D12312"/>
    <w:rsid w:val="64DB0A9B"/>
    <w:rsid w:val="64EF09EB"/>
    <w:rsid w:val="65064640"/>
    <w:rsid w:val="650C7EE3"/>
    <w:rsid w:val="651D2E62"/>
    <w:rsid w:val="65512720"/>
    <w:rsid w:val="655136DA"/>
    <w:rsid w:val="659C7C08"/>
    <w:rsid w:val="65BE41D8"/>
    <w:rsid w:val="65D73958"/>
    <w:rsid w:val="65EB7404"/>
    <w:rsid w:val="660D2ED6"/>
    <w:rsid w:val="66342B59"/>
    <w:rsid w:val="66504CE3"/>
    <w:rsid w:val="6655487D"/>
    <w:rsid w:val="667F048D"/>
    <w:rsid w:val="6699621D"/>
    <w:rsid w:val="66BB693E"/>
    <w:rsid w:val="66F43704"/>
    <w:rsid w:val="671408F3"/>
    <w:rsid w:val="677F6056"/>
    <w:rsid w:val="67B53825"/>
    <w:rsid w:val="682E5386"/>
    <w:rsid w:val="685E1247"/>
    <w:rsid w:val="68802085"/>
    <w:rsid w:val="68907DEF"/>
    <w:rsid w:val="689C543D"/>
    <w:rsid w:val="68FC7232"/>
    <w:rsid w:val="68FF6B09"/>
    <w:rsid w:val="69344175"/>
    <w:rsid w:val="69872FA0"/>
    <w:rsid w:val="69A00505"/>
    <w:rsid w:val="69B83AA1"/>
    <w:rsid w:val="6A163D2C"/>
    <w:rsid w:val="6A1C4030"/>
    <w:rsid w:val="6A3A6264"/>
    <w:rsid w:val="6A425452"/>
    <w:rsid w:val="6A795CF7"/>
    <w:rsid w:val="6A817E95"/>
    <w:rsid w:val="6AB06526"/>
    <w:rsid w:val="6AD2374E"/>
    <w:rsid w:val="6B680BAF"/>
    <w:rsid w:val="6BD24BEE"/>
    <w:rsid w:val="6BD4493D"/>
    <w:rsid w:val="6BF31356"/>
    <w:rsid w:val="6C05153C"/>
    <w:rsid w:val="6C156F89"/>
    <w:rsid w:val="6C417D7E"/>
    <w:rsid w:val="6C5C4BB7"/>
    <w:rsid w:val="6CCB2AC6"/>
    <w:rsid w:val="6D464F20"/>
    <w:rsid w:val="6D604192"/>
    <w:rsid w:val="6DCA721B"/>
    <w:rsid w:val="6DD349A2"/>
    <w:rsid w:val="6DF45878"/>
    <w:rsid w:val="6E0C43BB"/>
    <w:rsid w:val="6E154A1C"/>
    <w:rsid w:val="6E5042A8"/>
    <w:rsid w:val="6E557B10"/>
    <w:rsid w:val="6E6E06E9"/>
    <w:rsid w:val="6E786ABC"/>
    <w:rsid w:val="6E91041D"/>
    <w:rsid w:val="6E9461B0"/>
    <w:rsid w:val="6EB011EB"/>
    <w:rsid w:val="6EB81E4D"/>
    <w:rsid w:val="6EB82830"/>
    <w:rsid w:val="6ECD58F9"/>
    <w:rsid w:val="6ECF78C3"/>
    <w:rsid w:val="6F1D2190"/>
    <w:rsid w:val="6F203A65"/>
    <w:rsid w:val="6F711063"/>
    <w:rsid w:val="6F894A4A"/>
    <w:rsid w:val="6FA40502"/>
    <w:rsid w:val="6FD35191"/>
    <w:rsid w:val="6FFD045F"/>
    <w:rsid w:val="702B1923"/>
    <w:rsid w:val="70936D43"/>
    <w:rsid w:val="70B77024"/>
    <w:rsid w:val="70E513A3"/>
    <w:rsid w:val="70F81FDA"/>
    <w:rsid w:val="71072C18"/>
    <w:rsid w:val="711B73D3"/>
    <w:rsid w:val="711D41EA"/>
    <w:rsid w:val="712612F0"/>
    <w:rsid w:val="714A1C1F"/>
    <w:rsid w:val="71B7463E"/>
    <w:rsid w:val="71CE1B51"/>
    <w:rsid w:val="71DC5E53"/>
    <w:rsid w:val="71F87130"/>
    <w:rsid w:val="71FB066A"/>
    <w:rsid w:val="7248193D"/>
    <w:rsid w:val="729130E1"/>
    <w:rsid w:val="72CC4119"/>
    <w:rsid w:val="72EF2AA3"/>
    <w:rsid w:val="73041B05"/>
    <w:rsid w:val="733221CE"/>
    <w:rsid w:val="7375655F"/>
    <w:rsid w:val="73BF47DD"/>
    <w:rsid w:val="73EE38BA"/>
    <w:rsid w:val="73F61362"/>
    <w:rsid w:val="74035919"/>
    <w:rsid w:val="743D707D"/>
    <w:rsid w:val="745A5E80"/>
    <w:rsid w:val="74A4534E"/>
    <w:rsid w:val="74B53B97"/>
    <w:rsid w:val="74CB0B2C"/>
    <w:rsid w:val="74FA31C0"/>
    <w:rsid w:val="7538447B"/>
    <w:rsid w:val="75416349"/>
    <w:rsid w:val="7551370F"/>
    <w:rsid w:val="75555C41"/>
    <w:rsid w:val="755E2D8E"/>
    <w:rsid w:val="756E3B68"/>
    <w:rsid w:val="758B3EEE"/>
    <w:rsid w:val="759F209F"/>
    <w:rsid w:val="75AC2C6C"/>
    <w:rsid w:val="76665502"/>
    <w:rsid w:val="767E29CC"/>
    <w:rsid w:val="76945A25"/>
    <w:rsid w:val="769B32FE"/>
    <w:rsid w:val="76B1432E"/>
    <w:rsid w:val="76B20EDE"/>
    <w:rsid w:val="76EE28B0"/>
    <w:rsid w:val="76FD6F97"/>
    <w:rsid w:val="7709593C"/>
    <w:rsid w:val="774E6946"/>
    <w:rsid w:val="77E67A2B"/>
    <w:rsid w:val="7826607A"/>
    <w:rsid w:val="783D6476"/>
    <w:rsid w:val="783E1615"/>
    <w:rsid w:val="784F6B45"/>
    <w:rsid w:val="78567297"/>
    <w:rsid w:val="785E1CB7"/>
    <w:rsid w:val="787C365F"/>
    <w:rsid w:val="78AD0D21"/>
    <w:rsid w:val="78AD18CD"/>
    <w:rsid w:val="78BB4A14"/>
    <w:rsid w:val="78CF4963"/>
    <w:rsid w:val="78F06F5F"/>
    <w:rsid w:val="78F66D07"/>
    <w:rsid w:val="79123ACF"/>
    <w:rsid w:val="791D747D"/>
    <w:rsid w:val="79200D1B"/>
    <w:rsid w:val="79711576"/>
    <w:rsid w:val="79735BA3"/>
    <w:rsid w:val="79A94DE0"/>
    <w:rsid w:val="79D447C4"/>
    <w:rsid w:val="79DC7DD4"/>
    <w:rsid w:val="79DF4732"/>
    <w:rsid w:val="7A08012D"/>
    <w:rsid w:val="7A221FCC"/>
    <w:rsid w:val="7A5616AF"/>
    <w:rsid w:val="7A6A04A0"/>
    <w:rsid w:val="7A6A5F24"/>
    <w:rsid w:val="7A867039"/>
    <w:rsid w:val="7AC35E02"/>
    <w:rsid w:val="7B15123B"/>
    <w:rsid w:val="7B6F2841"/>
    <w:rsid w:val="7B9064EF"/>
    <w:rsid w:val="7B933A26"/>
    <w:rsid w:val="7B94598A"/>
    <w:rsid w:val="7B9A1258"/>
    <w:rsid w:val="7BAE6AB2"/>
    <w:rsid w:val="7BBA5457"/>
    <w:rsid w:val="7BF24BF0"/>
    <w:rsid w:val="7BFD56DB"/>
    <w:rsid w:val="7C0E7550"/>
    <w:rsid w:val="7C110C5B"/>
    <w:rsid w:val="7C3945CD"/>
    <w:rsid w:val="7C806D20"/>
    <w:rsid w:val="7CAC1243"/>
    <w:rsid w:val="7CB06670"/>
    <w:rsid w:val="7D02742F"/>
    <w:rsid w:val="7D1D4F36"/>
    <w:rsid w:val="7D831878"/>
    <w:rsid w:val="7D8C4BD1"/>
    <w:rsid w:val="7D913F95"/>
    <w:rsid w:val="7DB83C18"/>
    <w:rsid w:val="7DE24C9C"/>
    <w:rsid w:val="7DEA16D5"/>
    <w:rsid w:val="7DEE7639"/>
    <w:rsid w:val="7E33329E"/>
    <w:rsid w:val="7EDC636B"/>
    <w:rsid w:val="7EE70E76"/>
    <w:rsid w:val="7EEA6053"/>
    <w:rsid w:val="7F2552DD"/>
    <w:rsid w:val="7F2A46A1"/>
    <w:rsid w:val="7F370917"/>
    <w:rsid w:val="7F3B433E"/>
    <w:rsid w:val="7F9D6E47"/>
    <w:rsid w:val="7FA04963"/>
    <w:rsid w:val="7FB534D6"/>
    <w:rsid w:val="7FB66DFD"/>
    <w:rsid w:val="7FE75982"/>
    <w:rsid w:val="7FF51166"/>
    <w:rsid w:val="7FF944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styleId="12">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4120;&#29992;&#25991;&#26723;\&#25991;&#23383;&#25991;&#31295;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文字文稿1.dot</Template>
  <Pages>27</Pages>
  <Words>7426</Words>
  <Characters>7966</Characters>
  <Lines>0</Lines>
  <Paragraphs>0</Paragraphs>
  <TotalTime>6</TotalTime>
  <ScaleCrop>false</ScaleCrop>
  <LinksUpToDate>false</LinksUpToDate>
  <CharactersWithSpaces>8077</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2023-08-24T09:08:00Z</dcterms:created>
  <dc:creator>行者</dc:creator>
  <cp:lastModifiedBy>Angel</cp:lastModifiedBy>
  <cp:lastPrinted>2024-08-26T08:00:00Z</cp:lastPrinted>
  <dcterms:modified xsi:type="dcterms:W3CDTF">2024-09-02T08:50:15Z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ICV">
    <vt:lpwstr>A47417C797EB4D3AA5E891B6BEC7E325_13</vt:lpwstr>
  </property>
</Properties>
</file>